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0AFBAB">
      <w:pPr>
        <w:spacing w:line="480" w:lineRule="auto"/>
        <w:jc w:val="center"/>
        <w:rPr>
          <w:b/>
          <w:bCs/>
          <w:sz w:val="28"/>
          <w:szCs w:val="24"/>
        </w:rPr>
      </w:pPr>
      <w:bookmarkStart w:id="0" w:name="_Hlk108526611"/>
      <w:bookmarkEnd w:id="0"/>
      <w:r>
        <w:rPr>
          <w:rFonts w:hint="eastAsia"/>
          <w:b/>
          <w:bCs/>
          <w:sz w:val="28"/>
          <w:szCs w:val="24"/>
        </w:rPr>
        <w:t>目  录</w:t>
      </w:r>
    </w:p>
    <w:p w14:paraId="4F4C6A10">
      <w:pPr>
        <w:pStyle w:val="27"/>
        <w:tabs>
          <w:tab w:val="right" w:leader="dot" w:pos="9072"/>
          <w:tab w:val="clear" w:pos="8302"/>
        </w:tabs>
        <w:spacing w:before="0" w:after="0" w:line="360" w:lineRule="exact"/>
      </w:pPr>
      <w:r>
        <w:fldChar w:fldCharType="begin"/>
      </w:r>
      <w:r>
        <w:instrText xml:space="preserve"> TOC \o "1-2" \h \z \u </w:instrText>
      </w:r>
      <w:r>
        <w:fldChar w:fldCharType="separate"/>
      </w:r>
      <w:r>
        <w:fldChar w:fldCharType="begin"/>
      </w:r>
      <w:r>
        <w:instrText xml:space="preserve"> HYPERLINK \l "_Toc11495" </w:instrText>
      </w:r>
      <w:r>
        <w:fldChar w:fldCharType="separate"/>
      </w:r>
      <w:r>
        <w:rPr>
          <w:rFonts w:hint="eastAsia"/>
        </w:rPr>
        <w:t>1</w:t>
      </w:r>
      <w:r>
        <w:t xml:space="preserve"> </w:t>
      </w:r>
      <w:r>
        <w:rPr>
          <w:rFonts w:hint="eastAsia"/>
        </w:rPr>
        <w:t>概述</w:t>
      </w:r>
      <w:r>
        <w:tab/>
      </w:r>
      <w:r>
        <w:fldChar w:fldCharType="begin"/>
      </w:r>
      <w:r>
        <w:instrText xml:space="preserve"> PAGEREF _Toc11495 \h </w:instrText>
      </w:r>
      <w:r>
        <w:fldChar w:fldCharType="separate"/>
      </w:r>
      <w:r>
        <w:t>1</w:t>
      </w:r>
      <w:r>
        <w:fldChar w:fldCharType="end"/>
      </w:r>
      <w:r>
        <w:fldChar w:fldCharType="end"/>
      </w:r>
    </w:p>
    <w:p w14:paraId="4CCE4372">
      <w:pPr>
        <w:pStyle w:val="35"/>
        <w:tabs>
          <w:tab w:val="right" w:leader="dot" w:pos="9072"/>
          <w:tab w:val="clear" w:pos="8302"/>
        </w:tabs>
        <w:spacing w:line="360" w:lineRule="exact"/>
        <w:ind w:left="0" w:firstLine="210" w:firstLineChars="100"/>
      </w:pPr>
      <w:r>
        <w:fldChar w:fldCharType="begin"/>
      </w:r>
      <w:r>
        <w:instrText xml:space="preserve"> HYPERLINK \l "_Toc5473" </w:instrText>
      </w:r>
      <w:r>
        <w:fldChar w:fldCharType="separate"/>
      </w:r>
      <w:r>
        <w:rPr>
          <w:rFonts w:hint="eastAsia"/>
        </w:rPr>
        <w:t>1</w:t>
      </w:r>
      <w:r>
        <w:t xml:space="preserve">.1 </w:t>
      </w:r>
      <w:r>
        <w:rPr>
          <w:rFonts w:hint="eastAsia"/>
        </w:rPr>
        <w:t>项目由来</w:t>
      </w:r>
      <w:r>
        <w:tab/>
      </w:r>
      <w:r>
        <w:fldChar w:fldCharType="begin"/>
      </w:r>
      <w:r>
        <w:instrText xml:space="preserve"> PAGEREF _Toc5473 \h </w:instrText>
      </w:r>
      <w:r>
        <w:fldChar w:fldCharType="separate"/>
      </w:r>
      <w:r>
        <w:t>1</w:t>
      </w:r>
      <w:r>
        <w:fldChar w:fldCharType="end"/>
      </w:r>
      <w:r>
        <w:fldChar w:fldCharType="end"/>
      </w:r>
    </w:p>
    <w:p w14:paraId="0910650A">
      <w:pPr>
        <w:pStyle w:val="35"/>
        <w:tabs>
          <w:tab w:val="right" w:leader="dot" w:pos="9072"/>
          <w:tab w:val="clear" w:pos="8302"/>
        </w:tabs>
        <w:spacing w:line="360" w:lineRule="exact"/>
        <w:ind w:left="0" w:firstLine="210" w:firstLineChars="100"/>
      </w:pPr>
      <w:r>
        <w:fldChar w:fldCharType="begin"/>
      </w:r>
      <w:r>
        <w:instrText xml:space="preserve"> HYPERLINK \l "_Toc9120" </w:instrText>
      </w:r>
      <w:r>
        <w:fldChar w:fldCharType="separate"/>
      </w:r>
      <w:r>
        <w:rPr>
          <w:rFonts w:hint="eastAsia"/>
        </w:rPr>
        <w:t>1</w:t>
      </w:r>
      <w:r>
        <w:t xml:space="preserve">.2 </w:t>
      </w:r>
      <w:r>
        <w:rPr>
          <w:rFonts w:hint="eastAsia"/>
        </w:rPr>
        <w:t>项目特点</w:t>
      </w:r>
      <w:r>
        <w:tab/>
      </w:r>
      <w:r>
        <w:fldChar w:fldCharType="begin"/>
      </w:r>
      <w:r>
        <w:instrText xml:space="preserve"> PAGEREF _Toc9120 \h </w:instrText>
      </w:r>
      <w:r>
        <w:fldChar w:fldCharType="separate"/>
      </w:r>
      <w:r>
        <w:t>2</w:t>
      </w:r>
      <w:r>
        <w:fldChar w:fldCharType="end"/>
      </w:r>
      <w:r>
        <w:fldChar w:fldCharType="end"/>
      </w:r>
    </w:p>
    <w:p w14:paraId="1F381780">
      <w:pPr>
        <w:pStyle w:val="35"/>
        <w:tabs>
          <w:tab w:val="right" w:leader="dot" w:pos="9072"/>
          <w:tab w:val="clear" w:pos="8302"/>
        </w:tabs>
        <w:spacing w:line="360" w:lineRule="exact"/>
        <w:ind w:left="0" w:firstLine="210" w:firstLineChars="100"/>
      </w:pPr>
      <w:r>
        <w:fldChar w:fldCharType="begin"/>
      </w:r>
      <w:r>
        <w:instrText xml:space="preserve"> HYPERLINK \l "_Toc10255" </w:instrText>
      </w:r>
      <w:r>
        <w:fldChar w:fldCharType="separate"/>
      </w:r>
      <w:r>
        <w:rPr>
          <w:rFonts w:hint="eastAsia"/>
        </w:rPr>
        <w:t>1.3</w:t>
      </w:r>
      <w:r>
        <w:t xml:space="preserve"> </w:t>
      </w:r>
      <w:r>
        <w:rPr>
          <w:rFonts w:hint="eastAsia"/>
        </w:rPr>
        <w:t>关注的主要环境问题</w:t>
      </w:r>
      <w:r>
        <w:tab/>
      </w:r>
      <w:r>
        <w:fldChar w:fldCharType="begin"/>
      </w:r>
      <w:r>
        <w:instrText xml:space="preserve"> PAGEREF _Toc10255 \h </w:instrText>
      </w:r>
      <w:r>
        <w:fldChar w:fldCharType="separate"/>
      </w:r>
      <w:r>
        <w:t>2</w:t>
      </w:r>
      <w:r>
        <w:fldChar w:fldCharType="end"/>
      </w:r>
      <w:r>
        <w:fldChar w:fldCharType="end"/>
      </w:r>
    </w:p>
    <w:p w14:paraId="6CE62B6C">
      <w:pPr>
        <w:pStyle w:val="35"/>
        <w:tabs>
          <w:tab w:val="right" w:leader="dot" w:pos="9072"/>
          <w:tab w:val="clear" w:pos="8302"/>
        </w:tabs>
        <w:spacing w:line="360" w:lineRule="exact"/>
        <w:ind w:left="0" w:firstLine="210" w:firstLineChars="100"/>
      </w:pPr>
      <w:r>
        <w:fldChar w:fldCharType="begin"/>
      </w:r>
      <w:r>
        <w:instrText xml:space="preserve"> HYPERLINK \l "_Toc15021" </w:instrText>
      </w:r>
      <w:r>
        <w:fldChar w:fldCharType="separate"/>
      </w:r>
      <w:r>
        <w:rPr>
          <w:rFonts w:hint="eastAsia"/>
        </w:rPr>
        <w:t>1</w:t>
      </w:r>
      <w:r>
        <w:t xml:space="preserve">.4 </w:t>
      </w:r>
      <w:r>
        <w:rPr>
          <w:rFonts w:hint="eastAsia"/>
        </w:rPr>
        <w:t>环境影响评价工作过程</w:t>
      </w:r>
      <w:r>
        <w:tab/>
      </w:r>
      <w:r>
        <w:fldChar w:fldCharType="begin"/>
      </w:r>
      <w:r>
        <w:instrText xml:space="preserve"> PAGEREF _Toc15021 \h </w:instrText>
      </w:r>
      <w:r>
        <w:fldChar w:fldCharType="separate"/>
      </w:r>
      <w:r>
        <w:t>2</w:t>
      </w:r>
      <w:r>
        <w:fldChar w:fldCharType="end"/>
      </w:r>
      <w:r>
        <w:fldChar w:fldCharType="end"/>
      </w:r>
    </w:p>
    <w:p w14:paraId="3584E6FC">
      <w:pPr>
        <w:pStyle w:val="35"/>
        <w:tabs>
          <w:tab w:val="right" w:leader="dot" w:pos="9072"/>
          <w:tab w:val="clear" w:pos="8302"/>
        </w:tabs>
        <w:spacing w:line="360" w:lineRule="exact"/>
        <w:ind w:left="0" w:firstLine="210" w:firstLineChars="100"/>
      </w:pPr>
      <w:r>
        <w:fldChar w:fldCharType="begin"/>
      </w:r>
      <w:r>
        <w:instrText xml:space="preserve"> HYPERLINK \l "_Toc23236" </w:instrText>
      </w:r>
      <w:r>
        <w:fldChar w:fldCharType="separate"/>
      </w:r>
      <w:r>
        <w:rPr>
          <w:rFonts w:hint="eastAsia"/>
        </w:rPr>
        <w:t>1</w:t>
      </w:r>
      <w:r>
        <w:t xml:space="preserve">.5 </w:t>
      </w:r>
      <w:r>
        <w:rPr>
          <w:rFonts w:hint="eastAsia"/>
        </w:rPr>
        <w:t>分析判定相关情况</w:t>
      </w:r>
      <w:r>
        <w:tab/>
      </w:r>
      <w:r>
        <w:fldChar w:fldCharType="begin"/>
      </w:r>
      <w:r>
        <w:instrText xml:space="preserve"> PAGEREF _Toc23236 \h </w:instrText>
      </w:r>
      <w:r>
        <w:fldChar w:fldCharType="separate"/>
      </w:r>
      <w:r>
        <w:t>3</w:t>
      </w:r>
      <w:r>
        <w:fldChar w:fldCharType="end"/>
      </w:r>
      <w:r>
        <w:fldChar w:fldCharType="end"/>
      </w:r>
    </w:p>
    <w:p w14:paraId="78C7CFE6">
      <w:pPr>
        <w:pStyle w:val="35"/>
        <w:tabs>
          <w:tab w:val="right" w:leader="dot" w:pos="9072"/>
          <w:tab w:val="clear" w:pos="8302"/>
        </w:tabs>
        <w:spacing w:line="360" w:lineRule="exact"/>
        <w:ind w:left="0" w:firstLine="210" w:firstLineChars="100"/>
      </w:pPr>
      <w:r>
        <w:fldChar w:fldCharType="begin"/>
      </w:r>
      <w:r>
        <w:instrText xml:space="preserve"> HYPERLINK \l "_Toc2969" </w:instrText>
      </w:r>
      <w:r>
        <w:fldChar w:fldCharType="separate"/>
      </w:r>
      <w:r>
        <w:rPr>
          <w:rFonts w:hint="eastAsia"/>
        </w:rPr>
        <w:t>1</w:t>
      </w:r>
      <w:r>
        <w:t xml:space="preserve">.6 </w:t>
      </w:r>
      <w:r>
        <w:rPr>
          <w:rFonts w:hint="eastAsia"/>
        </w:rPr>
        <w:t>环境影响评价结论</w:t>
      </w:r>
      <w:r>
        <w:tab/>
      </w:r>
      <w:r>
        <w:fldChar w:fldCharType="begin"/>
      </w:r>
      <w:r>
        <w:instrText xml:space="preserve"> PAGEREF _Toc2969 \h </w:instrText>
      </w:r>
      <w:r>
        <w:fldChar w:fldCharType="separate"/>
      </w:r>
      <w:r>
        <w:t>20</w:t>
      </w:r>
      <w:r>
        <w:fldChar w:fldCharType="end"/>
      </w:r>
      <w:r>
        <w:fldChar w:fldCharType="end"/>
      </w:r>
    </w:p>
    <w:p w14:paraId="3B4F9444">
      <w:pPr>
        <w:pStyle w:val="27"/>
        <w:tabs>
          <w:tab w:val="right" w:leader="dot" w:pos="9072"/>
          <w:tab w:val="clear" w:pos="8302"/>
        </w:tabs>
        <w:spacing w:before="0" w:after="0" w:line="360" w:lineRule="exact"/>
      </w:pPr>
      <w:r>
        <w:fldChar w:fldCharType="begin"/>
      </w:r>
      <w:r>
        <w:instrText xml:space="preserve"> HYPERLINK \l "_Toc15096" </w:instrText>
      </w:r>
      <w:r>
        <w:fldChar w:fldCharType="separate"/>
      </w:r>
      <w:r>
        <w:rPr>
          <w:rFonts w:hint="eastAsia"/>
        </w:rPr>
        <w:t>2</w:t>
      </w:r>
      <w:r>
        <w:t xml:space="preserve"> </w:t>
      </w:r>
      <w:r>
        <w:rPr>
          <w:rFonts w:hint="eastAsia"/>
        </w:rPr>
        <w:t>总则</w:t>
      </w:r>
      <w:r>
        <w:tab/>
      </w:r>
      <w:r>
        <w:fldChar w:fldCharType="begin"/>
      </w:r>
      <w:r>
        <w:instrText xml:space="preserve"> PAGEREF _Toc15096 \h </w:instrText>
      </w:r>
      <w:r>
        <w:fldChar w:fldCharType="separate"/>
      </w:r>
      <w:r>
        <w:t>22</w:t>
      </w:r>
      <w:r>
        <w:fldChar w:fldCharType="end"/>
      </w:r>
      <w:r>
        <w:fldChar w:fldCharType="end"/>
      </w:r>
    </w:p>
    <w:p w14:paraId="4C7CF398">
      <w:pPr>
        <w:pStyle w:val="35"/>
        <w:tabs>
          <w:tab w:val="right" w:leader="dot" w:pos="9072"/>
          <w:tab w:val="clear" w:pos="8302"/>
        </w:tabs>
        <w:spacing w:line="360" w:lineRule="exact"/>
        <w:ind w:left="0" w:firstLine="210" w:firstLineChars="100"/>
      </w:pPr>
      <w:r>
        <w:fldChar w:fldCharType="begin"/>
      </w:r>
      <w:r>
        <w:instrText xml:space="preserve"> HYPERLINK \l "_Toc18355" </w:instrText>
      </w:r>
      <w:r>
        <w:fldChar w:fldCharType="separate"/>
      </w:r>
      <w:r>
        <w:rPr>
          <w:rFonts w:hint="eastAsia"/>
        </w:rPr>
        <w:t>2</w:t>
      </w:r>
      <w:r>
        <w:t xml:space="preserve">.1 </w:t>
      </w:r>
      <w:r>
        <w:rPr>
          <w:rFonts w:hint="eastAsia"/>
        </w:rPr>
        <w:t>编制依据</w:t>
      </w:r>
      <w:r>
        <w:tab/>
      </w:r>
      <w:r>
        <w:fldChar w:fldCharType="begin"/>
      </w:r>
      <w:r>
        <w:instrText xml:space="preserve"> PAGEREF _Toc18355 \h </w:instrText>
      </w:r>
      <w:r>
        <w:fldChar w:fldCharType="separate"/>
      </w:r>
      <w:r>
        <w:t>22</w:t>
      </w:r>
      <w:r>
        <w:fldChar w:fldCharType="end"/>
      </w:r>
      <w:r>
        <w:fldChar w:fldCharType="end"/>
      </w:r>
    </w:p>
    <w:p w14:paraId="03E3DD67">
      <w:pPr>
        <w:pStyle w:val="35"/>
        <w:tabs>
          <w:tab w:val="right" w:leader="dot" w:pos="9072"/>
          <w:tab w:val="clear" w:pos="8302"/>
        </w:tabs>
        <w:spacing w:line="360" w:lineRule="exact"/>
        <w:ind w:left="0" w:firstLine="210" w:firstLineChars="100"/>
      </w:pPr>
      <w:r>
        <w:fldChar w:fldCharType="begin"/>
      </w:r>
      <w:r>
        <w:instrText xml:space="preserve"> HYPERLINK \l "_Toc28587" </w:instrText>
      </w:r>
      <w:r>
        <w:fldChar w:fldCharType="separate"/>
      </w:r>
      <w:r>
        <w:rPr>
          <w:rFonts w:hint="eastAsia"/>
        </w:rPr>
        <w:t>2</w:t>
      </w:r>
      <w:r>
        <w:t xml:space="preserve">.2 </w:t>
      </w:r>
      <w:r>
        <w:rPr>
          <w:rFonts w:hint="eastAsia"/>
        </w:rPr>
        <w:t>评价目的及评价工作原则</w:t>
      </w:r>
      <w:r>
        <w:tab/>
      </w:r>
      <w:r>
        <w:fldChar w:fldCharType="begin"/>
      </w:r>
      <w:r>
        <w:instrText xml:space="preserve"> PAGEREF _Toc28587 \h </w:instrText>
      </w:r>
      <w:r>
        <w:fldChar w:fldCharType="separate"/>
      </w:r>
      <w:r>
        <w:t>27</w:t>
      </w:r>
      <w:r>
        <w:fldChar w:fldCharType="end"/>
      </w:r>
      <w:r>
        <w:fldChar w:fldCharType="end"/>
      </w:r>
    </w:p>
    <w:p w14:paraId="6E5FE65C">
      <w:pPr>
        <w:pStyle w:val="35"/>
        <w:tabs>
          <w:tab w:val="right" w:leader="dot" w:pos="9072"/>
          <w:tab w:val="clear" w:pos="8302"/>
        </w:tabs>
        <w:spacing w:line="360" w:lineRule="exact"/>
        <w:ind w:left="0" w:firstLine="210" w:firstLineChars="100"/>
      </w:pPr>
      <w:r>
        <w:fldChar w:fldCharType="begin"/>
      </w:r>
      <w:r>
        <w:instrText xml:space="preserve"> HYPERLINK \l "_Toc28985" </w:instrText>
      </w:r>
      <w:r>
        <w:fldChar w:fldCharType="separate"/>
      </w:r>
      <w:r>
        <w:rPr>
          <w:rFonts w:hint="eastAsia"/>
        </w:rPr>
        <w:t>2</w:t>
      </w:r>
      <w:r>
        <w:t xml:space="preserve">.3 </w:t>
      </w:r>
      <w:r>
        <w:rPr>
          <w:rFonts w:hint="eastAsia"/>
        </w:rPr>
        <w:t>评价因子</w:t>
      </w:r>
      <w:r>
        <w:tab/>
      </w:r>
      <w:r>
        <w:fldChar w:fldCharType="begin"/>
      </w:r>
      <w:r>
        <w:instrText xml:space="preserve"> PAGEREF _Toc28985 \h </w:instrText>
      </w:r>
      <w:r>
        <w:fldChar w:fldCharType="separate"/>
      </w:r>
      <w:r>
        <w:t>28</w:t>
      </w:r>
      <w:r>
        <w:fldChar w:fldCharType="end"/>
      </w:r>
      <w:r>
        <w:fldChar w:fldCharType="end"/>
      </w:r>
    </w:p>
    <w:p w14:paraId="43A90A2C">
      <w:pPr>
        <w:pStyle w:val="35"/>
        <w:tabs>
          <w:tab w:val="right" w:leader="dot" w:pos="9072"/>
          <w:tab w:val="clear" w:pos="8302"/>
        </w:tabs>
        <w:spacing w:line="360" w:lineRule="exact"/>
        <w:ind w:left="0" w:firstLine="210" w:firstLineChars="100"/>
      </w:pPr>
      <w:r>
        <w:fldChar w:fldCharType="begin"/>
      </w:r>
      <w:r>
        <w:instrText xml:space="preserve"> HYPERLINK \l "_Toc5210" </w:instrText>
      </w:r>
      <w:r>
        <w:fldChar w:fldCharType="separate"/>
      </w:r>
      <w:r>
        <w:rPr>
          <w:rFonts w:hint="eastAsia"/>
        </w:rPr>
        <w:t>2</w:t>
      </w:r>
      <w:r>
        <w:t>.</w:t>
      </w:r>
      <w:r>
        <w:rPr>
          <w:rFonts w:hint="eastAsia"/>
        </w:rPr>
        <w:t>4</w:t>
      </w:r>
      <w:r>
        <w:t xml:space="preserve"> </w:t>
      </w:r>
      <w:r>
        <w:rPr>
          <w:rFonts w:hint="eastAsia"/>
        </w:rPr>
        <w:t>评价标准</w:t>
      </w:r>
      <w:r>
        <w:tab/>
      </w:r>
      <w:r>
        <w:fldChar w:fldCharType="begin"/>
      </w:r>
      <w:r>
        <w:instrText xml:space="preserve"> PAGEREF _Toc5210 \h </w:instrText>
      </w:r>
      <w:r>
        <w:fldChar w:fldCharType="separate"/>
      </w:r>
      <w:r>
        <w:t>29</w:t>
      </w:r>
      <w:r>
        <w:fldChar w:fldCharType="end"/>
      </w:r>
      <w:r>
        <w:fldChar w:fldCharType="end"/>
      </w:r>
    </w:p>
    <w:p w14:paraId="72100320">
      <w:pPr>
        <w:pStyle w:val="35"/>
        <w:tabs>
          <w:tab w:val="right" w:leader="dot" w:pos="9072"/>
          <w:tab w:val="clear" w:pos="8302"/>
        </w:tabs>
        <w:spacing w:line="360" w:lineRule="exact"/>
        <w:ind w:left="0" w:firstLine="210" w:firstLineChars="100"/>
      </w:pPr>
      <w:r>
        <w:fldChar w:fldCharType="begin"/>
      </w:r>
      <w:r>
        <w:instrText xml:space="preserve"> HYPERLINK \l "_Toc14090" </w:instrText>
      </w:r>
      <w:r>
        <w:fldChar w:fldCharType="separate"/>
      </w:r>
      <w:r>
        <w:rPr>
          <w:rFonts w:hint="eastAsia"/>
        </w:rPr>
        <w:t>2</w:t>
      </w:r>
      <w:r>
        <w:t>.</w:t>
      </w:r>
      <w:r>
        <w:rPr>
          <w:rFonts w:hint="eastAsia"/>
        </w:rPr>
        <w:t>5</w:t>
      </w:r>
      <w:r>
        <w:t xml:space="preserve"> </w:t>
      </w:r>
      <w:r>
        <w:rPr>
          <w:rFonts w:hint="eastAsia"/>
        </w:rPr>
        <w:t>评价重点和评价工作等级</w:t>
      </w:r>
      <w:r>
        <w:tab/>
      </w:r>
      <w:r>
        <w:fldChar w:fldCharType="begin"/>
      </w:r>
      <w:r>
        <w:instrText xml:space="preserve"> PAGEREF _Toc14090 \h </w:instrText>
      </w:r>
      <w:r>
        <w:fldChar w:fldCharType="separate"/>
      </w:r>
      <w:r>
        <w:t>34</w:t>
      </w:r>
      <w:r>
        <w:fldChar w:fldCharType="end"/>
      </w:r>
      <w:r>
        <w:fldChar w:fldCharType="end"/>
      </w:r>
    </w:p>
    <w:p w14:paraId="79A2DD3E">
      <w:pPr>
        <w:pStyle w:val="35"/>
        <w:tabs>
          <w:tab w:val="right" w:leader="dot" w:pos="9072"/>
          <w:tab w:val="clear" w:pos="8302"/>
        </w:tabs>
        <w:spacing w:line="360" w:lineRule="exact"/>
        <w:ind w:left="0" w:firstLine="210" w:firstLineChars="100"/>
      </w:pPr>
      <w:r>
        <w:fldChar w:fldCharType="begin"/>
      </w:r>
      <w:r>
        <w:instrText xml:space="preserve"> HYPERLINK \l "_Toc24693" </w:instrText>
      </w:r>
      <w:r>
        <w:fldChar w:fldCharType="separate"/>
      </w:r>
      <w:r>
        <w:rPr>
          <w:rFonts w:hint="eastAsia"/>
        </w:rPr>
        <w:t>2</w:t>
      </w:r>
      <w:r>
        <w:t>.</w:t>
      </w:r>
      <w:r>
        <w:rPr>
          <w:rFonts w:hint="eastAsia"/>
        </w:rPr>
        <w:t>6</w:t>
      </w:r>
      <w:r>
        <w:t xml:space="preserve"> </w:t>
      </w:r>
      <w:r>
        <w:rPr>
          <w:rFonts w:hint="eastAsia"/>
        </w:rPr>
        <w:t>评价范围和环境保护目标</w:t>
      </w:r>
      <w:r>
        <w:tab/>
      </w:r>
      <w:r>
        <w:fldChar w:fldCharType="begin"/>
      </w:r>
      <w:r>
        <w:instrText xml:space="preserve"> PAGEREF _Toc24693 \h </w:instrText>
      </w:r>
      <w:r>
        <w:fldChar w:fldCharType="separate"/>
      </w:r>
      <w:r>
        <w:t>39</w:t>
      </w:r>
      <w:r>
        <w:fldChar w:fldCharType="end"/>
      </w:r>
      <w:r>
        <w:fldChar w:fldCharType="end"/>
      </w:r>
    </w:p>
    <w:p w14:paraId="335799D8">
      <w:pPr>
        <w:pStyle w:val="35"/>
        <w:tabs>
          <w:tab w:val="right" w:leader="dot" w:pos="9072"/>
          <w:tab w:val="clear" w:pos="8302"/>
        </w:tabs>
        <w:spacing w:line="360" w:lineRule="exact"/>
        <w:ind w:left="0" w:firstLine="210" w:firstLineChars="100"/>
      </w:pPr>
      <w:r>
        <w:fldChar w:fldCharType="begin"/>
      </w:r>
      <w:r>
        <w:instrText xml:space="preserve"> HYPERLINK \l "_Toc20145" </w:instrText>
      </w:r>
      <w:r>
        <w:fldChar w:fldCharType="separate"/>
      </w:r>
      <w:r>
        <w:rPr>
          <w:rFonts w:hint="eastAsia"/>
        </w:rPr>
        <w:t>2</w:t>
      </w:r>
      <w:r>
        <w:t>.</w:t>
      </w:r>
      <w:r>
        <w:rPr>
          <w:rFonts w:hint="eastAsia"/>
        </w:rPr>
        <w:t>7</w:t>
      </w:r>
      <w:r>
        <w:t xml:space="preserve"> </w:t>
      </w:r>
      <w:r>
        <w:rPr>
          <w:rFonts w:hint="eastAsia"/>
        </w:rPr>
        <w:t>相关规划及环境功能规划</w:t>
      </w:r>
      <w:r>
        <w:tab/>
      </w:r>
      <w:r>
        <w:fldChar w:fldCharType="begin"/>
      </w:r>
      <w:r>
        <w:instrText xml:space="preserve"> PAGEREF _Toc20145 \h </w:instrText>
      </w:r>
      <w:r>
        <w:fldChar w:fldCharType="separate"/>
      </w:r>
      <w:r>
        <w:t>41</w:t>
      </w:r>
      <w:r>
        <w:fldChar w:fldCharType="end"/>
      </w:r>
      <w:r>
        <w:fldChar w:fldCharType="end"/>
      </w:r>
    </w:p>
    <w:p w14:paraId="52763F89">
      <w:pPr>
        <w:pStyle w:val="27"/>
        <w:tabs>
          <w:tab w:val="right" w:leader="dot" w:pos="9072"/>
          <w:tab w:val="clear" w:pos="8302"/>
        </w:tabs>
        <w:spacing w:before="0" w:after="0" w:line="360" w:lineRule="exact"/>
      </w:pPr>
      <w:r>
        <w:fldChar w:fldCharType="begin"/>
      </w:r>
      <w:r>
        <w:instrText xml:space="preserve"> HYPERLINK \l "_Toc10160" </w:instrText>
      </w:r>
      <w:r>
        <w:fldChar w:fldCharType="separate"/>
      </w:r>
      <w:r>
        <w:rPr>
          <w:rFonts w:hint="eastAsia"/>
        </w:rPr>
        <w:t>3</w:t>
      </w:r>
      <w:r>
        <w:t xml:space="preserve"> </w:t>
      </w:r>
      <w:r>
        <w:rPr>
          <w:rFonts w:hint="eastAsia"/>
        </w:rPr>
        <w:t>建设项目工程分析</w:t>
      </w:r>
      <w:r>
        <w:tab/>
      </w:r>
      <w:r>
        <w:fldChar w:fldCharType="begin"/>
      </w:r>
      <w:r>
        <w:instrText xml:space="preserve"> PAGEREF _Toc10160 \h </w:instrText>
      </w:r>
      <w:r>
        <w:fldChar w:fldCharType="separate"/>
      </w:r>
      <w:r>
        <w:t>44</w:t>
      </w:r>
      <w:r>
        <w:fldChar w:fldCharType="end"/>
      </w:r>
      <w:r>
        <w:fldChar w:fldCharType="end"/>
      </w:r>
    </w:p>
    <w:p w14:paraId="4E48BCF4">
      <w:pPr>
        <w:pStyle w:val="35"/>
        <w:tabs>
          <w:tab w:val="right" w:leader="dot" w:pos="9072"/>
          <w:tab w:val="clear" w:pos="8302"/>
        </w:tabs>
        <w:spacing w:line="360" w:lineRule="exact"/>
        <w:ind w:left="0" w:firstLine="210" w:firstLineChars="100"/>
      </w:pPr>
      <w:r>
        <w:fldChar w:fldCharType="begin"/>
      </w:r>
      <w:r>
        <w:instrText xml:space="preserve"> HYPERLINK \l "_Toc18444" </w:instrText>
      </w:r>
      <w:r>
        <w:fldChar w:fldCharType="separate"/>
      </w:r>
      <w:r>
        <w:rPr>
          <w:rFonts w:hint="eastAsia"/>
        </w:rPr>
        <w:t>3</w:t>
      </w:r>
      <w:r>
        <w:t xml:space="preserve">.1 </w:t>
      </w:r>
      <w:r>
        <w:rPr>
          <w:rFonts w:hint="eastAsia"/>
        </w:rPr>
        <w:t>与项目有关的现有环境污染问题</w:t>
      </w:r>
      <w:r>
        <w:tab/>
      </w:r>
      <w:r>
        <w:fldChar w:fldCharType="begin"/>
      </w:r>
      <w:r>
        <w:instrText xml:space="preserve"> PAGEREF _Toc18444 \h </w:instrText>
      </w:r>
      <w:r>
        <w:fldChar w:fldCharType="separate"/>
      </w:r>
      <w:r>
        <w:t>44</w:t>
      </w:r>
      <w:r>
        <w:fldChar w:fldCharType="end"/>
      </w:r>
      <w:r>
        <w:fldChar w:fldCharType="end"/>
      </w:r>
    </w:p>
    <w:p w14:paraId="50B032ED">
      <w:pPr>
        <w:pStyle w:val="35"/>
        <w:tabs>
          <w:tab w:val="right" w:leader="dot" w:pos="9072"/>
          <w:tab w:val="clear" w:pos="8302"/>
        </w:tabs>
        <w:spacing w:line="360" w:lineRule="exact"/>
        <w:ind w:left="0" w:firstLine="210" w:firstLineChars="100"/>
      </w:pPr>
      <w:r>
        <w:fldChar w:fldCharType="begin"/>
      </w:r>
      <w:r>
        <w:instrText xml:space="preserve"> HYPERLINK \l "_Toc24992" </w:instrText>
      </w:r>
      <w:r>
        <w:fldChar w:fldCharType="separate"/>
      </w:r>
      <w:r>
        <w:rPr>
          <w:rFonts w:hint="eastAsia"/>
        </w:rPr>
        <w:t>3</w:t>
      </w:r>
      <w:r>
        <w:t>.</w:t>
      </w:r>
      <w:r>
        <w:rPr>
          <w:rFonts w:hint="eastAsia"/>
        </w:rPr>
        <w:t>2</w:t>
      </w:r>
      <w:r>
        <w:t xml:space="preserve"> </w:t>
      </w:r>
      <w:r>
        <w:rPr>
          <w:rFonts w:hint="eastAsia"/>
        </w:rPr>
        <w:t>建设项目概况</w:t>
      </w:r>
      <w:r>
        <w:tab/>
      </w:r>
      <w:r>
        <w:fldChar w:fldCharType="begin"/>
      </w:r>
      <w:r>
        <w:instrText xml:space="preserve"> PAGEREF _Toc24992 \h </w:instrText>
      </w:r>
      <w:r>
        <w:fldChar w:fldCharType="separate"/>
      </w:r>
      <w:r>
        <w:t>46</w:t>
      </w:r>
      <w:r>
        <w:fldChar w:fldCharType="end"/>
      </w:r>
      <w:r>
        <w:fldChar w:fldCharType="end"/>
      </w:r>
    </w:p>
    <w:p w14:paraId="68676A50">
      <w:pPr>
        <w:pStyle w:val="35"/>
        <w:tabs>
          <w:tab w:val="right" w:leader="dot" w:pos="9072"/>
          <w:tab w:val="clear" w:pos="8302"/>
        </w:tabs>
        <w:spacing w:line="360" w:lineRule="exact"/>
        <w:ind w:left="0" w:firstLine="210" w:firstLineChars="100"/>
      </w:pPr>
      <w:r>
        <w:fldChar w:fldCharType="begin"/>
      </w:r>
      <w:r>
        <w:instrText xml:space="preserve"> HYPERLINK \l "_Toc28376" </w:instrText>
      </w:r>
      <w:r>
        <w:fldChar w:fldCharType="separate"/>
      </w:r>
      <w:r>
        <w:rPr>
          <w:rFonts w:hint="eastAsia"/>
        </w:rPr>
        <w:t>3.</w:t>
      </w:r>
      <w:r>
        <w:t>3</w:t>
      </w:r>
      <w:r>
        <w:rPr>
          <w:rFonts w:hint="eastAsia"/>
        </w:rPr>
        <w:t xml:space="preserve"> 公用及贮运工程</w:t>
      </w:r>
      <w:r>
        <w:tab/>
      </w:r>
      <w:r>
        <w:fldChar w:fldCharType="begin"/>
      </w:r>
      <w:r>
        <w:instrText xml:space="preserve"> PAGEREF _Toc28376 \h </w:instrText>
      </w:r>
      <w:r>
        <w:fldChar w:fldCharType="separate"/>
      </w:r>
      <w:r>
        <w:t>48</w:t>
      </w:r>
      <w:r>
        <w:fldChar w:fldCharType="end"/>
      </w:r>
      <w:r>
        <w:fldChar w:fldCharType="end"/>
      </w:r>
    </w:p>
    <w:p w14:paraId="06CD52F4">
      <w:pPr>
        <w:pStyle w:val="35"/>
        <w:tabs>
          <w:tab w:val="right" w:leader="dot" w:pos="9072"/>
          <w:tab w:val="clear" w:pos="8302"/>
        </w:tabs>
        <w:spacing w:line="360" w:lineRule="exact"/>
        <w:ind w:left="0" w:firstLine="210" w:firstLineChars="100"/>
      </w:pPr>
      <w:r>
        <w:fldChar w:fldCharType="begin"/>
      </w:r>
      <w:r>
        <w:instrText xml:space="preserve"> HYPERLINK \l "_Toc3387" </w:instrText>
      </w:r>
      <w:r>
        <w:fldChar w:fldCharType="separate"/>
      </w:r>
      <w:r>
        <w:rPr>
          <w:rFonts w:hint="eastAsia"/>
        </w:rPr>
        <w:t>3</w:t>
      </w:r>
      <w:r>
        <w:t xml:space="preserve">.4 </w:t>
      </w:r>
      <w:r>
        <w:rPr>
          <w:rFonts w:hint="eastAsia"/>
        </w:rPr>
        <w:t>平面布置及周围环境概况</w:t>
      </w:r>
      <w:r>
        <w:tab/>
      </w:r>
      <w:r>
        <w:fldChar w:fldCharType="begin"/>
      </w:r>
      <w:r>
        <w:instrText xml:space="preserve"> PAGEREF _Toc3387 \h </w:instrText>
      </w:r>
      <w:r>
        <w:fldChar w:fldCharType="separate"/>
      </w:r>
      <w:r>
        <w:t>51</w:t>
      </w:r>
      <w:r>
        <w:fldChar w:fldCharType="end"/>
      </w:r>
      <w:r>
        <w:fldChar w:fldCharType="end"/>
      </w:r>
    </w:p>
    <w:p w14:paraId="044AD9EF">
      <w:pPr>
        <w:pStyle w:val="35"/>
        <w:tabs>
          <w:tab w:val="right" w:leader="dot" w:pos="9072"/>
          <w:tab w:val="clear" w:pos="8302"/>
        </w:tabs>
        <w:spacing w:line="360" w:lineRule="exact"/>
        <w:ind w:left="0" w:firstLine="210" w:firstLineChars="100"/>
      </w:pPr>
      <w:r>
        <w:fldChar w:fldCharType="begin"/>
      </w:r>
      <w:r>
        <w:instrText xml:space="preserve"> HYPERLINK \l "_Toc1230" </w:instrText>
      </w:r>
      <w:r>
        <w:fldChar w:fldCharType="separate"/>
      </w:r>
      <w:r>
        <w:rPr>
          <w:rFonts w:hint="eastAsia"/>
        </w:rPr>
        <w:t>3</w:t>
      </w:r>
      <w:r>
        <w:t xml:space="preserve">.5 </w:t>
      </w:r>
      <w:r>
        <w:rPr>
          <w:rFonts w:hint="eastAsia"/>
        </w:rPr>
        <w:t>生产工艺流程及产污环节分析</w:t>
      </w:r>
      <w:r>
        <w:tab/>
      </w:r>
      <w:r>
        <w:fldChar w:fldCharType="begin"/>
      </w:r>
      <w:r>
        <w:instrText xml:space="preserve"> PAGEREF _Toc1230 \h </w:instrText>
      </w:r>
      <w:r>
        <w:fldChar w:fldCharType="separate"/>
      </w:r>
      <w:r>
        <w:t>52</w:t>
      </w:r>
      <w:r>
        <w:fldChar w:fldCharType="end"/>
      </w:r>
      <w:r>
        <w:fldChar w:fldCharType="end"/>
      </w:r>
    </w:p>
    <w:p w14:paraId="6C0A5AA5">
      <w:pPr>
        <w:pStyle w:val="35"/>
        <w:tabs>
          <w:tab w:val="right" w:leader="dot" w:pos="9072"/>
          <w:tab w:val="clear" w:pos="8302"/>
        </w:tabs>
        <w:spacing w:line="360" w:lineRule="exact"/>
        <w:ind w:left="0" w:firstLine="210" w:firstLineChars="100"/>
      </w:pPr>
      <w:r>
        <w:fldChar w:fldCharType="begin"/>
      </w:r>
      <w:r>
        <w:instrText xml:space="preserve"> HYPERLINK \l "_Toc2801" </w:instrText>
      </w:r>
      <w:r>
        <w:fldChar w:fldCharType="separate"/>
      </w:r>
      <w:r>
        <w:rPr>
          <w:rFonts w:hint="eastAsia"/>
        </w:rPr>
        <w:t>3</w:t>
      </w:r>
      <w:r>
        <w:t xml:space="preserve">.6 </w:t>
      </w:r>
      <w:r>
        <w:rPr>
          <w:rFonts w:hint="eastAsia"/>
        </w:rPr>
        <w:t>水平衡分析</w:t>
      </w:r>
      <w:r>
        <w:tab/>
      </w:r>
      <w:r>
        <w:fldChar w:fldCharType="begin"/>
      </w:r>
      <w:r>
        <w:instrText xml:space="preserve"> PAGEREF _Toc2801 \h </w:instrText>
      </w:r>
      <w:r>
        <w:fldChar w:fldCharType="separate"/>
      </w:r>
      <w:r>
        <w:t>56</w:t>
      </w:r>
      <w:r>
        <w:fldChar w:fldCharType="end"/>
      </w:r>
      <w:r>
        <w:fldChar w:fldCharType="end"/>
      </w:r>
    </w:p>
    <w:p w14:paraId="09B7DAF5">
      <w:pPr>
        <w:pStyle w:val="35"/>
        <w:tabs>
          <w:tab w:val="right" w:leader="dot" w:pos="9072"/>
          <w:tab w:val="clear" w:pos="8302"/>
        </w:tabs>
        <w:spacing w:line="360" w:lineRule="exact"/>
        <w:ind w:left="0" w:firstLine="210" w:firstLineChars="100"/>
      </w:pPr>
      <w:r>
        <w:fldChar w:fldCharType="begin"/>
      </w:r>
      <w:r>
        <w:instrText xml:space="preserve"> HYPERLINK \l "_Toc28842" </w:instrText>
      </w:r>
      <w:r>
        <w:fldChar w:fldCharType="separate"/>
      </w:r>
      <w:r>
        <w:rPr>
          <w:rFonts w:hint="eastAsia"/>
        </w:rPr>
        <w:t>3</w:t>
      </w:r>
      <w:r>
        <w:t xml:space="preserve">.7 </w:t>
      </w:r>
      <w:r>
        <w:rPr>
          <w:rFonts w:hint="eastAsia"/>
        </w:rPr>
        <w:t>污染源强及污染物排放量分析</w:t>
      </w:r>
      <w:r>
        <w:tab/>
      </w:r>
      <w:r>
        <w:fldChar w:fldCharType="begin"/>
      </w:r>
      <w:r>
        <w:instrText xml:space="preserve"> PAGEREF _Toc28842 \h </w:instrText>
      </w:r>
      <w:r>
        <w:fldChar w:fldCharType="separate"/>
      </w:r>
      <w:r>
        <w:t>61</w:t>
      </w:r>
      <w:r>
        <w:fldChar w:fldCharType="end"/>
      </w:r>
      <w:r>
        <w:fldChar w:fldCharType="end"/>
      </w:r>
    </w:p>
    <w:p w14:paraId="54A9C1CF">
      <w:pPr>
        <w:pStyle w:val="35"/>
        <w:tabs>
          <w:tab w:val="right" w:leader="dot" w:pos="9072"/>
          <w:tab w:val="clear" w:pos="8302"/>
        </w:tabs>
        <w:spacing w:line="360" w:lineRule="exact"/>
        <w:ind w:left="0" w:firstLine="210" w:firstLineChars="100"/>
      </w:pPr>
      <w:r>
        <w:fldChar w:fldCharType="begin"/>
      </w:r>
      <w:r>
        <w:instrText xml:space="preserve"> HYPERLINK \l "_Toc2122" </w:instrText>
      </w:r>
      <w:r>
        <w:fldChar w:fldCharType="separate"/>
      </w:r>
      <w:r>
        <w:rPr>
          <w:rFonts w:hint="eastAsia"/>
        </w:rPr>
        <w:t>3</w:t>
      </w:r>
      <w:r>
        <w:t xml:space="preserve">.8 </w:t>
      </w:r>
      <w:r>
        <w:rPr>
          <w:rFonts w:hint="eastAsia"/>
        </w:rPr>
        <w:t>污染物排放量汇总</w:t>
      </w:r>
      <w:r>
        <w:tab/>
      </w:r>
      <w:r>
        <w:fldChar w:fldCharType="begin"/>
      </w:r>
      <w:r>
        <w:instrText xml:space="preserve"> PAGEREF _Toc2122 \h </w:instrText>
      </w:r>
      <w:r>
        <w:fldChar w:fldCharType="separate"/>
      </w:r>
      <w:r>
        <w:t>73</w:t>
      </w:r>
      <w:r>
        <w:fldChar w:fldCharType="end"/>
      </w:r>
      <w:r>
        <w:fldChar w:fldCharType="end"/>
      </w:r>
    </w:p>
    <w:p w14:paraId="6160D155">
      <w:pPr>
        <w:pStyle w:val="35"/>
        <w:tabs>
          <w:tab w:val="right" w:leader="dot" w:pos="9072"/>
          <w:tab w:val="clear" w:pos="8302"/>
        </w:tabs>
        <w:spacing w:line="360" w:lineRule="exact"/>
        <w:ind w:left="0" w:firstLine="210" w:firstLineChars="100"/>
      </w:pPr>
      <w:r>
        <w:fldChar w:fldCharType="begin"/>
      </w:r>
      <w:r>
        <w:instrText xml:space="preserve"> HYPERLINK \l "_Toc7687" </w:instrText>
      </w:r>
      <w:r>
        <w:fldChar w:fldCharType="separate"/>
      </w:r>
      <w:r>
        <w:rPr>
          <w:rFonts w:hint="eastAsia"/>
        </w:rPr>
        <w:t>3</w:t>
      </w:r>
      <w:r>
        <w:t>.9</w:t>
      </w:r>
      <w:r>
        <w:rPr>
          <w:rFonts w:hint="eastAsia"/>
        </w:rPr>
        <w:t>环境风险识别</w:t>
      </w:r>
      <w:r>
        <w:tab/>
      </w:r>
      <w:r>
        <w:fldChar w:fldCharType="begin"/>
      </w:r>
      <w:r>
        <w:instrText xml:space="preserve"> PAGEREF _Toc7687 \h </w:instrText>
      </w:r>
      <w:r>
        <w:fldChar w:fldCharType="separate"/>
      </w:r>
      <w:r>
        <w:t>74</w:t>
      </w:r>
      <w:r>
        <w:fldChar w:fldCharType="end"/>
      </w:r>
      <w:r>
        <w:fldChar w:fldCharType="end"/>
      </w:r>
    </w:p>
    <w:p w14:paraId="23B1A375">
      <w:pPr>
        <w:pStyle w:val="35"/>
        <w:tabs>
          <w:tab w:val="right" w:leader="dot" w:pos="9072"/>
          <w:tab w:val="clear" w:pos="8302"/>
        </w:tabs>
        <w:spacing w:line="360" w:lineRule="exact"/>
        <w:ind w:left="0" w:firstLine="210" w:firstLineChars="100"/>
      </w:pPr>
      <w:r>
        <w:fldChar w:fldCharType="begin"/>
      </w:r>
      <w:r>
        <w:instrText xml:space="preserve"> HYPERLINK \l "_Toc20322" </w:instrText>
      </w:r>
      <w:r>
        <w:fldChar w:fldCharType="separate"/>
      </w:r>
      <w:r>
        <w:rPr>
          <w:rFonts w:hint="eastAsia"/>
        </w:rPr>
        <w:t>3</w:t>
      </w:r>
      <w:r>
        <w:t xml:space="preserve">.10 </w:t>
      </w:r>
      <w:r>
        <w:rPr>
          <w:rFonts w:hint="eastAsia"/>
        </w:rPr>
        <w:t>清洁生产分析</w:t>
      </w:r>
      <w:r>
        <w:tab/>
      </w:r>
      <w:r>
        <w:fldChar w:fldCharType="begin"/>
      </w:r>
      <w:r>
        <w:instrText xml:space="preserve"> PAGEREF _Toc20322 \h </w:instrText>
      </w:r>
      <w:r>
        <w:fldChar w:fldCharType="separate"/>
      </w:r>
      <w:r>
        <w:t>78</w:t>
      </w:r>
      <w:r>
        <w:fldChar w:fldCharType="end"/>
      </w:r>
      <w:r>
        <w:fldChar w:fldCharType="end"/>
      </w:r>
    </w:p>
    <w:p w14:paraId="7B595F02">
      <w:pPr>
        <w:pStyle w:val="27"/>
        <w:tabs>
          <w:tab w:val="right" w:leader="dot" w:pos="9072"/>
          <w:tab w:val="clear" w:pos="8302"/>
        </w:tabs>
        <w:spacing w:before="0" w:after="0" w:line="360" w:lineRule="exact"/>
      </w:pPr>
      <w:r>
        <w:fldChar w:fldCharType="begin"/>
      </w:r>
      <w:r>
        <w:instrText xml:space="preserve"> HYPERLINK \l "_Toc4433" </w:instrText>
      </w:r>
      <w:r>
        <w:fldChar w:fldCharType="separate"/>
      </w:r>
      <w:r>
        <w:rPr>
          <w:rFonts w:hint="eastAsia"/>
        </w:rPr>
        <w:t>4</w:t>
      </w:r>
      <w:r>
        <w:t xml:space="preserve"> </w:t>
      </w:r>
      <w:r>
        <w:rPr>
          <w:rFonts w:hint="eastAsia"/>
        </w:rPr>
        <w:t>环境现状调查与评价</w:t>
      </w:r>
      <w:r>
        <w:tab/>
      </w:r>
      <w:r>
        <w:fldChar w:fldCharType="begin"/>
      </w:r>
      <w:r>
        <w:instrText xml:space="preserve"> PAGEREF _Toc4433 \h </w:instrText>
      </w:r>
      <w:r>
        <w:fldChar w:fldCharType="separate"/>
      </w:r>
      <w:r>
        <w:t>80</w:t>
      </w:r>
      <w:r>
        <w:fldChar w:fldCharType="end"/>
      </w:r>
      <w:r>
        <w:fldChar w:fldCharType="end"/>
      </w:r>
    </w:p>
    <w:p w14:paraId="5F68E380">
      <w:pPr>
        <w:pStyle w:val="35"/>
        <w:tabs>
          <w:tab w:val="right" w:leader="dot" w:pos="9072"/>
          <w:tab w:val="clear" w:pos="8302"/>
        </w:tabs>
        <w:spacing w:line="360" w:lineRule="exact"/>
        <w:ind w:left="0" w:firstLine="210" w:firstLineChars="100"/>
      </w:pPr>
      <w:r>
        <w:fldChar w:fldCharType="begin"/>
      </w:r>
      <w:r>
        <w:instrText xml:space="preserve"> HYPERLINK \l "_Toc112" </w:instrText>
      </w:r>
      <w:r>
        <w:fldChar w:fldCharType="separate"/>
      </w:r>
      <w:r>
        <w:rPr>
          <w:rFonts w:hint="eastAsia"/>
        </w:rPr>
        <w:t>4</w:t>
      </w:r>
      <w:r>
        <w:t xml:space="preserve">.1 </w:t>
      </w:r>
      <w:r>
        <w:rPr>
          <w:rFonts w:hint="eastAsia"/>
        </w:rPr>
        <w:t>地理位置</w:t>
      </w:r>
      <w:r>
        <w:tab/>
      </w:r>
      <w:r>
        <w:fldChar w:fldCharType="begin"/>
      </w:r>
      <w:r>
        <w:instrText xml:space="preserve"> PAGEREF _Toc112 \h </w:instrText>
      </w:r>
      <w:r>
        <w:fldChar w:fldCharType="separate"/>
      </w:r>
      <w:r>
        <w:t>80</w:t>
      </w:r>
      <w:r>
        <w:fldChar w:fldCharType="end"/>
      </w:r>
      <w:r>
        <w:fldChar w:fldCharType="end"/>
      </w:r>
    </w:p>
    <w:p w14:paraId="6C1E588A">
      <w:pPr>
        <w:pStyle w:val="35"/>
        <w:tabs>
          <w:tab w:val="right" w:leader="dot" w:pos="9072"/>
          <w:tab w:val="clear" w:pos="8302"/>
        </w:tabs>
        <w:spacing w:line="360" w:lineRule="exact"/>
        <w:ind w:left="0" w:firstLine="210" w:firstLineChars="100"/>
      </w:pPr>
      <w:r>
        <w:fldChar w:fldCharType="begin"/>
      </w:r>
      <w:r>
        <w:instrText xml:space="preserve"> HYPERLINK \l "_Toc12156" </w:instrText>
      </w:r>
      <w:r>
        <w:fldChar w:fldCharType="separate"/>
      </w:r>
      <w:r>
        <w:rPr>
          <w:rFonts w:hint="eastAsia"/>
        </w:rPr>
        <w:t>4</w:t>
      </w:r>
      <w:r>
        <w:t>.</w:t>
      </w:r>
      <w:r>
        <w:rPr>
          <w:rFonts w:hint="eastAsia"/>
        </w:rPr>
        <w:t>2</w:t>
      </w:r>
      <w:r>
        <w:t xml:space="preserve"> </w:t>
      </w:r>
      <w:r>
        <w:rPr>
          <w:rFonts w:hint="eastAsia"/>
        </w:rPr>
        <w:t>自然环境概况</w:t>
      </w:r>
      <w:r>
        <w:tab/>
      </w:r>
      <w:r>
        <w:fldChar w:fldCharType="begin"/>
      </w:r>
      <w:r>
        <w:instrText xml:space="preserve"> PAGEREF _Toc12156 \h </w:instrText>
      </w:r>
      <w:r>
        <w:fldChar w:fldCharType="separate"/>
      </w:r>
      <w:r>
        <w:t>80</w:t>
      </w:r>
      <w:r>
        <w:fldChar w:fldCharType="end"/>
      </w:r>
      <w:r>
        <w:fldChar w:fldCharType="end"/>
      </w:r>
    </w:p>
    <w:p w14:paraId="0228D33F">
      <w:pPr>
        <w:pStyle w:val="35"/>
        <w:tabs>
          <w:tab w:val="right" w:leader="dot" w:pos="9072"/>
          <w:tab w:val="clear" w:pos="8302"/>
        </w:tabs>
        <w:spacing w:line="360" w:lineRule="exact"/>
        <w:ind w:left="0" w:firstLine="210" w:firstLineChars="100"/>
      </w:pPr>
      <w:r>
        <w:fldChar w:fldCharType="begin"/>
      </w:r>
      <w:r>
        <w:instrText xml:space="preserve"> HYPERLINK \l "_Toc7053" </w:instrText>
      </w:r>
      <w:r>
        <w:fldChar w:fldCharType="separate"/>
      </w:r>
      <w:r>
        <w:rPr>
          <w:rFonts w:hint="eastAsia"/>
        </w:rPr>
        <w:t>4</w:t>
      </w:r>
      <w:r>
        <w:t>.</w:t>
      </w:r>
      <w:r>
        <w:rPr>
          <w:rFonts w:hint="eastAsia"/>
        </w:rPr>
        <w:t>3</w:t>
      </w:r>
      <w:r>
        <w:t xml:space="preserve"> </w:t>
      </w:r>
      <w:r>
        <w:rPr>
          <w:rFonts w:hint="eastAsia"/>
        </w:rPr>
        <w:t>环境质量现状调查与评价</w:t>
      </w:r>
      <w:r>
        <w:tab/>
      </w:r>
      <w:r>
        <w:fldChar w:fldCharType="begin"/>
      </w:r>
      <w:r>
        <w:instrText xml:space="preserve"> PAGEREF _Toc7053 \h </w:instrText>
      </w:r>
      <w:r>
        <w:fldChar w:fldCharType="separate"/>
      </w:r>
      <w:r>
        <w:t>87</w:t>
      </w:r>
      <w:r>
        <w:fldChar w:fldCharType="end"/>
      </w:r>
      <w:r>
        <w:fldChar w:fldCharType="end"/>
      </w:r>
    </w:p>
    <w:p w14:paraId="407597FE">
      <w:pPr>
        <w:pStyle w:val="27"/>
        <w:tabs>
          <w:tab w:val="right" w:leader="dot" w:pos="9072"/>
          <w:tab w:val="clear" w:pos="8302"/>
        </w:tabs>
        <w:spacing w:before="0" w:after="0" w:line="360" w:lineRule="exact"/>
      </w:pPr>
      <w:r>
        <w:fldChar w:fldCharType="begin"/>
      </w:r>
      <w:r>
        <w:instrText xml:space="preserve"> HYPERLINK \l "_Toc24682" </w:instrText>
      </w:r>
      <w:r>
        <w:fldChar w:fldCharType="separate"/>
      </w:r>
      <w:r>
        <w:rPr>
          <w:rFonts w:hint="eastAsia"/>
        </w:rPr>
        <w:t>5</w:t>
      </w:r>
      <w:r>
        <w:t xml:space="preserve"> </w:t>
      </w:r>
      <w:r>
        <w:rPr>
          <w:rFonts w:hint="eastAsia"/>
        </w:rPr>
        <w:t>环境影响预测与评价</w:t>
      </w:r>
      <w:r>
        <w:tab/>
      </w:r>
      <w:r>
        <w:fldChar w:fldCharType="begin"/>
      </w:r>
      <w:r>
        <w:instrText xml:space="preserve"> PAGEREF _Toc24682 \h </w:instrText>
      </w:r>
      <w:r>
        <w:fldChar w:fldCharType="separate"/>
      </w:r>
      <w:r>
        <w:t>101</w:t>
      </w:r>
      <w:r>
        <w:fldChar w:fldCharType="end"/>
      </w:r>
      <w:r>
        <w:fldChar w:fldCharType="end"/>
      </w:r>
    </w:p>
    <w:p w14:paraId="2F329425">
      <w:pPr>
        <w:pStyle w:val="35"/>
        <w:tabs>
          <w:tab w:val="right" w:leader="dot" w:pos="9072"/>
          <w:tab w:val="clear" w:pos="8302"/>
        </w:tabs>
        <w:spacing w:line="360" w:lineRule="exact"/>
        <w:ind w:left="0" w:firstLine="210" w:firstLineChars="100"/>
      </w:pPr>
      <w:r>
        <w:fldChar w:fldCharType="begin"/>
      </w:r>
      <w:r>
        <w:instrText xml:space="preserve"> HYPERLINK \l "_Toc22678" </w:instrText>
      </w:r>
      <w:r>
        <w:fldChar w:fldCharType="separate"/>
      </w:r>
      <w:r>
        <w:rPr>
          <w:rFonts w:hint="eastAsia"/>
        </w:rPr>
        <w:t>5</w:t>
      </w:r>
      <w:r>
        <w:t xml:space="preserve">.1 </w:t>
      </w:r>
      <w:r>
        <w:rPr>
          <w:rFonts w:hint="eastAsia"/>
        </w:rPr>
        <w:t>施工期环境影响评价</w:t>
      </w:r>
      <w:r>
        <w:tab/>
      </w:r>
      <w:r>
        <w:fldChar w:fldCharType="begin"/>
      </w:r>
      <w:r>
        <w:instrText xml:space="preserve"> PAGEREF _Toc22678 \h </w:instrText>
      </w:r>
      <w:r>
        <w:fldChar w:fldCharType="separate"/>
      </w:r>
      <w:r>
        <w:t>101</w:t>
      </w:r>
      <w:r>
        <w:fldChar w:fldCharType="end"/>
      </w:r>
      <w:r>
        <w:fldChar w:fldCharType="end"/>
      </w:r>
    </w:p>
    <w:p w14:paraId="754701B4">
      <w:pPr>
        <w:pStyle w:val="35"/>
        <w:tabs>
          <w:tab w:val="right" w:leader="dot" w:pos="9072"/>
          <w:tab w:val="clear" w:pos="8302"/>
        </w:tabs>
        <w:spacing w:line="360" w:lineRule="exact"/>
        <w:ind w:left="0" w:firstLine="210" w:firstLineChars="100"/>
      </w:pPr>
      <w:r>
        <w:fldChar w:fldCharType="begin"/>
      </w:r>
      <w:r>
        <w:instrText xml:space="preserve"> HYPERLINK \l "_Toc13823" </w:instrText>
      </w:r>
      <w:r>
        <w:fldChar w:fldCharType="separate"/>
      </w:r>
      <w:r>
        <w:rPr>
          <w:rFonts w:hint="eastAsia"/>
        </w:rPr>
        <w:t>5</w:t>
      </w:r>
      <w:r>
        <w:t xml:space="preserve">.2 </w:t>
      </w:r>
      <w:r>
        <w:rPr>
          <w:rFonts w:hint="eastAsia"/>
        </w:rPr>
        <w:t>营运期大气环境影响预测评价</w:t>
      </w:r>
      <w:r>
        <w:tab/>
      </w:r>
      <w:r>
        <w:fldChar w:fldCharType="begin"/>
      </w:r>
      <w:r>
        <w:instrText xml:space="preserve"> PAGEREF _Toc13823 \h </w:instrText>
      </w:r>
      <w:r>
        <w:fldChar w:fldCharType="separate"/>
      </w:r>
      <w:r>
        <w:t>106</w:t>
      </w:r>
      <w:r>
        <w:fldChar w:fldCharType="end"/>
      </w:r>
      <w:r>
        <w:fldChar w:fldCharType="end"/>
      </w:r>
    </w:p>
    <w:p w14:paraId="6B2EF5CC">
      <w:pPr>
        <w:pStyle w:val="35"/>
        <w:tabs>
          <w:tab w:val="right" w:leader="dot" w:pos="9072"/>
          <w:tab w:val="clear" w:pos="8302"/>
        </w:tabs>
        <w:spacing w:line="360" w:lineRule="exact"/>
        <w:ind w:left="0" w:firstLine="210" w:firstLineChars="100"/>
      </w:pPr>
      <w:r>
        <w:fldChar w:fldCharType="begin"/>
      </w:r>
      <w:r>
        <w:instrText xml:space="preserve"> HYPERLINK \l "_Toc15722" </w:instrText>
      </w:r>
      <w:r>
        <w:fldChar w:fldCharType="separate"/>
      </w:r>
      <w:r>
        <w:rPr>
          <w:rFonts w:hint="eastAsia"/>
        </w:rPr>
        <w:t>5</w:t>
      </w:r>
      <w:r>
        <w:t xml:space="preserve">.3 </w:t>
      </w:r>
      <w:r>
        <w:rPr>
          <w:rFonts w:hint="eastAsia"/>
        </w:rPr>
        <w:t>营运期地表水环境影响评价</w:t>
      </w:r>
      <w:r>
        <w:tab/>
      </w:r>
      <w:r>
        <w:fldChar w:fldCharType="begin"/>
      </w:r>
      <w:r>
        <w:instrText xml:space="preserve"> PAGEREF _Toc15722 \h </w:instrText>
      </w:r>
      <w:r>
        <w:fldChar w:fldCharType="separate"/>
      </w:r>
      <w:r>
        <w:t>121</w:t>
      </w:r>
      <w:r>
        <w:fldChar w:fldCharType="end"/>
      </w:r>
      <w:r>
        <w:fldChar w:fldCharType="end"/>
      </w:r>
    </w:p>
    <w:p w14:paraId="69B44AC2">
      <w:pPr>
        <w:pStyle w:val="35"/>
        <w:tabs>
          <w:tab w:val="right" w:leader="dot" w:pos="9072"/>
          <w:tab w:val="clear" w:pos="8302"/>
        </w:tabs>
        <w:spacing w:line="360" w:lineRule="exact"/>
        <w:ind w:left="0" w:firstLine="210" w:firstLineChars="100"/>
      </w:pPr>
      <w:r>
        <w:fldChar w:fldCharType="begin"/>
      </w:r>
      <w:r>
        <w:instrText xml:space="preserve"> HYPERLINK \l "_Toc4658" </w:instrText>
      </w:r>
      <w:r>
        <w:fldChar w:fldCharType="separate"/>
      </w:r>
      <w:r>
        <w:rPr>
          <w:rFonts w:hint="eastAsia"/>
        </w:rPr>
        <w:t>5</w:t>
      </w:r>
      <w:r>
        <w:t>.</w:t>
      </w:r>
      <w:r>
        <w:rPr>
          <w:rFonts w:hint="eastAsia"/>
        </w:rPr>
        <w:t>4</w:t>
      </w:r>
      <w:r>
        <w:t xml:space="preserve"> </w:t>
      </w:r>
      <w:r>
        <w:rPr>
          <w:rFonts w:hint="eastAsia"/>
        </w:rPr>
        <w:t>声环境影响评价</w:t>
      </w:r>
      <w:r>
        <w:tab/>
      </w:r>
      <w:r>
        <w:fldChar w:fldCharType="begin"/>
      </w:r>
      <w:r>
        <w:instrText xml:space="preserve"> PAGEREF _Toc4658 \h </w:instrText>
      </w:r>
      <w:r>
        <w:fldChar w:fldCharType="separate"/>
      </w:r>
      <w:r>
        <w:t>125</w:t>
      </w:r>
      <w:r>
        <w:fldChar w:fldCharType="end"/>
      </w:r>
      <w:r>
        <w:fldChar w:fldCharType="end"/>
      </w:r>
    </w:p>
    <w:p w14:paraId="5B3FE955">
      <w:pPr>
        <w:pStyle w:val="35"/>
        <w:tabs>
          <w:tab w:val="right" w:leader="dot" w:pos="9072"/>
          <w:tab w:val="clear" w:pos="8302"/>
        </w:tabs>
        <w:spacing w:line="360" w:lineRule="exact"/>
        <w:ind w:left="0" w:firstLine="210" w:firstLineChars="100"/>
      </w:pPr>
      <w:r>
        <w:fldChar w:fldCharType="begin"/>
      </w:r>
      <w:r>
        <w:instrText xml:space="preserve"> HYPERLINK \l "_Toc15002" </w:instrText>
      </w:r>
      <w:r>
        <w:fldChar w:fldCharType="separate"/>
      </w:r>
      <w:r>
        <w:rPr>
          <w:rFonts w:hint="eastAsia"/>
        </w:rPr>
        <w:t>5</w:t>
      </w:r>
      <w:r>
        <w:t>.</w:t>
      </w:r>
      <w:r>
        <w:rPr>
          <w:rFonts w:hint="eastAsia"/>
        </w:rPr>
        <w:t>5</w:t>
      </w:r>
      <w:r>
        <w:t xml:space="preserve"> </w:t>
      </w:r>
      <w:r>
        <w:rPr>
          <w:rFonts w:hint="eastAsia"/>
        </w:rPr>
        <w:t>固体废物环境影响评价</w:t>
      </w:r>
      <w:r>
        <w:tab/>
      </w:r>
      <w:r>
        <w:fldChar w:fldCharType="begin"/>
      </w:r>
      <w:r>
        <w:instrText xml:space="preserve"> PAGEREF _Toc15002 \h </w:instrText>
      </w:r>
      <w:r>
        <w:fldChar w:fldCharType="separate"/>
      </w:r>
      <w:r>
        <w:t>133</w:t>
      </w:r>
      <w:r>
        <w:fldChar w:fldCharType="end"/>
      </w:r>
      <w:r>
        <w:fldChar w:fldCharType="end"/>
      </w:r>
    </w:p>
    <w:p w14:paraId="71D44F26">
      <w:pPr>
        <w:pStyle w:val="35"/>
        <w:tabs>
          <w:tab w:val="right" w:leader="dot" w:pos="9072"/>
          <w:tab w:val="clear" w:pos="8302"/>
        </w:tabs>
        <w:spacing w:line="360" w:lineRule="exact"/>
        <w:ind w:left="0" w:firstLine="210" w:firstLineChars="100"/>
      </w:pPr>
      <w:r>
        <w:fldChar w:fldCharType="begin"/>
      </w:r>
      <w:r>
        <w:instrText xml:space="preserve"> HYPERLINK \l "_Toc21013" </w:instrText>
      </w:r>
      <w:r>
        <w:fldChar w:fldCharType="separate"/>
      </w:r>
      <w:r>
        <w:rPr>
          <w:rFonts w:hint="eastAsia"/>
        </w:rPr>
        <w:t>5</w:t>
      </w:r>
      <w:r>
        <w:t>.</w:t>
      </w:r>
      <w:r>
        <w:rPr>
          <w:rFonts w:hint="eastAsia"/>
        </w:rPr>
        <w:t>6</w:t>
      </w:r>
      <w:r>
        <w:t xml:space="preserve"> </w:t>
      </w:r>
      <w:r>
        <w:rPr>
          <w:rFonts w:hint="eastAsia"/>
        </w:rPr>
        <w:t>地下水环境影响评价</w:t>
      </w:r>
      <w:r>
        <w:tab/>
      </w:r>
      <w:r>
        <w:fldChar w:fldCharType="begin"/>
      </w:r>
      <w:r>
        <w:instrText xml:space="preserve"> PAGEREF _Toc21013 \h </w:instrText>
      </w:r>
      <w:r>
        <w:fldChar w:fldCharType="separate"/>
      </w:r>
      <w:r>
        <w:t>138</w:t>
      </w:r>
      <w:r>
        <w:fldChar w:fldCharType="end"/>
      </w:r>
      <w:r>
        <w:fldChar w:fldCharType="end"/>
      </w:r>
    </w:p>
    <w:p w14:paraId="1E13D7E0">
      <w:pPr>
        <w:pStyle w:val="35"/>
        <w:tabs>
          <w:tab w:val="right" w:leader="dot" w:pos="9072"/>
          <w:tab w:val="clear" w:pos="8302"/>
        </w:tabs>
        <w:spacing w:line="360" w:lineRule="exact"/>
        <w:ind w:left="0" w:firstLine="210" w:firstLineChars="100"/>
      </w:pPr>
      <w:r>
        <w:fldChar w:fldCharType="begin"/>
      </w:r>
      <w:r>
        <w:instrText xml:space="preserve"> HYPERLINK \l "_Toc31696" </w:instrText>
      </w:r>
      <w:r>
        <w:fldChar w:fldCharType="separate"/>
      </w:r>
      <w:r>
        <w:rPr>
          <w:rFonts w:hint="eastAsia"/>
        </w:rPr>
        <w:t>5.7 土壤环境影响预测与评价</w:t>
      </w:r>
      <w:r>
        <w:tab/>
      </w:r>
      <w:r>
        <w:fldChar w:fldCharType="begin"/>
      </w:r>
      <w:r>
        <w:instrText xml:space="preserve"> PAGEREF _Toc31696 \h </w:instrText>
      </w:r>
      <w:r>
        <w:fldChar w:fldCharType="separate"/>
      </w:r>
      <w:r>
        <w:t>148</w:t>
      </w:r>
      <w:r>
        <w:fldChar w:fldCharType="end"/>
      </w:r>
      <w:r>
        <w:fldChar w:fldCharType="end"/>
      </w:r>
    </w:p>
    <w:p w14:paraId="5520A70A">
      <w:pPr>
        <w:pStyle w:val="35"/>
        <w:tabs>
          <w:tab w:val="right" w:leader="dot" w:pos="9072"/>
          <w:tab w:val="clear" w:pos="8302"/>
        </w:tabs>
        <w:spacing w:line="360" w:lineRule="exact"/>
        <w:ind w:left="0" w:firstLine="210" w:firstLineChars="100"/>
      </w:pPr>
      <w:r>
        <w:fldChar w:fldCharType="begin"/>
      </w:r>
      <w:r>
        <w:instrText xml:space="preserve"> HYPERLINK \l "_Toc30092" </w:instrText>
      </w:r>
      <w:r>
        <w:fldChar w:fldCharType="separate"/>
      </w:r>
      <w:r>
        <w:rPr>
          <w:rFonts w:hint="eastAsia"/>
        </w:rPr>
        <w:t>5</w:t>
      </w:r>
      <w:r>
        <w:t xml:space="preserve">.8 </w:t>
      </w:r>
      <w:r>
        <w:rPr>
          <w:rFonts w:hint="eastAsia"/>
        </w:rPr>
        <w:t>生态环境影响分析</w:t>
      </w:r>
      <w:r>
        <w:tab/>
      </w:r>
      <w:r>
        <w:fldChar w:fldCharType="begin"/>
      </w:r>
      <w:r>
        <w:instrText xml:space="preserve"> PAGEREF _Toc30092 \h </w:instrText>
      </w:r>
      <w:r>
        <w:fldChar w:fldCharType="separate"/>
      </w:r>
      <w:r>
        <w:t>151</w:t>
      </w:r>
      <w:r>
        <w:fldChar w:fldCharType="end"/>
      </w:r>
      <w:r>
        <w:fldChar w:fldCharType="end"/>
      </w:r>
    </w:p>
    <w:p w14:paraId="6CB77170">
      <w:pPr>
        <w:pStyle w:val="35"/>
        <w:tabs>
          <w:tab w:val="right" w:leader="dot" w:pos="9072"/>
          <w:tab w:val="clear" w:pos="8302"/>
        </w:tabs>
        <w:spacing w:line="360" w:lineRule="exact"/>
        <w:ind w:left="0" w:firstLine="210" w:firstLineChars="100"/>
      </w:pPr>
      <w:r>
        <w:fldChar w:fldCharType="begin"/>
      </w:r>
      <w:r>
        <w:instrText xml:space="preserve"> HYPERLINK \l "_Toc3389" </w:instrText>
      </w:r>
      <w:r>
        <w:fldChar w:fldCharType="separate"/>
      </w:r>
      <w:r>
        <w:rPr>
          <w:rFonts w:hint="eastAsia"/>
        </w:rPr>
        <w:t>5</w:t>
      </w:r>
      <w:r>
        <w:t xml:space="preserve">.9 </w:t>
      </w:r>
      <w:r>
        <w:rPr>
          <w:rFonts w:hint="eastAsia"/>
        </w:rPr>
        <w:t>环境风险评价</w:t>
      </w:r>
      <w:r>
        <w:tab/>
      </w:r>
      <w:r>
        <w:fldChar w:fldCharType="begin"/>
      </w:r>
      <w:r>
        <w:instrText xml:space="preserve"> PAGEREF _Toc3389 \h </w:instrText>
      </w:r>
      <w:r>
        <w:fldChar w:fldCharType="separate"/>
      </w:r>
      <w:r>
        <w:t>152</w:t>
      </w:r>
      <w:r>
        <w:fldChar w:fldCharType="end"/>
      </w:r>
      <w:r>
        <w:fldChar w:fldCharType="end"/>
      </w:r>
    </w:p>
    <w:p w14:paraId="37439A03">
      <w:pPr>
        <w:pStyle w:val="27"/>
        <w:tabs>
          <w:tab w:val="right" w:leader="dot" w:pos="9072"/>
          <w:tab w:val="clear" w:pos="8302"/>
        </w:tabs>
        <w:spacing w:before="0" w:after="0" w:line="360" w:lineRule="exact"/>
      </w:pPr>
      <w:r>
        <w:fldChar w:fldCharType="begin"/>
      </w:r>
      <w:r>
        <w:instrText xml:space="preserve"> HYPERLINK \l "_Toc3393" </w:instrText>
      </w:r>
      <w:r>
        <w:fldChar w:fldCharType="separate"/>
      </w:r>
      <w:r>
        <w:rPr>
          <w:rFonts w:hint="eastAsia"/>
        </w:rPr>
        <w:t>6</w:t>
      </w:r>
      <w:r>
        <w:t xml:space="preserve"> </w:t>
      </w:r>
      <w:r>
        <w:rPr>
          <w:rFonts w:hint="eastAsia"/>
        </w:rPr>
        <w:t>环境保护措施及其可行性论证</w:t>
      </w:r>
      <w:r>
        <w:tab/>
      </w:r>
      <w:r>
        <w:fldChar w:fldCharType="begin"/>
      </w:r>
      <w:r>
        <w:instrText xml:space="preserve"> PAGEREF _Toc3393 \h </w:instrText>
      </w:r>
      <w:r>
        <w:fldChar w:fldCharType="separate"/>
      </w:r>
      <w:r>
        <w:t>157</w:t>
      </w:r>
      <w:r>
        <w:fldChar w:fldCharType="end"/>
      </w:r>
      <w:r>
        <w:fldChar w:fldCharType="end"/>
      </w:r>
    </w:p>
    <w:p w14:paraId="0EAAF92D">
      <w:pPr>
        <w:pStyle w:val="35"/>
        <w:tabs>
          <w:tab w:val="right" w:leader="dot" w:pos="9072"/>
          <w:tab w:val="clear" w:pos="8302"/>
        </w:tabs>
        <w:spacing w:line="360" w:lineRule="exact"/>
        <w:ind w:left="0" w:firstLine="210" w:firstLineChars="100"/>
      </w:pPr>
      <w:r>
        <w:fldChar w:fldCharType="begin"/>
      </w:r>
      <w:r>
        <w:instrText xml:space="preserve"> HYPERLINK \l "_Toc8203" </w:instrText>
      </w:r>
      <w:r>
        <w:fldChar w:fldCharType="separate"/>
      </w:r>
      <w:r>
        <w:rPr>
          <w:rFonts w:hint="eastAsia"/>
        </w:rPr>
        <w:t>6</w:t>
      </w:r>
      <w:r>
        <w:t xml:space="preserve">.1 </w:t>
      </w:r>
      <w:r>
        <w:rPr>
          <w:rFonts w:hint="eastAsia"/>
        </w:rPr>
        <w:t>施工期环境保护措施分析</w:t>
      </w:r>
      <w:r>
        <w:tab/>
      </w:r>
      <w:r>
        <w:fldChar w:fldCharType="begin"/>
      </w:r>
      <w:r>
        <w:instrText xml:space="preserve"> PAGEREF _Toc8203 \h </w:instrText>
      </w:r>
      <w:r>
        <w:fldChar w:fldCharType="separate"/>
      </w:r>
      <w:r>
        <w:t>157</w:t>
      </w:r>
      <w:r>
        <w:fldChar w:fldCharType="end"/>
      </w:r>
      <w:r>
        <w:fldChar w:fldCharType="end"/>
      </w:r>
    </w:p>
    <w:p w14:paraId="46E5D846">
      <w:pPr>
        <w:pStyle w:val="35"/>
        <w:tabs>
          <w:tab w:val="right" w:leader="dot" w:pos="9072"/>
          <w:tab w:val="clear" w:pos="8302"/>
        </w:tabs>
        <w:spacing w:line="360" w:lineRule="exact"/>
        <w:ind w:left="0" w:firstLine="210" w:firstLineChars="100"/>
      </w:pPr>
      <w:r>
        <w:fldChar w:fldCharType="begin"/>
      </w:r>
      <w:r>
        <w:instrText xml:space="preserve"> HYPERLINK \l "_Toc13966" </w:instrText>
      </w:r>
      <w:r>
        <w:fldChar w:fldCharType="separate"/>
      </w:r>
      <w:r>
        <w:rPr>
          <w:rFonts w:hint="eastAsia"/>
        </w:rPr>
        <w:t>6</w:t>
      </w:r>
      <w:r>
        <w:t xml:space="preserve">.2 </w:t>
      </w:r>
      <w:r>
        <w:rPr>
          <w:rFonts w:hint="eastAsia"/>
        </w:rPr>
        <w:t>营运期环境保护措施</w:t>
      </w:r>
      <w:r>
        <w:tab/>
      </w:r>
      <w:r>
        <w:fldChar w:fldCharType="begin"/>
      </w:r>
      <w:r>
        <w:instrText xml:space="preserve"> PAGEREF _Toc13966 \h </w:instrText>
      </w:r>
      <w:r>
        <w:fldChar w:fldCharType="separate"/>
      </w:r>
      <w:r>
        <w:t>160</w:t>
      </w:r>
      <w:r>
        <w:fldChar w:fldCharType="end"/>
      </w:r>
      <w:r>
        <w:fldChar w:fldCharType="end"/>
      </w:r>
    </w:p>
    <w:p w14:paraId="70A084F0">
      <w:pPr>
        <w:pStyle w:val="35"/>
        <w:tabs>
          <w:tab w:val="right" w:leader="dot" w:pos="9072"/>
          <w:tab w:val="clear" w:pos="8302"/>
        </w:tabs>
        <w:spacing w:line="360" w:lineRule="exact"/>
        <w:ind w:left="0" w:firstLine="210" w:firstLineChars="100"/>
      </w:pPr>
      <w:r>
        <w:fldChar w:fldCharType="begin"/>
      </w:r>
      <w:r>
        <w:instrText xml:space="preserve"> HYPERLINK \l "_Toc12691" </w:instrText>
      </w:r>
      <w:r>
        <w:fldChar w:fldCharType="separate"/>
      </w:r>
      <w:r>
        <w:rPr>
          <w:rFonts w:hint="eastAsia"/>
        </w:rPr>
        <w:t>6.</w:t>
      </w:r>
      <w:r>
        <w:t>3</w:t>
      </w:r>
      <w:r>
        <w:rPr>
          <w:rFonts w:hint="eastAsia"/>
        </w:rPr>
        <w:t xml:space="preserve"> 环保措施投资及“三同时”验收</w:t>
      </w:r>
      <w:r>
        <w:tab/>
      </w:r>
      <w:r>
        <w:fldChar w:fldCharType="begin"/>
      </w:r>
      <w:r>
        <w:instrText xml:space="preserve"> PAGEREF _Toc12691 \h </w:instrText>
      </w:r>
      <w:r>
        <w:fldChar w:fldCharType="separate"/>
      </w:r>
      <w:r>
        <w:t>189</w:t>
      </w:r>
      <w:r>
        <w:fldChar w:fldCharType="end"/>
      </w:r>
      <w:r>
        <w:fldChar w:fldCharType="end"/>
      </w:r>
    </w:p>
    <w:p w14:paraId="71A74370">
      <w:pPr>
        <w:pStyle w:val="27"/>
        <w:tabs>
          <w:tab w:val="right" w:leader="dot" w:pos="9072"/>
          <w:tab w:val="clear" w:pos="8302"/>
        </w:tabs>
        <w:spacing w:before="0" w:after="0" w:line="360" w:lineRule="exact"/>
      </w:pPr>
      <w:r>
        <w:fldChar w:fldCharType="begin"/>
      </w:r>
      <w:r>
        <w:instrText xml:space="preserve"> HYPERLINK \l "_Toc257" </w:instrText>
      </w:r>
      <w:r>
        <w:fldChar w:fldCharType="separate"/>
      </w:r>
      <w:r>
        <w:rPr>
          <w:rFonts w:hint="eastAsia"/>
        </w:rPr>
        <w:t>7 环境经济损益分析</w:t>
      </w:r>
      <w:r>
        <w:tab/>
      </w:r>
      <w:r>
        <w:fldChar w:fldCharType="begin"/>
      </w:r>
      <w:r>
        <w:instrText xml:space="preserve"> PAGEREF _Toc257 \h </w:instrText>
      </w:r>
      <w:r>
        <w:fldChar w:fldCharType="separate"/>
      </w:r>
      <w:r>
        <w:t>192</w:t>
      </w:r>
      <w:r>
        <w:fldChar w:fldCharType="end"/>
      </w:r>
      <w:r>
        <w:fldChar w:fldCharType="end"/>
      </w:r>
    </w:p>
    <w:p w14:paraId="1F24F41D">
      <w:pPr>
        <w:pStyle w:val="35"/>
        <w:tabs>
          <w:tab w:val="right" w:leader="dot" w:pos="9072"/>
          <w:tab w:val="clear" w:pos="8302"/>
        </w:tabs>
        <w:spacing w:line="360" w:lineRule="exact"/>
        <w:ind w:left="0" w:firstLine="210" w:firstLineChars="100"/>
      </w:pPr>
      <w:r>
        <w:fldChar w:fldCharType="begin"/>
      </w:r>
      <w:r>
        <w:instrText xml:space="preserve"> HYPERLINK \l "_Toc32418" </w:instrText>
      </w:r>
      <w:r>
        <w:fldChar w:fldCharType="separate"/>
      </w:r>
      <w:r>
        <w:rPr>
          <w:rFonts w:hint="eastAsia"/>
        </w:rPr>
        <w:t>7.1 经济效益分析</w:t>
      </w:r>
      <w:r>
        <w:tab/>
      </w:r>
      <w:r>
        <w:fldChar w:fldCharType="begin"/>
      </w:r>
      <w:r>
        <w:instrText xml:space="preserve"> PAGEREF _Toc32418 \h </w:instrText>
      </w:r>
      <w:r>
        <w:fldChar w:fldCharType="separate"/>
      </w:r>
      <w:r>
        <w:t>192</w:t>
      </w:r>
      <w:r>
        <w:fldChar w:fldCharType="end"/>
      </w:r>
      <w:r>
        <w:fldChar w:fldCharType="end"/>
      </w:r>
    </w:p>
    <w:p w14:paraId="41AF75B6">
      <w:pPr>
        <w:pStyle w:val="35"/>
        <w:tabs>
          <w:tab w:val="right" w:leader="dot" w:pos="9072"/>
          <w:tab w:val="clear" w:pos="8302"/>
        </w:tabs>
        <w:spacing w:line="360" w:lineRule="exact"/>
        <w:ind w:left="0" w:firstLine="210" w:firstLineChars="100"/>
      </w:pPr>
      <w:r>
        <w:fldChar w:fldCharType="begin"/>
      </w:r>
      <w:r>
        <w:instrText xml:space="preserve"> HYPERLINK \l "_Toc23793" </w:instrText>
      </w:r>
      <w:r>
        <w:fldChar w:fldCharType="separate"/>
      </w:r>
      <w:r>
        <w:rPr>
          <w:rFonts w:hint="eastAsia"/>
        </w:rPr>
        <w:t>7.2 社会效益分析</w:t>
      </w:r>
      <w:r>
        <w:tab/>
      </w:r>
      <w:r>
        <w:fldChar w:fldCharType="begin"/>
      </w:r>
      <w:r>
        <w:instrText xml:space="preserve"> PAGEREF _Toc23793 \h </w:instrText>
      </w:r>
      <w:r>
        <w:fldChar w:fldCharType="separate"/>
      </w:r>
      <w:r>
        <w:t>192</w:t>
      </w:r>
      <w:r>
        <w:fldChar w:fldCharType="end"/>
      </w:r>
      <w:r>
        <w:fldChar w:fldCharType="end"/>
      </w:r>
    </w:p>
    <w:p w14:paraId="788725D3">
      <w:pPr>
        <w:pStyle w:val="35"/>
        <w:tabs>
          <w:tab w:val="right" w:leader="dot" w:pos="9072"/>
          <w:tab w:val="clear" w:pos="8302"/>
        </w:tabs>
        <w:spacing w:line="360" w:lineRule="exact"/>
        <w:ind w:left="0" w:firstLine="210" w:firstLineChars="100"/>
      </w:pPr>
      <w:r>
        <w:fldChar w:fldCharType="begin"/>
      </w:r>
      <w:r>
        <w:instrText xml:space="preserve"> HYPERLINK \l "_Toc11167" </w:instrText>
      </w:r>
      <w:r>
        <w:fldChar w:fldCharType="separate"/>
      </w:r>
      <w:r>
        <w:rPr>
          <w:rFonts w:hint="eastAsia"/>
        </w:rPr>
        <w:t>7.3 环境效益分析</w:t>
      </w:r>
      <w:r>
        <w:tab/>
      </w:r>
      <w:r>
        <w:fldChar w:fldCharType="begin"/>
      </w:r>
      <w:r>
        <w:instrText xml:space="preserve"> PAGEREF _Toc11167 \h </w:instrText>
      </w:r>
      <w:r>
        <w:fldChar w:fldCharType="separate"/>
      </w:r>
      <w:r>
        <w:t>193</w:t>
      </w:r>
      <w:r>
        <w:fldChar w:fldCharType="end"/>
      </w:r>
      <w:r>
        <w:fldChar w:fldCharType="end"/>
      </w:r>
    </w:p>
    <w:p w14:paraId="4FA2A963">
      <w:pPr>
        <w:pStyle w:val="35"/>
        <w:tabs>
          <w:tab w:val="right" w:leader="dot" w:pos="9072"/>
          <w:tab w:val="clear" w:pos="8302"/>
        </w:tabs>
        <w:spacing w:line="360" w:lineRule="exact"/>
        <w:ind w:left="0" w:firstLine="210" w:firstLineChars="100"/>
      </w:pPr>
      <w:r>
        <w:fldChar w:fldCharType="begin"/>
      </w:r>
      <w:r>
        <w:instrText xml:space="preserve"> HYPERLINK \l "_Toc30007" </w:instrText>
      </w:r>
      <w:r>
        <w:fldChar w:fldCharType="separate"/>
      </w:r>
      <w:r>
        <w:rPr>
          <w:rFonts w:hint="eastAsia"/>
        </w:rPr>
        <w:t>7.4 结论</w:t>
      </w:r>
      <w:r>
        <w:tab/>
      </w:r>
      <w:r>
        <w:fldChar w:fldCharType="begin"/>
      </w:r>
      <w:r>
        <w:instrText xml:space="preserve"> PAGEREF _Toc30007 \h </w:instrText>
      </w:r>
      <w:r>
        <w:fldChar w:fldCharType="separate"/>
      </w:r>
      <w:r>
        <w:t>194</w:t>
      </w:r>
      <w:r>
        <w:fldChar w:fldCharType="end"/>
      </w:r>
      <w:r>
        <w:fldChar w:fldCharType="end"/>
      </w:r>
    </w:p>
    <w:p w14:paraId="7F804A79">
      <w:pPr>
        <w:pStyle w:val="27"/>
        <w:tabs>
          <w:tab w:val="right" w:leader="dot" w:pos="9072"/>
          <w:tab w:val="clear" w:pos="8302"/>
        </w:tabs>
        <w:spacing w:before="0" w:after="0" w:line="360" w:lineRule="exact"/>
      </w:pPr>
      <w:r>
        <w:fldChar w:fldCharType="begin"/>
      </w:r>
      <w:r>
        <w:instrText xml:space="preserve"> HYPERLINK \l "_Toc24633" </w:instrText>
      </w:r>
      <w:r>
        <w:fldChar w:fldCharType="separate"/>
      </w:r>
      <w:r>
        <w:rPr>
          <w:rFonts w:hint="eastAsia"/>
        </w:rPr>
        <w:t>8 环境管理与监测计划</w:t>
      </w:r>
      <w:r>
        <w:tab/>
      </w:r>
      <w:r>
        <w:fldChar w:fldCharType="begin"/>
      </w:r>
      <w:r>
        <w:instrText xml:space="preserve"> PAGEREF _Toc24633 \h </w:instrText>
      </w:r>
      <w:r>
        <w:fldChar w:fldCharType="separate"/>
      </w:r>
      <w:r>
        <w:t>195</w:t>
      </w:r>
      <w:r>
        <w:fldChar w:fldCharType="end"/>
      </w:r>
      <w:r>
        <w:fldChar w:fldCharType="end"/>
      </w:r>
    </w:p>
    <w:p w14:paraId="0E9FB27F">
      <w:pPr>
        <w:pStyle w:val="35"/>
        <w:tabs>
          <w:tab w:val="right" w:leader="dot" w:pos="9072"/>
          <w:tab w:val="clear" w:pos="8302"/>
        </w:tabs>
        <w:spacing w:line="360" w:lineRule="exact"/>
        <w:ind w:left="0" w:firstLine="210" w:firstLineChars="100"/>
      </w:pPr>
      <w:r>
        <w:fldChar w:fldCharType="begin"/>
      </w:r>
      <w:r>
        <w:instrText xml:space="preserve"> HYPERLINK \l "_Toc19912" </w:instrText>
      </w:r>
      <w:r>
        <w:fldChar w:fldCharType="separate"/>
      </w:r>
      <w:r>
        <w:rPr>
          <w:rFonts w:hint="eastAsia"/>
        </w:rPr>
        <w:t>8.1 施工期环境监测与管理</w:t>
      </w:r>
      <w:r>
        <w:tab/>
      </w:r>
      <w:r>
        <w:fldChar w:fldCharType="begin"/>
      </w:r>
      <w:r>
        <w:instrText xml:space="preserve"> PAGEREF _Toc19912 \h </w:instrText>
      </w:r>
      <w:r>
        <w:fldChar w:fldCharType="separate"/>
      </w:r>
      <w:r>
        <w:t>195</w:t>
      </w:r>
      <w:r>
        <w:fldChar w:fldCharType="end"/>
      </w:r>
      <w:r>
        <w:fldChar w:fldCharType="end"/>
      </w:r>
    </w:p>
    <w:p w14:paraId="7804CD3C">
      <w:pPr>
        <w:pStyle w:val="35"/>
        <w:tabs>
          <w:tab w:val="right" w:leader="dot" w:pos="9072"/>
          <w:tab w:val="clear" w:pos="8302"/>
        </w:tabs>
        <w:spacing w:line="360" w:lineRule="exact"/>
        <w:ind w:left="0" w:firstLine="210" w:firstLineChars="100"/>
      </w:pPr>
      <w:r>
        <w:fldChar w:fldCharType="begin"/>
      </w:r>
      <w:r>
        <w:instrText xml:space="preserve"> HYPERLINK \l "_Toc10121" </w:instrText>
      </w:r>
      <w:r>
        <w:fldChar w:fldCharType="separate"/>
      </w:r>
      <w:r>
        <w:rPr>
          <w:rFonts w:hint="eastAsia"/>
        </w:rPr>
        <w:t>8.2 营运期环境管理与监测</w:t>
      </w:r>
      <w:r>
        <w:tab/>
      </w:r>
      <w:r>
        <w:fldChar w:fldCharType="begin"/>
      </w:r>
      <w:r>
        <w:instrText xml:space="preserve"> PAGEREF _Toc10121 \h </w:instrText>
      </w:r>
      <w:r>
        <w:fldChar w:fldCharType="separate"/>
      </w:r>
      <w:r>
        <w:t>195</w:t>
      </w:r>
      <w:r>
        <w:fldChar w:fldCharType="end"/>
      </w:r>
      <w:r>
        <w:fldChar w:fldCharType="end"/>
      </w:r>
    </w:p>
    <w:p w14:paraId="4DB94E7C">
      <w:pPr>
        <w:pStyle w:val="35"/>
        <w:tabs>
          <w:tab w:val="right" w:leader="dot" w:pos="9072"/>
          <w:tab w:val="clear" w:pos="8302"/>
        </w:tabs>
        <w:spacing w:line="360" w:lineRule="exact"/>
        <w:ind w:left="0" w:firstLine="210" w:firstLineChars="100"/>
      </w:pPr>
      <w:r>
        <w:fldChar w:fldCharType="begin"/>
      </w:r>
      <w:r>
        <w:instrText xml:space="preserve"> HYPERLINK \l "_Toc26730" </w:instrText>
      </w:r>
      <w:r>
        <w:fldChar w:fldCharType="separate"/>
      </w:r>
      <w:r>
        <w:rPr>
          <w:rFonts w:hint="eastAsia"/>
        </w:rPr>
        <w:t>8.3建设项目环保设施竣工验收计划</w:t>
      </w:r>
      <w:r>
        <w:tab/>
      </w:r>
      <w:r>
        <w:fldChar w:fldCharType="begin"/>
      </w:r>
      <w:r>
        <w:instrText xml:space="preserve"> PAGEREF _Toc26730 \h </w:instrText>
      </w:r>
      <w:r>
        <w:fldChar w:fldCharType="separate"/>
      </w:r>
      <w:r>
        <w:t>204</w:t>
      </w:r>
      <w:r>
        <w:fldChar w:fldCharType="end"/>
      </w:r>
      <w:r>
        <w:fldChar w:fldCharType="end"/>
      </w:r>
    </w:p>
    <w:p w14:paraId="13DD55AA">
      <w:pPr>
        <w:pStyle w:val="35"/>
        <w:tabs>
          <w:tab w:val="right" w:leader="dot" w:pos="9072"/>
          <w:tab w:val="clear" w:pos="8302"/>
        </w:tabs>
        <w:spacing w:line="360" w:lineRule="exact"/>
        <w:ind w:left="0" w:firstLine="210" w:firstLineChars="100"/>
      </w:pPr>
      <w:r>
        <w:fldChar w:fldCharType="begin"/>
      </w:r>
      <w:r>
        <w:instrText xml:space="preserve"> HYPERLINK \l "_Toc23306" </w:instrText>
      </w:r>
      <w:r>
        <w:fldChar w:fldCharType="separate"/>
      </w:r>
      <w:r>
        <w:rPr>
          <w:rFonts w:hint="eastAsia"/>
        </w:rPr>
        <w:t>8.4 污染物排放清单及总量指标</w:t>
      </w:r>
      <w:r>
        <w:tab/>
      </w:r>
      <w:r>
        <w:fldChar w:fldCharType="begin"/>
      </w:r>
      <w:r>
        <w:instrText xml:space="preserve"> PAGEREF _Toc23306 \h </w:instrText>
      </w:r>
      <w:r>
        <w:fldChar w:fldCharType="separate"/>
      </w:r>
      <w:r>
        <w:t>206</w:t>
      </w:r>
      <w:r>
        <w:fldChar w:fldCharType="end"/>
      </w:r>
      <w:r>
        <w:fldChar w:fldCharType="end"/>
      </w:r>
    </w:p>
    <w:p w14:paraId="1642393F">
      <w:pPr>
        <w:pStyle w:val="27"/>
        <w:tabs>
          <w:tab w:val="right" w:leader="dot" w:pos="9072"/>
          <w:tab w:val="clear" w:pos="8302"/>
        </w:tabs>
        <w:spacing w:before="0" w:after="0" w:line="360" w:lineRule="exact"/>
      </w:pPr>
      <w:r>
        <w:fldChar w:fldCharType="begin"/>
      </w:r>
      <w:r>
        <w:instrText xml:space="preserve"> HYPERLINK \l "_Toc17487" </w:instrText>
      </w:r>
      <w:r>
        <w:fldChar w:fldCharType="separate"/>
      </w:r>
      <w:r>
        <w:rPr>
          <w:rFonts w:hint="eastAsia"/>
        </w:rPr>
        <w:t>9 环境影响评价结论与建议</w:t>
      </w:r>
      <w:r>
        <w:tab/>
      </w:r>
      <w:r>
        <w:fldChar w:fldCharType="begin"/>
      </w:r>
      <w:r>
        <w:instrText xml:space="preserve"> PAGEREF _Toc17487 \h </w:instrText>
      </w:r>
      <w:r>
        <w:fldChar w:fldCharType="separate"/>
      </w:r>
      <w:r>
        <w:t>209</w:t>
      </w:r>
      <w:r>
        <w:fldChar w:fldCharType="end"/>
      </w:r>
      <w:r>
        <w:fldChar w:fldCharType="end"/>
      </w:r>
    </w:p>
    <w:p w14:paraId="1C2B7C7A">
      <w:pPr>
        <w:pStyle w:val="35"/>
        <w:tabs>
          <w:tab w:val="right" w:leader="dot" w:pos="9072"/>
          <w:tab w:val="clear" w:pos="8302"/>
        </w:tabs>
        <w:spacing w:line="360" w:lineRule="exact"/>
        <w:ind w:left="0" w:firstLine="210" w:firstLineChars="100"/>
      </w:pPr>
      <w:r>
        <w:fldChar w:fldCharType="begin"/>
      </w:r>
      <w:r>
        <w:instrText xml:space="preserve"> HYPERLINK \l "_Toc25151" </w:instrText>
      </w:r>
      <w:r>
        <w:fldChar w:fldCharType="separate"/>
      </w:r>
      <w:r>
        <w:rPr>
          <w:rFonts w:hint="eastAsia"/>
        </w:rPr>
        <w:t>9.1 建设项目概况</w:t>
      </w:r>
      <w:r>
        <w:tab/>
      </w:r>
      <w:r>
        <w:fldChar w:fldCharType="begin"/>
      </w:r>
      <w:r>
        <w:instrText xml:space="preserve"> PAGEREF _Toc25151 \h </w:instrText>
      </w:r>
      <w:r>
        <w:fldChar w:fldCharType="separate"/>
      </w:r>
      <w:r>
        <w:t>209</w:t>
      </w:r>
      <w:r>
        <w:fldChar w:fldCharType="end"/>
      </w:r>
      <w:r>
        <w:fldChar w:fldCharType="end"/>
      </w:r>
    </w:p>
    <w:p w14:paraId="3C06CC1C">
      <w:pPr>
        <w:pStyle w:val="35"/>
        <w:tabs>
          <w:tab w:val="right" w:leader="dot" w:pos="9072"/>
          <w:tab w:val="clear" w:pos="8302"/>
        </w:tabs>
        <w:spacing w:line="360" w:lineRule="exact"/>
        <w:ind w:left="0" w:firstLine="210" w:firstLineChars="100"/>
      </w:pPr>
      <w:r>
        <w:fldChar w:fldCharType="begin"/>
      </w:r>
      <w:r>
        <w:instrText xml:space="preserve"> HYPERLINK \l "_Toc25507" </w:instrText>
      </w:r>
      <w:r>
        <w:fldChar w:fldCharType="separate"/>
      </w:r>
      <w:r>
        <w:rPr>
          <w:rFonts w:hint="eastAsia"/>
        </w:rPr>
        <w:t>9.2环境质量现状</w:t>
      </w:r>
      <w:r>
        <w:tab/>
      </w:r>
      <w:r>
        <w:fldChar w:fldCharType="begin"/>
      </w:r>
      <w:r>
        <w:instrText xml:space="preserve"> PAGEREF _Toc25507 \h </w:instrText>
      </w:r>
      <w:r>
        <w:fldChar w:fldCharType="separate"/>
      </w:r>
      <w:r>
        <w:t>209</w:t>
      </w:r>
      <w:r>
        <w:fldChar w:fldCharType="end"/>
      </w:r>
      <w:r>
        <w:fldChar w:fldCharType="end"/>
      </w:r>
    </w:p>
    <w:p w14:paraId="03AE2F4E">
      <w:pPr>
        <w:pStyle w:val="35"/>
        <w:tabs>
          <w:tab w:val="right" w:leader="dot" w:pos="9072"/>
          <w:tab w:val="clear" w:pos="8302"/>
        </w:tabs>
        <w:spacing w:line="360" w:lineRule="exact"/>
        <w:ind w:left="0" w:firstLine="210" w:firstLineChars="100"/>
      </w:pPr>
      <w:r>
        <w:fldChar w:fldCharType="begin"/>
      </w:r>
      <w:r>
        <w:instrText xml:space="preserve"> HYPERLINK \l "_Toc21650" </w:instrText>
      </w:r>
      <w:r>
        <w:fldChar w:fldCharType="separate"/>
      </w:r>
      <w:r>
        <w:rPr>
          <w:rFonts w:hint="eastAsia"/>
        </w:rPr>
        <w:t>9.3主要污染源及拟采取的治理措施</w:t>
      </w:r>
      <w:r>
        <w:tab/>
      </w:r>
      <w:r>
        <w:fldChar w:fldCharType="begin"/>
      </w:r>
      <w:r>
        <w:instrText xml:space="preserve"> PAGEREF _Toc21650 \h </w:instrText>
      </w:r>
      <w:r>
        <w:fldChar w:fldCharType="separate"/>
      </w:r>
      <w:r>
        <w:t>210</w:t>
      </w:r>
      <w:r>
        <w:fldChar w:fldCharType="end"/>
      </w:r>
      <w:r>
        <w:fldChar w:fldCharType="end"/>
      </w:r>
    </w:p>
    <w:p w14:paraId="5DBA3A7B">
      <w:pPr>
        <w:pStyle w:val="35"/>
        <w:tabs>
          <w:tab w:val="right" w:leader="dot" w:pos="9072"/>
          <w:tab w:val="clear" w:pos="8302"/>
        </w:tabs>
        <w:spacing w:line="360" w:lineRule="exact"/>
        <w:ind w:left="0" w:firstLine="210" w:firstLineChars="100"/>
      </w:pPr>
      <w:r>
        <w:fldChar w:fldCharType="begin"/>
      </w:r>
      <w:r>
        <w:instrText xml:space="preserve"> HYPERLINK \l "_Toc20069" </w:instrText>
      </w:r>
      <w:r>
        <w:fldChar w:fldCharType="separate"/>
      </w:r>
      <w:r>
        <w:rPr>
          <w:rFonts w:hint="eastAsia"/>
        </w:rPr>
        <w:t>9.4项目建设环境可行性</w:t>
      </w:r>
      <w:r>
        <w:tab/>
      </w:r>
      <w:r>
        <w:fldChar w:fldCharType="begin"/>
      </w:r>
      <w:r>
        <w:instrText xml:space="preserve"> PAGEREF _Toc20069 \h </w:instrText>
      </w:r>
      <w:r>
        <w:fldChar w:fldCharType="separate"/>
      </w:r>
      <w:r>
        <w:t>211</w:t>
      </w:r>
      <w:r>
        <w:fldChar w:fldCharType="end"/>
      </w:r>
      <w:r>
        <w:fldChar w:fldCharType="end"/>
      </w:r>
    </w:p>
    <w:p w14:paraId="0C319410">
      <w:pPr>
        <w:pStyle w:val="35"/>
        <w:tabs>
          <w:tab w:val="right" w:leader="dot" w:pos="9072"/>
          <w:tab w:val="clear" w:pos="8302"/>
        </w:tabs>
        <w:spacing w:line="360" w:lineRule="exact"/>
        <w:ind w:left="0" w:firstLine="210" w:firstLineChars="100"/>
      </w:pPr>
      <w:r>
        <w:fldChar w:fldCharType="begin"/>
      </w:r>
      <w:r>
        <w:instrText xml:space="preserve"> HYPERLINK \l "_Toc14135" </w:instrText>
      </w:r>
      <w:r>
        <w:fldChar w:fldCharType="separate"/>
      </w:r>
      <w:r>
        <w:rPr>
          <w:rFonts w:hint="eastAsia"/>
        </w:rPr>
        <w:t>9.5公众意见采纳情况</w:t>
      </w:r>
      <w:r>
        <w:tab/>
      </w:r>
      <w:r>
        <w:fldChar w:fldCharType="begin"/>
      </w:r>
      <w:r>
        <w:instrText xml:space="preserve"> PAGEREF _Toc14135 \h </w:instrText>
      </w:r>
      <w:r>
        <w:fldChar w:fldCharType="separate"/>
      </w:r>
      <w:r>
        <w:t>213</w:t>
      </w:r>
      <w:r>
        <w:fldChar w:fldCharType="end"/>
      </w:r>
      <w:r>
        <w:fldChar w:fldCharType="end"/>
      </w:r>
    </w:p>
    <w:p w14:paraId="4C404851">
      <w:pPr>
        <w:pStyle w:val="35"/>
        <w:tabs>
          <w:tab w:val="right" w:leader="dot" w:pos="9072"/>
          <w:tab w:val="clear" w:pos="8302"/>
        </w:tabs>
        <w:spacing w:line="360" w:lineRule="exact"/>
        <w:ind w:left="0" w:firstLine="210" w:firstLineChars="100"/>
      </w:pPr>
      <w:r>
        <w:fldChar w:fldCharType="begin"/>
      </w:r>
      <w:r>
        <w:instrText xml:space="preserve"> HYPERLINK \l "_Toc1358" </w:instrText>
      </w:r>
      <w:r>
        <w:fldChar w:fldCharType="separate"/>
      </w:r>
      <w:r>
        <w:rPr>
          <w:rFonts w:hint="eastAsia"/>
        </w:rPr>
        <w:t>9.6总结论</w:t>
      </w:r>
      <w:r>
        <w:tab/>
      </w:r>
      <w:r>
        <w:fldChar w:fldCharType="begin"/>
      </w:r>
      <w:r>
        <w:instrText xml:space="preserve"> PAGEREF _Toc1358 \h </w:instrText>
      </w:r>
      <w:r>
        <w:fldChar w:fldCharType="separate"/>
      </w:r>
      <w:r>
        <w:t>213</w:t>
      </w:r>
      <w:r>
        <w:fldChar w:fldCharType="end"/>
      </w:r>
      <w:r>
        <w:fldChar w:fldCharType="end"/>
      </w:r>
    </w:p>
    <w:p w14:paraId="1EA0D786">
      <w:pPr>
        <w:pStyle w:val="35"/>
        <w:tabs>
          <w:tab w:val="right" w:leader="dot" w:pos="9072"/>
          <w:tab w:val="clear" w:pos="8302"/>
        </w:tabs>
        <w:spacing w:line="360" w:lineRule="exact"/>
        <w:ind w:left="0" w:firstLine="210" w:firstLineChars="100"/>
      </w:pPr>
      <w:r>
        <w:fldChar w:fldCharType="begin"/>
      </w:r>
      <w:r>
        <w:instrText xml:space="preserve"> HYPERLINK \l "_Toc7957" </w:instrText>
      </w:r>
      <w:r>
        <w:fldChar w:fldCharType="separate"/>
      </w:r>
      <w:r>
        <w:rPr>
          <w:rFonts w:hint="eastAsia"/>
        </w:rPr>
        <w:t>9.7建议和要求</w:t>
      </w:r>
      <w:r>
        <w:tab/>
      </w:r>
      <w:r>
        <w:fldChar w:fldCharType="begin"/>
      </w:r>
      <w:r>
        <w:instrText xml:space="preserve"> PAGEREF _Toc7957 \h </w:instrText>
      </w:r>
      <w:r>
        <w:fldChar w:fldCharType="separate"/>
      </w:r>
      <w:r>
        <w:t>213</w:t>
      </w:r>
      <w:r>
        <w:fldChar w:fldCharType="end"/>
      </w:r>
      <w:r>
        <w:fldChar w:fldCharType="end"/>
      </w:r>
    </w:p>
    <w:p w14:paraId="23BD6578">
      <w:pPr>
        <w:spacing w:line="360" w:lineRule="exact"/>
        <w:jc w:val="center"/>
      </w:pPr>
      <w:r>
        <w:fldChar w:fldCharType="end"/>
      </w:r>
    </w:p>
    <w:p w14:paraId="32A302E2">
      <w:pPr>
        <w:pStyle w:val="40"/>
      </w:pPr>
      <w:r>
        <w:br w:type="page"/>
      </w:r>
    </w:p>
    <w:p w14:paraId="38FD279D">
      <w:pPr>
        <w:spacing w:before="120" w:after="120" w:line="480" w:lineRule="exact"/>
        <w:rPr>
          <w:b/>
          <w:bCs/>
        </w:rPr>
      </w:pPr>
      <w:r>
        <w:rPr>
          <w:rFonts w:hint="eastAsia"/>
          <w:b/>
          <w:bCs/>
        </w:rPr>
        <w:t>附件：</w:t>
      </w:r>
    </w:p>
    <w:p w14:paraId="30A190B6">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附件1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备案证</w:t>
      </w:r>
    </w:p>
    <w:p w14:paraId="59BF84E8">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附件2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技术服务合同</w:t>
      </w:r>
    </w:p>
    <w:p w14:paraId="7D660E6E">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附件3 委托书</w:t>
      </w:r>
    </w:p>
    <w:p w14:paraId="30000F53">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环境质量现状监测报告</w:t>
      </w:r>
    </w:p>
    <w:p w14:paraId="1467D58B">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附件5  营业执照</w:t>
      </w:r>
    </w:p>
    <w:p w14:paraId="6645AE8E">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 xml:space="preserve">6  </w:t>
      </w:r>
      <w:r>
        <w:rPr>
          <w:rFonts w:hint="eastAsia"/>
          <w:color w:val="000000" w:themeColor="text1"/>
          <w14:textFill>
            <w14:solidFill>
              <w14:schemeClr w14:val="tx1"/>
            </w14:solidFill>
          </w14:textFill>
        </w:rPr>
        <w:t>法人身份证</w:t>
      </w:r>
    </w:p>
    <w:p w14:paraId="44C4708C">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附件7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房屋租赁协议（3户）</w:t>
      </w:r>
    </w:p>
    <w:p w14:paraId="4105405B">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附件8</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土地利用总体规划证明</w:t>
      </w:r>
    </w:p>
    <w:p w14:paraId="674A4C19">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 xml:space="preserve">9  </w:t>
      </w:r>
      <w:r>
        <w:rPr>
          <w:rFonts w:hint="eastAsia"/>
          <w:color w:val="000000" w:themeColor="text1"/>
          <w14:textFill>
            <w14:solidFill>
              <w14:schemeClr w14:val="tx1"/>
            </w14:solidFill>
          </w14:textFill>
        </w:rPr>
        <w:t>项目用地范围图及四至说明</w:t>
      </w:r>
    </w:p>
    <w:p w14:paraId="0AA391F9">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color w:val="000000" w:themeColor="text1"/>
          <w14:textFill>
            <w14:solidFill>
              <w14:schemeClr w14:val="tx1"/>
            </w14:solidFill>
          </w14:textFill>
        </w:rPr>
        <w:t xml:space="preserve">10 </w:t>
      </w:r>
      <w:r>
        <w:rPr>
          <w:rFonts w:hint="eastAsia"/>
          <w:color w:val="000000" w:themeColor="text1"/>
          <w14:textFill>
            <w14:solidFill>
              <w14:schemeClr w14:val="tx1"/>
            </w14:solidFill>
          </w14:textFill>
        </w:rPr>
        <w:t>养鸡场设施农业用地备案申报表及建设方案</w:t>
      </w:r>
    </w:p>
    <w:p w14:paraId="3E88F611">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附件11 设施农业用地复垦承诺书</w:t>
      </w:r>
    </w:p>
    <w:p w14:paraId="188870A8">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附件12 设施农业项目用地复耕合同书</w:t>
      </w:r>
    </w:p>
    <w:p w14:paraId="26066506">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附件13 设施农业用地使用协议书</w:t>
      </w:r>
    </w:p>
    <w:p w14:paraId="48A2188D">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附件14 土地承包经营权流转合同</w:t>
      </w:r>
    </w:p>
    <w:p w14:paraId="66DB2E14">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附件15项目不属于禁养区域的情况说明</w:t>
      </w:r>
    </w:p>
    <w:p w14:paraId="7C9F4194">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附件16鸡粪处置协议</w:t>
      </w:r>
    </w:p>
    <w:p w14:paraId="6AA52F6B">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附件17 病死鸡处置协议</w:t>
      </w:r>
    </w:p>
    <w:p w14:paraId="62BD5FBD">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附件18尾水消纳土地流转合同</w:t>
      </w:r>
    </w:p>
    <w:p w14:paraId="67207C2F">
      <w:pPr>
        <w:spacing w:line="4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附件19危废处置承诺书</w:t>
      </w:r>
    </w:p>
    <w:p w14:paraId="37856FC5">
      <w:pPr>
        <w:spacing w:line="4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附件20环保信用承诺书</w:t>
      </w:r>
    </w:p>
    <w:p w14:paraId="0E2C5888">
      <w:pPr>
        <w:spacing w:line="4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附件21 现场踏勘记录表</w:t>
      </w:r>
    </w:p>
    <w:p w14:paraId="52FC80C8">
      <w:pPr>
        <w:spacing w:line="480" w:lineRule="exac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附件</w:t>
      </w:r>
      <w:r>
        <w:rPr>
          <w:rFonts w:hint="eastAsia"/>
          <w:color w:val="000000" w:themeColor="text1"/>
          <w:lang w:val="en-US" w:eastAsia="zh-CN"/>
          <w14:textFill>
            <w14:solidFill>
              <w14:schemeClr w14:val="tx1"/>
            </w14:solidFill>
          </w14:textFill>
        </w:rPr>
        <w:t>22</w:t>
      </w:r>
      <w:r>
        <w:rPr>
          <w:rFonts w:hint="default"/>
          <w:color w:val="000000" w:themeColor="text1"/>
          <w14:textFill>
            <w14:solidFill>
              <w14:schemeClr w14:val="tx1"/>
            </w14:solidFill>
          </w14:textFill>
        </w:rPr>
        <w:t xml:space="preserve"> 项目技术评审会专家签到</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会议纪要及评审意见修改清单</w:t>
      </w:r>
    </w:p>
    <w:p w14:paraId="4C3D23FF">
      <w:pPr>
        <w:spacing w:line="480" w:lineRule="exact"/>
        <w:rPr>
          <w:color w:val="000000" w:themeColor="text1"/>
          <w14:textFill>
            <w14:solidFill>
              <w14:schemeClr w14:val="tx1"/>
            </w14:solidFill>
          </w14:textFill>
        </w:rPr>
      </w:pPr>
    </w:p>
    <w:p w14:paraId="5D32AEBF">
      <w:pPr>
        <w:spacing w:line="480" w:lineRule="exact"/>
        <w:rPr>
          <w:color w:val="000000" w:themeColor="text1"/>
          <w14:textFill>
            <w14:solidFill>
              <w14:schemeClr w14:val="tx1"/>
            </w14:solidFill>
          </w14:textFill>
        </w:rPr>
      </w:pPr>
    </w:p>
    <w:p w14:paraId="16B49E03">
      <w:pPr>
        <w:spacing w:line="480" w:lineRule="exact"/>
        <w:rPr>
          <w:color w:val="000000" w:themeColor="text1"/>
          <w14:textFill>
            <w14:solidFill>
              <w14:schemeClr w14:val="tx1"/>
            </w14:solidFill>
          </w14:textFill>
        </w:rPr>
      </w:pPr>
    </w:p>
    <w:p w14:paraId="16D2FC13">
      <w:pPr>
        <w:spacing w:line="480" w:lineRule="exact"/>
        <w:rPr>
          <w:color w:val="000000" w:themeColor="text1"/>
          <w14:textFill>
            <w14:solidFill>
              <w14:schemeClr w14:val="tx1"/>
            </w14:solidFill>
          </w14:textFill>
        </w:rPr>
      </w:pPr>
    </w:p>
    <w:p w14:paraId="14E875F9">
      <w:pPr>
        <w:spacing w:line="480" w:lineRule="exact"/>
        <w:rPr>
          <w:color w:val="000000" w:themeColor="text1"/>
          <w14:textFill>
            <w14:solidFill>
              <w14:schemeClr w14:val="tx1"/>
            </w14:solidFill>
          </w14:textFill>
        </w:rPr>
      </w:pPr>
    </w:p>
    <w:p w14:paraId="20F1C11C">
      <w:pPr>
        <w:spacing w:before="120" w:after="120" w:line="480" w:lineRule="exact"/>
        <w:rPr>
          <w:b/>
          <w:bCs/>
        </w:rPr>
      </w:pPr>
      <w:r>
        <w:rPr>
          <w:rFonts w:hint="eastAsia"/>
          <w:b/>
          <w:bCs/>
        </w:rPr>
        <w:t>附图：</w:t>
      </w:r>
    </w:p>
    <w:p w14:paraId="769D26DC">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图1.5-1 江苏省生态空间保护区域分布图</w:t>
      </w:r>
    </w:p>
    <w:p w14:paraId="31255A3D">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图1.5-</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 xml:space="preserve"> </w:t>
      </w:r>
      <w:r>
        <w:rPr>
          <w:rFonts w:hint="default" w:ascii="Times New Roman" w:hAnsi="Times New Roman" w:eastAsia="宋体" w:cs="Times New Roman"/>
          <w:color w:val="000000" w:themeColor="text1"/>
          <w:sz w:val="24"/>
          <w14:textFill>
            <w14:solidFill>
              <w14:schemeClr w14:val="tx1"/>
            </w14:solidFill>
          </w14:textFill>
        </w:rPr>
        <w:t>江苏省生态空间管控综合服务系统准入分析信息查询结果</w:t>
      </w:r>
      <w:r>
        <w:rPr>
          <w:rFonts w:hint="eastAsia"/>
          <w:color w:val="000000" w:themeColor="text1"/>
          <w14:textFill>
            <w14:solidFill>
              <w14:schemeClr w14:val="tx1"/>
            </w14:solidFill>
          </w14:textFill>
        </w:rPr>
        <w:t>图</w:t>
      </w:r>
    </w:p>
    <w:p w14:paraId="13022A12">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图2.6-1 项目评价范围及环境保护目标图</w:t>
      </w:r>
    </w:p>
    <w:p w14:paraId="6592141D">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图3.4-1  项目厂区平面图布置图</w:t>
      </w:r>
    </w:p>
    <w:p w14:paraId="30875848">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图3.4-2 项目周边500米环境现状图</w:t>
      </w:r>
    </w:p>
    <w:p w14:paraId="106B2231">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图4.1-1 项目地理位置图</w:t>
      </w:r>
    </w:p>
    <w:p w14:paraId="19AE7AF0">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图4.2-2项目所在地区域水系图</w:t>
      </w:r>
    </w:p>
    <w:p w14:paraId="12B11A43">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图4.3-1 项目噪声及土壤环境现状监测点位图</w:t>
      </w:r>
    </w:p>
    <w:p w14:paraId="2BC283C1">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图5.3-1项目尾水</w:t>
      </w:r>
      <w:r>
        <w:rPr>
          <w:rFonts w:hint="eastAsia"/>
          <w:color w:val="000000" w:themeColor="text1"/>
          <w:lang w:val="en-US" w:eastAsia="zh-CN"/>
          <w14:textFill>
            <w14:solidFill>
              <w14:schemeClr w14:val="tx1"/>
            </w14:solidFill>
          </w14:textFill>
        </w:rPr>
        <w:t>消纳</w:t>
      </w:r>
      <w:r>
        <w:rPr>
          <w:rFonts w:hint="eastAsia"/>
          <w:color w:val="000000" w:themeColor="text1"/>
          <w14:textFill>
            <w14:solidFill>
              <w14:schemeClr w14:val="tx1"/>
            </w14:solidFill>
          </w14:textFill>
        </w:rPr>
        <w:t>土地位置图</w:t>
      </w:r>
    </w:p>
    <w:p w14:paraId="6B4E7F9F">
      <w:pPr>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图6.2-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 xml:space="preserve"> 项目防渗区域分布图</w:t>
      </w:r>
    </w:p>
    <w:p w14:paraId="2E85AE80">
      <w:pPr>
        <w:spacing w:before="120" w:after="120" w:line="480" w:lineRule="exact"/>
        <w:rPr>
          <w:b/>
          <w:bCs/>
        </w:rPr>
      </w:pPr>
      <w:r>
        <w:rPr>
          <w:rFonts w:hint="eastAsia"/>
          <w:b/>
          <w:bCs/>
        </w:rPr>
        <w:t>附表：</w:t>
      </w:r>
    </w:p>
    <w:p w14:paraId="70FA90BF">
      <w:pPr>
        <w:spacing w:line="480" w:lineRule="exact"/>
        <w:sectPr>
          <w:headerReference r:id="rId6" w:type="first"/>
          <w:footerReference r:id="rId8" w:type="first"/>
          <w:headerReference r:id="rId5" w:type="default"/>
          <w:footerReference r:id="rId7" w:type="default"/>
          <w:pgSz w:w="11906" w:h="16838"/>
          <w:pgMar w:top="1417" w:right="1417" w:bottom="1417" w:left="1417" w:header="850" w:footer="850" w:gutter="0"/>
          <w:pgNumType w:fmt="upperRoman" w:start="1"/>
          <w:cols w:space="425" w:num="1"/>
          <w:titlePg/>
          <w:docGrid w:type="lines" w:linePitch="326" w:charSpace="0"/>
        </w:sectPr>
      </w:pPr>
      <w:r>
        <w:rPr>
          <w:rFonts w:hint="eastAsia"/>
        </w:rPr>
        <w:t>基础信息表</w:t>
      </w:r>
    </w:p>
    <w:p w14:paraId="164764FB">
      <w:pPr>
        <w:pStyle w:val="3"/>
        <w:pageBreakBefore w:val="0"/>
        <w:widowControl w:val="0"/>
        <w:kinsoku/>
        <w:wordWrap/>
        <w:overflowPunct/>
        <w:topLinePunct w:val="0"/>
        <w:autoSpaceDE/>
        <w:autoSpaceDN/>
        <w:bidi w:val="0"/>
        <w:spacing w:line="500" w:lineRule="exact"/>
        <w:textAlignment w:val="auto"/>
      </w:pPr>
      <w:bookmarkStart w:id="1" w:name="_Toc11495"/>
      <w:r>
        <w:rPr>
          <w:rFonts w:hint="eastAsia"/>
        </w:rPr>
        <w:t>1</w:t>
      </w:r>
      <w:r>
        <w:t xml:space="preserve"> </w:t>
      </w:r>
      <w:r>
        <w:rPr>
          <w:rFonts w:hint="eastAsia"/>
        </w:rPr>
        <w:t>概述</w:t>
      </w:r>
      <w:bookmarkEnd w:id="1"/>
    </w:p>
    <w:p w14:paraId="19B47A9E">
      <w:pPr>
        <w:pStyle w:val="4"/>
        <w:pageBreakBefore w:val="0"/>
        <w:widowControl w:val="0"/>
        <w:kinsoku/>
        <w:wordWrap/>
        <w:overflowPunct/>
        <w:topLinePunct w:val="0"/>
        <w:autoSpaceDE/>
        <w:autoSpaceDN/>
        <w:bidi w:val="0"/>
        <w:spacing w:after="0" w:line="500" w:lineRule="exact"/>
        <w:jc w:val="both"/>
        <w:textAlignment w:val="auto"/>
      </w:pPr>
      <w:bookmarkStart w:id="2" w:name="_Toc5473"/>
      <w:r>
        <w:rPr>
          <w:rFonts w:hint="eastAsia"/>
        </w:rPr>
        <w:t>1</w:t>
      </w:r>
      <w:r>
        <w:t xml:space="preserve">.1 </w:t>
      </w:r>
      <w:r>
        <w:rPr>
          <w:rFonts w:hint="eastAsia"/>
        </w:rPr>
        <w:t>项目由来</w:t>
      </w:r>
      <w:bookmarkEnd w:id="2"/>
    </w:p>
    <w:p w14:paraId="1109F0E8">
      <w:pPr>
        <w:pageBreakBefore w:val="0"/>
        <w:widowControl w:val="0"/>
        <w:kinsoku/>
        <w:wordWrap/>
        <w:overflowPunct/>
        <w:topLinePunct w:val="0"/>
        <w:autoSpaceDE/>
        <w:autoSpaceDN/>
        <w:bidi w:val="0"/>
        <w:spacing w:line="500" w:lineRule="exact"/>
        <w:ind w:firstLine="480" w:firstLineChars="200"/>
        <w:textAlignment w:val="auto"/>
      </w:pPr>
      <w:r>
        <w:rPr>
          <w:rFonts w:hint="eastAsia"/>
        </w:rPr>
        <w:t>近年来，我国禽肉、蛋产品价格高位运行，严重影响了人民群众的正常生活、 影响了社会稳定，给国民经济带来了通货膨胀的巨大压力。为了促使这一矛盾的解决，党中央、国务院和各级党委政府决定大力发展畜牧业，确保市场有效供给， 稳定畜禽产品市场价格，维护社会稳定。</w:t>
      </w:r>
    </w:p>
    <w:p w14:paraId="1FCF88B5">
      <w:pPr>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Times New Roman"/>
          <w:sz w:val="28"/>
          <w:szCs w:val="28"/>
        </w:rPr>
      </w:pPr>
      <w:r>
        <w:rPr>
          <w:color w:val="000000"/>
          <w:szCs w:val="24"/>
        </w:rPr>
        <w:t>在此背景下，根据国内外</w:t>
      </w:r>
      <w:r>
        <w:rPr>
          <w:rFonts w:hint="eastAsia"/>
        </w:rPr>
        <w:t>畜禽</w:t>
      </w:r>
      <w:r>
        <w:rPr>
          <w:color w:val="000000"/>
          <w:szCs w:val="24"/>
        </w:rPr>
        <w:t>市场需求，</w:t>
      </w:r>
      <w:r>
        <w:t>为进一步稳定</w:t>
      </w:r>
      <w:r>
        <w:rPr>
          <w:rFonts w:hint="eastAsia"/>
        </w:rPr>
        <w:t>宿迁及周边地区鸡肉</w:t>
      </w:r>
      <w:r>
        <w:t>市场</w:t>
      </w:r>
      <w:r>
        <w:rPr>
          <w:rFonts w:hint="eastAsia"/>
        </w:rPr>
        <w:t>，提高人们生活水平</w:t>
      </w:r>
      <w:r>
        <w:rPr>
          <w:rFonts w:hint="eastAsia"/>
          <w:color w:val="000000" w:themeColor="text1"/>
          <w14:textFill>
            <w14:solidFill>
              <w14:schemeClr w14:val="tx1"/>
            </w14:solidFill>
          </w14:textFill>
        </w:rPr>
        <w:t>，满足人们对动物蛋白质特别是鸡肉的需求，泗阳县恒邦农业发展有限公司拟在</w:t>
      </w:r>
      <w:r>
        <w:rPr>
          <w:color w:val="000000" w:themeColor="text1"/>
          <w14:textFill>
            <w14:solidFill>
              <w14:schemeClr w14:val="tx1"/>
            </w14:solidFill>
          </w14:textFill>
        </w:rPr>
        <w:t>宿迁市泗阳县穿城镇向阳村四组建设肉鸡养殖场</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总投资</w:t>
      </w:r>
      <w:r>
        <w:rPr>
          <w:rFonts w:hint="eastAsia"/>
          <w:color w:val="000000" w:themeColor="text1"/>
          <w14:textFill>
            <w14:solidFill>
              <w14:schemeClr w14:val="tx1"/>
            </w14:solidFill>
          </w14:textFill>
        </w:rPr>
        <w:t>1500万元</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全厂流转泗阳县穿城镇向阳村村委会设施农用地49053m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（约73.5795</w:t>
      </w:r>
      <w:r>
        <w:rPr>
          <w:color w:val="000000" w:themeColor="text1"/>
          <w14:textFill>
            <w14:solidFill>
              <w14:schemeClr w14:val="tx1"/>
            </w14:solidFill>
          </w14:textFill>
        </w:rPr>
        <w:t>亩</w:t>
      </w:r>
      <w:r>
        <w:rPr>
          <w:rFonts w:hint="eastAsia"/>
          <w:color w:val="000000" w:themeColor="text1"/>
          <w14:textFill>
            <w14:solidFill>
              <w14:schemeClr w14:val="tx1"/>
            </w14:solidFill>
          </w14:textFill>
        </w:rPr>
        <w:t>），本</w:t>
      </w:r>
      <w:r>
        <w:rPr>
          <w:rFonts w:hint="eastAsia"/>
          <w:color w:val="000000" w:themeColor="text1"/>
          <w:lang w:val="en-US" w:eastAsia="zh-CN"/>
          <w14:textFill>
            <w14:solidFill>
              <w14:schemeClr w14:val="tx1"/>
            </w14:solidFill>
          </w14:textFill>
        </w:rPr>
        <w:t>次</w:t>
      </w:r>
      <w:r>
        <w:rPr>
          <w:rFonts w:hint="eastAsia"/>
          <w:color w:val="000000" w:themeColor="text1"/>
          <w14:textFill>
            <w14:solidFill>
              <w14:schemeClr w14:val="tx1"/>
            </w14:solidFill>
          </w14:textFill>
        </w:rPr>
        <w:t>项目用地约25333.4m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（约38亩），其余为发展备用地</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根据本项目建成后市场情况，确定是否用于鸡场扩建用地</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本</w:t>
      </w:r>
      <w:r>
        <w:rPr>
          <w:rFonts w:hint="eastAsia"/>
          <w:color w:val="000000" w:themeColor="text1"/>
          <w14:textFill>
            <w14:solidFill>
              <w14:schemeClr w14:val="tx1"/>
            </w14:solidFill>
          </w14:textFill>
        </w:rPr>
        <w:t>项目建设</w:t>
      </w:r>
      <w:r>
        <w:rPr>
          <w:color w:val="000000" w:themeColor="text1"/>
          <w14:textFill>
            <w14:solidFill>
              <w14:schemeClr w14:val="tx1"/>
            </w14:solidFill>
          </w14:textFill>
        </w:rPr>
        <w:t>鸡舍</w:t>
      </w:r>
      <w:r>
        <w:rPr>
          <w:rFonts w:hint="eastAsia"/>
          <w:color w:val="000000" w:themeColor="text1"/>
          <w14:textFill>
            <w14:solidFill>
              <w14:schemeClr w14:val="tx1"/>
            </w14:solidFill>
          </w14:textFill>
        </w:rPr>
        <w:t>10栋</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办公用房1栋及</w:t>
      </w:r>
      <w:r>
        <w:rPr>
          <w:color w:val="000000" w:themeColor="text1"/>
          <w14:textFill>
            <w14:solidFill>
              <w14:schemeClr w14:val="tx1"/>
            </w14:solidFill>
          </w14:textFill>
        </w:rPr>
        <w:t>附属设施</w:t>
      </w:r>
      <w:r>
        <w:rPr>
          <w:rFonts w:hint="eastAsia"/>
          <w:color w:val="000000" w:themeColor="text1"/>
          <w14:textFill>
            <w14:solidFill>
              <w14:schemeClr w14:val="tx1"/>
            </w14:solidFill>
          </w14:textFill>
        </w:rPr>
        <w:t>，共计</w:t>
      </w:r>
      <w:r>
        <w:rPr>
          <w:color w:val="000000" w:themeColor="text1"/>
          <w14:textFill>
            <w14:solidFill>
              <w14:schemeClr w14:val="tx1"/>
            </w14:solidFill>
          </w14:textFill>
        </w:rPr>
        <w:t>总建筑面积</w:t>
      </w:r>
      <w:r>
        <w:rPr>
          <w:rFonts w:hint="eastAsia"/>
          <w:color w:val="000000" w:themeColor="text1"/>
          <w14:textFill>
            <w14:solidFill>
              <w14:schemeClr w14:val="tx1"/>
            </w14:solidFill>
          </w14:textFill>
        </w:rPr>
        <w:t>约1.53万平方米</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待</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建成</w:t>
      </w:r>
      <w:r>
        <w:rPr>
          <w:color w:val="000000" w:themeColor="text1"/>
          <w14:textFill>
            <w14:solidFill>
              <w14:schemeClr w14:val="tx1"/>
            </w14:solidFill>
          </w14:textFill>
        </w:rPr>
        <w:t>后可形成</w:t>
      </w:r>
      <w:r>
        <w:rPr>
          <w:rFonts w:hint="eastAsia"/>
          <w:color w:val="000000" w:themeColor="text1"/>
          <w14:textFill>
            <w14:solidFill>
              <w14:schemeClr w14:val="tx1"/>
            </w14:solidFill>
          </w14:textFill>
        </w:rPr>
        <w:t>年出栏100万只肉鸡的生产规模</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该项目已取得</w:t>
      </w:r>
      <w:r>
        <w:rPr>
          <w:rFonts w:hint="eastAsia" w:hAnsi="宋体"/>
          <w:color w:val="000000" w:themeColor="text1"/>
          <w:szCs w:val="24"/>
          <w14:textFill>
            <w14:solidFill>
              <w14:schemeClr w14:val="tx1"/>
            </w14:solidFill>
          </w14:textFill>
        </w:rPr>
        <w:t>宿迁泗阳县数据局</w:t>
      </w:r>
      <w:r>
        <w:rPr>
          <w:rFonts w:hint="eastAsia"/>
          <w:color w:val="000000" w:themeColor="text1"/>
          <w14:textFill>
            <w14:solidFill>
              <w14:schemeClr w14:val="tx1"/>
            </w14:solidFill>
          </w14:textFill>
        </w:rPr>
        <w:t>出具的江苏省投资项目备案证，备案号：泗阳数据备〔2024〕21号，项目代码：2406-321323-89-01-990847。</w:t>
      </w:r>
    </w:p>
    <w:p w14:paraId="12E6C214">
      <w:pPr>
        <w:pageBreakBefore w:val="0"/>
        <w:widowControl w:val="0"/>
        <w:kinsoku/>
        <w:wordWrap/>
        <w:overflowPunct/>
        <w:topLinePunct w:val="0"/>
        <w:autoSpaceDE/>
        <w:autoSpaceDN/>
        <w:bidi w:val="0"/>
        <w:spacing w:line="500" w:lineRule="exact"/>
        <w:ind w:firstLine="480" w:firstLineChars="200"/>
        <w:textAlignment w:val="auto"/>
      </w:pPr>
      <w:r>
        <w:rPr>
          <w:rFonts w:hint="eastAsia"/>
        </w:rPr>
        <w:t>根据《中华人民共和国环境保护法》、《中华人民共和国环境影响评价法》、《建设项目环境保护管理条例》，本项目</w:t>
      </w:r>
      <w:r>
        <w:t>需要进行环境影响评价。</w:t>
      </w:r>
      <w:r>
        <w:rPr>
          <w:rFonts w:hint="eastAsia"/>
        </w:rPr>
        <w:t>根据《排污许可证申请与核发技术规范 畜禽养殖行业》（HJ 1029-2019）：60只肉鸡折算成1头猪，本项目建设规模为年出栏100万只肉鸡，折成出栏生猪约1.67万头。根据《建设项目环境影响评价分类管理名录（2021年版）》（部令第16号），本项目属于“二</w:t>
      </w:r>
      <w:r>
        <w:t>、畜牧业</w:t>
      </w:r>
      <w:r>
        <w:rPr>
          <w:rFonts w:hint="eastAsia"/>
        </w:rPr>
        <w:t xml:space="preserve"> 03”中</w:t>
      </w:r>
      <w:r>
        <w:t>“3</w:t>
      </w:r>
      <w:r>
        <w:rPr>
          <w:rFonts w:hint="eastAsia"/>
        </w:rPr>
        <w:t>、家禽饲养032</w:t>
      </w:r>
      <w:r>
        <w:t>”</w:t>
      </w:r>
      <w:r>
        <w:rPr>
          <w:rFonts w:hint="eastAsia"/>
        </w:rPr>
        <w:t>中</w:t>
      </w:r>
      <w:r>
        <w:t>“</w:t>
      </w:r>
      <w:r>
        <w:rPr>
          <w:rFonts w:hint="eastAsia"/>
        </w:rPr>
        <w:t>年出栏</w:t>
      </w:r>
      <w:r>
        <w:t>生猪</w:t>
      </w:r>
      <w:r>
        <w:rPr>
          <w:rFonts w:hint="eastAsia"/>
        </w:rPr>
        <w:t>5000头（其他畜禽</w:t>
      </w:r>
      <w:r>
        <w:t>种类</w:t>
      </w:r>
      <w:r>
        <w:rPr>
          <w:rFonts w:hint="eastAsia"/>
        </w:rPr>
        <w:t>折合</w:t>
      </w:r>
      <w:r>
        <w:t>猪的养殖</w:t>
      </w:r>
      <w:r>
        <w:rPr>
          <w:rFonts w:hint="eastAsia"/>
        </w:rPr>
        <w:t>量）及</w:t>
      </w:r>
      <w:r>
        <w:t>以上规模化的畜禽养殖”</w:t>
      </w:r>
      <w:r>
        <w:rPr>
          <w:rFonts w:hint="eastAsia"/>
        </w:rPr>
        <w:t>，需编制环境影响报告书。</w:t>
      </w:r>
    </w:p>
    <w:p w14:paraId="7E456A0C">
      <w:pPr>
        <w:pageBreakBefore w:val="0"/>
        <w:widowControl w:val="0"/>
        <w:kinsoku/>
        <w:wordWrap/>
        <w:overflowPunct/>
        <w:topLinePunct w:val="0"/>
        <w:autoSpaceDE/>
        <w:autoSpaceDN/>
        <w:bidi w:val="0"/>
        <w:spacing w:line="500" w:lineRule="exact"/>
        <w:ind w:firstLine="480" w:firstLineChars="200"/>
        <w:textAlignment w:val="auto"/>
      </w:pPr>
      <w:r>
        <w:rPr>
          <w:rFonts w:hint="eastAsia"/>
          <w:color w:val="000000" w:themeColor="text1"/>
          <w14:textFill>
            <w14:solidFill>
              <w14:schemeClr w14:val="tx1"/>
            </w14:solidFill>
          </w14:textFill>
        </w:rPr>
        <w:t>建设单位委托江苏联晟生态环境科技有限公司对该项目进行环境影响评价。我公司接受委托后，组织人员现场踏勘，在调查、收集有关资料的基础上根据国家相关法律、法规标准及环境影响评价技术导则</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编制</w:t>
      </w:r>
      <w:r>
        <w:rPr>
          <w:rFonts w:hint="eastAsia"/>
        </w:rPr>
        <w:t>完成了《泗阳县恒邦农业发展有限公司年出栏100万只肉鸡养殖项目环境影响报告书</w:t>
      </w:r>
      <w:r>
        <w:rPr>
          <w:rFonts w:hint="eastAsia"/>
          <w:color w:val="000000" w:themeColor="text1"/>
          <w14:textFill>
            <w14:solidFill>
              <w14:schemeClr w14:val="tx1"/>
            </w14:solidFill>
          </w14:textFill>
        </w:rPr>
        <w:t>》，报送生态环境主管部门审批</w:t>
      </w:r>
      <w:r>
        <w:rPr>
          <w:rFonts w:hint="eastAsia"/>
        </w:rPr>
        <w:t>，以便为项目实施和环境管理提供依据。</w:t>
      </w:r>
    </w:p>
    <w:p w14:paraId="157AD6FA">
      <w:pPr>
        <w:pStyle w:val="4"/>
        <w:spacing w:after="0" w:line="500" w:lineRule="exact"/>
        <w:jc w:val="both"/>
      </w:pPr>
      <w:bookmarkStart w:id="3" w:name="_Toc9120"/>
      <w:r>
        <w:rPr>
          <w:rFonts w:hint="eastAsia"/>
        </w:rPr>
        <w:t>1</w:t>
      </w:r>
      <w:r>
        <w:t xml:space="preserve">.2 </w:t>
      </w:r>
      <w:r>
        <w:rPr>
          <w:rFonts w:hint="eastAsia"/>
        </w:rPr>
        <w:t>项目特点</w:t>
      </w:r>
      <w:bookmarkEnd w:id="3"/>
    </w:p>
    <w:p w14:paraId="3953337A">
      <w:pPr>
        <w:pStyle w:val="2"/>
        <w:autoSpaceDE/>
        <w:autoSpaceDN/>
        <w:adjustRightInd w:val="0"/>
        <w:snapToGrid w:val="0"/>
        <w:spacing w:after="0" w:line="500" w:lineRule="exact"/>
        <w:ind w:firstLine="480" w:firstLineChars="200"/>
        <w:rPr>
          <w:rFonts w:asciiTheme="minorHAnsi" w:hAnsiTheme="minorHAnsi" w:eastAsiaTheme="minorEastAsia" w:cstheme="minorBidi"/>
          <w:kern w:val="2"/>
          <w:sz w:val="24"/>
          <w:lang w:val="en-US" w:bidi="ar-SA"/>
        </w:rPr>
      </w:pPr>
      <w:r>
        <w:rPr>
          <w:rFonts w:hint="eastAsia" w:asciiTheme="minorHAnsi" w:hAnsiTheme="minorHAnsi" w:eastAsiaTheme="minorEastAsia" w:cstheme="minorBidi"/>
          <w:kern w:val="2"/>
          <w:sz w:val="24"/>
          <w:lang w:val="en-US" w:bidi="ar-SA"/>
        </w:rPr>
        <w:t>本项目具有以下特点：</w:t>
      </w:r>
    </w:p>
    <w:p w14:paraId="1BE82F78">
      <w:pPr>
        <w:spacing w:line="500" w:lineRule="exact"/>
        <w:ind w:firstLine="480" w:firstLineChars="200"/>
      </w:pPr>
      <w:r>
        <w:rPr>
          <w:rFonts w:hint="eastAsia"/>
        </w:rPr>
        <w:t>（1）项目为养鸡场建设项目，按行业类别：属于[A0321]鸡的饲养。</w:t>
      </w:r>
    </w:p>
    <w:p w14:paraId="33D36211">
      <w:pPr>
        <w:spacing w:line="500" w:lineRule="exact"/>
        <w:ind w:firstLine="480" w:firstLineChars="200"/>
      </w:pPr>
      <w:r>
        <w:rPr>
          <w:rFonts w:hint="eastAsia"/>
        </w:rPr>
        <w:t>（2）本项目为新建项目，采用国际先进的工艺技术设计和配置，建设规模化、集约化、标准化的养鸡场；项目外购成品饲料，不在场内加工。</w:t>
      </w:r>
    </w:p>
    <w:p w14:paraId="4A5CC30D">
      <w:pPr>
        <w:spacing w:line="500" w:lineRule="exact"/>
        <w:ind w:firstLine="480" w:firstLineChars="200"/>
      </w:pPr>
      <w:r>
        <w:rPr>
          <w:rFonts w:hint="eastAsia"/>
        </w:rPr>
        <w:t>（3）项目废水经厂内</w:t>
      </w:r>
      <w:r>
        <w:t>污水</w:t>
      </w:r>
      <w:r>
        <w:rPr>
          <w:color w:val="000000" w:themeColor="text1"/>
          <w:szCs w:val="24"/>
          <w14:textFill>
            <w14:solidFill>
              <w14:schemeClr w14:val="tx1"/>
            </w14:solidFill>
          </w14:textFill>
        </w:rPr>
        <w:t>站</w:t>
      </w:r>
      <w:r>
        <w:rPr>
          <w:rFonts w:hint="eastAsia"/>
          <w:color w:val="000000" w:themeColor="text1"/>
          <w:szCs w:val="24"/>
          <w14:textFill>
            <w14:solidFill>
              <w14:schemeClr w14:val="tx1"/>
            </w14:solidFill>
          </w14:textFill>
        </w:rPr>
        <w:t>（采用“</w:t>
      </w:r>
      <w:r>
        <w:rPr>
          <w:rFonts w:ascii="Times New Roman" w:hAnsi="Times New Roman" w:eastAsia="宋体" w:cs="Times New Roman"/>
          <w:color w:val="000000" w:themeColor="text1"/>
          <w:szCs w:val="24"/>
          <w14:textFill>
            <w14:solidFill>
              <w14:schemeClr w14:val="tx1"/>
            </w14:solidFill>
          </w14:textFill>
        </w:rPr>
        <w:t>格栅+沉砂集水+水解酸化+厌氧反应+好氧处理+</w:t>
      </w:r>
      <w:r>
        <w:rPr>
          <w:rFonts w:hint="eastAsia" w:ascii="Times New Roman" w:hAnsi="Times New Roman" w:eastAsia="宋体" w:cs="Times New Roman"/>
          <w:color w:val="000000" w:themeColor="text1"/>
          <w:szCs w:val="24"/>
          <w14:textFill>
            <w14:solidFill>
              <w14:schemeClr w14:val="tx1"/>
            </w14:solidFill>
          </w14:textFill>
        </w:rPr>
        <w:t>消毒</w:t>
      </w:r>
      <w:r>
        <w:rPr>
          <w:rFonts w:hint="eastAsia"/>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工艺</w:t>
      </w:r>
      <w:r>
        <w:rPr>
          <w:rFonts w:hint="eastAsia"/>
          <w:color w:val="000000" w:themeColor="text1"/>
          <w:szCs w:val="24"/>
          <w14:textFill>
            <w14:solidFill>
              <w14:schemeClr w14:val="tx1"/>
            </w14:solidFill>
          </w14:textFill>
        </w:rPr>
        <w:t>）处理</w:t>
      </w:r>
      <w:r>
        <w:rPr>
          <w:color w:val="000000" w:themeColor="text1"/>
          <w:szCs w:val="24"/>
          <w14:textFill>
            <w14:solidFill>
              <w14:schemeClr w14:val="tx1"/>
            </w14:solidFill>
          </w14:textFill>
        </w:rPr>
        <w:t>后，</w:t>
      </w:r>
      <w:r>
        <w:rPr>
          <w:rFonts w:hint="eastAsia"/>
          <w:color w:val="000000" w:themeColor="text1"/>
          <w:szCs w:val="24"/>
          <w14:textFill>
            <w14:solidFill>
              <w14:schemeClr w14:val="tx1"/>
            </w14:solidFill>
          </w14:textFill>
        </w:rPr>
        <w:t>尾水用于周边</w:t>
      </w:r>
      <w:r>
        <w:rPr>
          <w:color w:val="000000" w:themeColor="text1"/>
          <w:szCs w:val="24"/>
          <w14:textFill>
            <w14:solidFill>
              <w14:schemeClr w14:val="tx1"/>
            </w14:solidFill>
          </w14:textFill>
        </w:rPr>
        <w:t>农田灌溉</w:t>
      </w:r>
      <w:r>
        <w:rPr>
          <w:rFonts w:hint="eastAsia"/>
          <w:color w:val="000000" w:themeColor="text1"/>
          <w:szCs w:val="24"/>
          <w14:textFill>
            <w14:solidFill>
              <w14:schemeClr w14:val="tx1"/>
            </w14:solidFill>
          </w14:textFill>
        </w:rPr>
        <w:t>。</w:t>
      </w:r>
    </w:p>
    <w:p w14:paraId="7E78D1D3">
      <w:pPr>
        <w:spacing w:line="500" w:lineRule="exact"/>
        <w:ind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（4）项目冬季供热</w:t>
      </w:r>
      <w:r>
        <w:rPr>
          <w:color w:val="000000" w:themeColor="text1"/>
          <w:szCs w:val="24"/>
          <w14:textFill>
            <w14:solidFill>
              <w14:schemeClr w14:val="tx1"/>
            </w14:solidFill>
          </w14:textFill>
        </w:rPr>
        <w:t>采用</w:t>
      </w:r>
      <w:r>
        <w:rPr>
          <w:rFonts w:hint="eastAsia"/>
          <w:color w:val="000000" w:themeColor="text1"/>
          <w:szCs w:val="24"/>
          <w14:textFill>
            <w14:solidFill>
              <w14:schemeClr w14:val="tx1"/>
            </w14:solidFill>
          </w14:textFill>
        </w:rPr>
        <w:t>1台4t/h</w:t>
      </w:r>
      <w:r>
        <w:rPr>
          <w:rFonts w:hint="eastAsia"/>
          <w:color w:val="000000" w:themeColor="text1"/>
          <w:szCs w:val="24"/>
          <w:lang w:val="en-US" w:eastAsia="zh-CN"/>
          <w14:textFill>
            <w14:solidFill>
              <w14:schemeClr w14:val="tx1"/>
            </w14:solidFill>
          </w14:textFill>
        </w:rPr>
        <w:t>电热水锅炉</w:t>
      </w:r>
      <w:r>
        <w:rPr>
          <w:rFonts w:hint="eastAsia"/>
          <w:color w:val="000000" w:themeColor="text1"/>
          <w:szCs w:val="24"/>
          <w14:textFill>
            <w14:solidFill>
              <w14:schemeClr w14:val="tx1"/>
            </w14:solidFill>
          </w14:textFill>
        </w:rPr>
        <w:t>提供。</w:t>
      </w:r>
    </w:p>
    <w:p w14:paraId="2E534DFA">
      <w:pPr>
        <w:spacing w:line="500" w:lineRule="exact"/>
        <w:ind w:firstLine="480" w:firstLineChars="200"/>
      </w:pPr>
      <w:r>
        <w:rPr>
          <w:rFonts w:hint="eastAsia"/>
        </w:rPr>
        <w:t>（5）项目鸡粪日产日清，外售</w:t>
      </w:r>
      <w:r>
        <w:rPr>
          <w:rFonts w:hint="eastAsia"/>
          <w:color w:val="000000" w:themeColor="text1"/>
          <w14:textFill>
            <w14:solidFill>
              <w14:schemeClr w14:val="tx1"/>
            </w14:solidFill>
          </w14:textFill>
        </w:rPr>
        <w:t>给</w:t>
      </w:r>
      <w:r>
        <w:rPr>
          <w:rFonts w:hint="eastAsia" w:hAnsi="宋体"/>
          <w:color w:val="000000" w:themeColor="text1"/>
          <w:lang w:eastAsia="zh-CN"/>
          <w14:textFill>
            <w14:solidFill>
              <w14:schemeClr w14:val="tx1"/>
            </w14:solidFill>
          </w14:textFill>
        </w:rPr>
        <w:t>泗阳巨宇畜禽粪污处理有限公司</w:t>
      </w:r>
      <w:r>
        <w:rPr>
          <w:rFonts w:hint="eastAsia"/>
          <w:color w:val="000000" w:themeColor="text1"/>
          <w:lang w:eastAsia="zh-CN"/>
          <w14:textFill>
            <w14:solidFill>
              <w14:schemeClr w14:val="tx1"/>
            </w14:solidFill>
          </w14:textFill>
        </w:rPr>
        <w:t>资源化利用</w:t>
      </w:r>
      <w:r>
        <w:rPr>
          <w:rFonts w:hint="eastAsia"/>
          <w:color w:val="000000" w:themeColor="text1"/>
          <w14:textFill>
            <w14:solidFill>
              <w14:schemeClr w14:val="tx1"/>
            </w14:solidFill>
          </w14:textFill>
        </w:rPr>
        <w:t>，病死鸡</w:t>
      </w:r>
      <w:r>
        <w:rPr>
          <w:color w:val="000000" w:themeColor="text1"/>
          <w14:textFill>
            <w14:solidFill>
              <w14:schemeClr w14:val="tx1"/>
            </w14:solidFill>
          </w14:textFill>
        </w:rPr>
        <w:t>委托</w:t>
      </w:r>
      <w:r>
        <w:rPr>
          <w:rFonts w:hint="eastAsia"/>
          <w:color w:val="000000" w:themeColor="text1"/>
          <w14:textFill>
            <w14:solidFill>
              <w14:schemeClr w14:val="tx1"/>
            </w14:solidFill>
          </w14:textFill>
        </w:rPr>
        <w:t>泗阳北斗星动物无害化处理有限公司</w:t>
      </w:r>
      <w:r>
        <w:rPr>
          <w:color w:val="000000" w:themeColor="text1"/>
          <w14:textFill>
            <w14:solidFill>
              <w14:schemeClr w14:val="tx1"/>
            </w14:solidFill>
          </w14:textFill>
        </w:rPr>
        <w:t>处置，</w:t>
      </w:r>
      <w:r>
        <w:rPr>
          <w:rFonts w:hint="eastAsia"/>
          <w:color w:val="000000" w:themeColor="text1"/>
          <w14:textFill>
            <w14:solidFill>
              <w14:schemeClr w14:val="tx1"/>
            </w14:solidFill>
          </w14:textFill>
        </w:rPr>
        <w:t>项目固体废弃物均得到安全有效处置，固体废物零排放。</w:t>
      </w:r>
    </w:p>
    <w:p w14:paraId="1BE152ED">
      <w:pPr>
        <w:pStyle w:val="4"/>
        <w:spacing w:after="0" w:line="500" w:lineRule="exact"/>
        <w:jc w:val="both"/>
      </w:pPr>
      <w:bookmarkStart w:id="4" w:name="_Toc10255"/>
      <w:r>
        <w:rPr>
          <w:rFonts w:hint="eastAsia"/>
        </w:rPr>
        <w:t>1.3</w:t>
      </w:r>
      <w:r>
        <w:t xml:space="preserve"> </w:t>
      </w:r>
      <w:r>
        <w:rPr>
          <w:rFonts w:hint="eastAsia"/>
        </w:rPr>
        <w:t>关注的主要环境问题</w:t>
      </w:r>
      <w:bookmarkEnd w:id="4"/>
    </w:p>
    <w:p w14:paraId="5088FB9B">
      <w:pPr>
        <w:spacing w:line="480" w:lineRule="exact"/>
        <w:ind w:firstLine="480" w:firstLineChars="200"/>
      </w:pPr>
      <w:bookmarkStart w:id="5" w:name="OLE_LINK6"/>
      <w:bookmarkStart w:id="6" w:name="OLE_LINK5"/>
      <w:r>
        <w:rPr>
          <w:rFonts w:hint="eastAsia"/>
        </w:rPr>
        <w:t>作为养殖类项目，本次环境影响评价主要关注建设投入营运后污染物的产生、控制处理措施及其环境影响：</w:t>
      </w:r>
    </w:p>
    <w:p w14:paraId="4EDEC5ED">
      <w:pPr>
        <w:spacing w:line="480" w:lineRule="exact"/>
        <w:ind w:firstLine="480" w:firstLineChars="200"/>
      </w:pPr>
      <w:r>
        <w:rPr>
          <w:rFonts w:hint="eastAsia"/>
        </w:rPr>
        <w:t>（1）本项目恶臭气体处理措施的可行性以及对外环境影响分析；</w:t>
      </w:r>
    </w:p>
    <w:p w14:paraId="6BF49F3A">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（2）本项目废水污染物处理措施可行性；</w:t>
      </w:r>
    </w:p>
    <w:p w14:paraId="720D834B">
      <w:pPr>
        <w:pStyle w:val="2"/>
        <w:spacing w:after="0" w:line="480" w:lineRule="exact"/>
        <w:ind w:firstLine="480" w:firstLineChars="200"/>
        <w:rPr>
          <w:color w:val="000000" w:themeColor="text1"/>
          <w:sz w:val="24"/>
          <w:szCs w:val="24"/>
          <w:lang w:val="en-US"/>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14:textFill>
            <w14:solidFill>
              <w14:schemeClr w14:val="tx1"/>
            </w14:solidFill>
          </w14:textFill>
        </w:rPr>
        <w:t>本项目执行</w:t>
      </w:r>
      <w:r>
        <w:rPr>
          <w:rFonts w:ascii="Times New Roman" w:hAnsi="Times New Roman" w:cs="Times New Roman"/>
          <w:color w:val="000000" w:themeColor="text1"/>
          <w:sz w:val="24"/>
          <w:szCs w:val="24"/>
          <w14:textFill>
            <w14:solidFill>
              <w14:schemeClr w14:val="tx1"/>
            </w14:solidFill>
          </w14:textFill>
        </w:rPr>
        <w:t>《声环境质量标准》（GB3096-2008）</w:t>
      </w:r>
      <w:r>
        <w:rPr>
          <w:rFonts w:hint="eastAsia" w:ascii="Times New Roman" w:hAnsi="Times New Roman" w:cs="Times New Roman"/>
          <w:color w:val="000000" w:themeColor="text1"/>
          <w:sz w:val="24"/>
          <w:szCs w:val="24"/>
          <w:lang w:val="en-US"/>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类标准</w:t>
      </w: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14:textFill>
            <w14:solidFill>
              <w14:schemeClr w14:val="tx1"/>
            </w14:solidFill>
          </w14:textFill>
        </w:rPr>
        <w:t>关注项目噪声污染防治</w:t>
      </w:r>
      <w:r>
        <w:rPr>
          <w:rFonts w:hint="eastAsia"/>
          <w:color w:val="000000" w:themeColor="text1"/>
          <w:sz w:val="24"/>
          <w:szCs w:val="24"/>
          <w14:textFill>
            <w14:solidFill>
              <w14:schemeClr w14:val="tx1"/>
            </w14:solidFill>
          </w14:textFill>
        </w:rPr>
        <w:t>措施的可行性以及对外环境影响分析；</w:t>
      </w:r>
    </w:p>
    <w:p w14:paraId="325DE770">
      <w:pPr>
        <w:spacing w:line="480" w:lineRule="exact"/>
        <w:ind w:firstLine="480" w:firstLineChars="200"/>
      </w:pPr>
      <w:r>
        <w:rPr>
          <w:rFonts w:hint="eastAsia"/>
        </w:rPr>
        <w:t>（4）本项目固体废物处置的可行性；</w:t>
      </w:r>
    </w:p>
    <w:p w14:paraId="0722AD5A">
      <w:pPr>
        <w:spacing w:line="480" w:lineRule="exact"/>
        <w:ind w:firstLine="480" w:firstLineChars="200"/>
      </w:pPr>
      <w:r>
        <w:rPr>
          <w:rFonts w:hint="eastAsia"/>
        </w:rPr>
        <w:t>（5）本项目废水灌溉、固废贮存等对土壤的影响分析。</w:t>
      </w:r>
    </w:p>
    <w:p w14:paraId="23BF0DCF">
      <w:pPr>
        <w:pStyle w:val="4"/>
        <w:spacing w:after="0" w:line="500" w:lineRule="exact"/>
        <w:jc w:val="both"/>
      </w:pPr>
      <w:bookmarkStart w:id="7" w:name="_Toc15021"/>
      <w:r>
        <w:rPr>
          <w:rFonts w:hint="eastAsia"/>
        </w:rPr>
        <w:t>1</w:t>
      </w:r>
      <w:r>
        <w:t xml:space="preserve">.4 </w:t>
      </w:r>
      <w:r>
        <w:rPr>
          <w:rFonts w:hint="eastAsia"/>
        </w:rPr>
        <w:t>环境影响评价工作过程</w:t>
      </w:r>
      <w:bookmarkEnd w:id="7"/>
    </w:p>
    <w:bookmarkEnd w:id="5"/>
    <w:bookmarkEnd w:id="6"/>
    <w:p w14:paraId="0BAAFB04">
      <w:pPr>
        <w:spacing w:line="500" w:lineRule="exact"/>
        <w:ind w:firstLine="480" w:firstLineChars="200"/>
      </w:pPr>
      <w:r>
        <w:rPr>
          <w:rFonts w:hAnsi="宋体"/>
          <w:color w:val="000000"/>
          <w:szCs w:val="24"/>
        </w:rPr>
        <w:t>根据《环境影响评价技术导则</w:t>
      </w:r>
      <w:r>
        <w:rPr>
          <w:rFonts w:hint="eastAsia"/>
          <w:color w:val="000000"/>
          <w:szCs w:val="24"/>
        </w:rPr>
        <w:t xml:space="preserve"> </w:t>
      </w:r>
      <w:r>
        <w:rPr>
          <w:rFonts w:hAnsi="宋体"/>
          <w:color w:val="000000"/>
          <w:szCs w:val="24"/>
        </w:rPr>
        <w:t>总纲》（</w:t>
      </w:r>
      <w:r>
        <w:rPr>
          <w:color w:val="000000"/>
          <w:szCs w:val="24"/>
        </w:rPr>
        <w:t>HJ 2.1-2016</w:t>
      </w:r>
      <w:r>
        <w:rPr>
          <w:rFonts w:hAnsi="宋体"/>
          <w:color w:val="000000"/>
          <w:szCs w:val="24"/>
        </w:rPr>
        <w:t>）等相关技术规范的要求，</w:t>
      </w:r>
      <w:r>
        <w:rPr>
          <w:rFonts w:hint="eastAsia"/>
        </w:rPr>
        <w:t>本次环境影响评价工作分三个阶段，即前期准备、调研和工作方案阶段，分析论证和预测评价阶段，环境影响评价文件编制阶段，详见图1.</w:t>
      </w:r>
      <w:r>
        <w:t>4</w:t>
      </w:r>
      <w:r>
        <w:rPr>
          <w:rFonts w:hint="eastAsia"/>
        </w:rPr>
        <w:t>-1。</w:t>
      </w:r>
    </w:p>
    <w:p w14:paraId="651B799E">
      <w:pPr>
        <w:spacing w:line="240" w:lineRule="auto"/>
        <w:jc w:val="center"/>
      </w:pPr>
      <w:r>
        <w:rPr>
          <w:color w:val="000000"/>
        </w:rPr>
        <w:object>
          <v:shape id="_x0000_i1025" o:spt="75" type="#_x0000_t75" style="height:491.65pt;width:428.25pt;" o:ole="t"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p>
    <w:p w14:paraId="511446D8">
      <w:pPr>
        <w:pStyle w:val="5"/>
        <w:spacing w:after="0" w:line="500" w:lineRule="exact"/>
      </w:pPr>
      <w:r>
        <w:rPr>
          <w:rFonts w:hint="eastAsia"/>
        </w:rPr>
        <w:t>图</w:t>
      </w:r>
      <w:r>
        <w:t xml:space="preserve">1.4-1  </w:t>
      </w:r>
      <w:r>
        <w:rPr>
          <w:rFonts w:hint="eastAsia"/>
        </w:rPr>
        <w:t>建设项目环境影响评价工作程序图</w:t>
      </w:r>
    </w:p>
    <w:p w14:paraId="6AE7ADB2">
      <w:pPr>
        <w:pStyle w:val="4"/>
        <w:spacing w:after="0" w:line="480" w:lineRule="exact"/>
        <w:jc w:val="both"/>
      </w:pPr>
      <w:bookmarkStart w:id="8" w:name="_Toc23236"/>
      <w:r>
        <w:rPr>
          <w:rFonts w:hint="eastAsia"/>
        </w:rPr>
        <w:t>1</w:t>
      </w:r>
      <w:r>
        <w:t xml:space="preserve">.5 </w:t>
      </w:r>
      <w:r>
        <w:rPr>
          <w:rFonts w:hint="eastAsia"/>
        </w:rPr>
        <w:t>分析判定相关情况</w:t>
      </w:r>
      <w:bookmarkEnd w:id="8"/>
    </w:p>
    <w:p w14:paraId="29A2B59F">
      <w:pPr>
        <w:pStyle w:val="7"/>
        <w:spacing w:line="480" w:lineRule="exact"/>
      </w:pPr>
      <w:r>
        <w:rPr>
          <w:rFonts w:hint="eastAsia"/>
        </w:rPr>
        <w:t>1</w:t>
      </w:r>
      <w:r>
        <w:t xml:space="preserve">.5.1 </w:t>
      </w:r>
      <w:r>
        <w:rPr>
          <w:rFonts w:hint="eastAsia"/>
        </w:rPr>
        <w:t>产业政策相符性分析</w:t>
      </w:r>
    </w:p>
    <w:p w14:paraId="04C91917">
      <w:pPr>
        <w:spacing w:line="480" w:lineRule="exact"/>
        <w:ind w:firstLine="480" w:firstLineChars="200"/>
      </w:pPr>
      <w:r>
        <w:rPr>
          <w:rFonts w:hint="eastAsia"/>
        </w:rPr>
        <w:t>（1）与《产业结构调整指导目录（2024年本）》相符性分析</w:t>
      </w:r>
    </w:p>
    <w:p w14:paraId="5D0BF211">
      <w:pPr>
        <w:spacing w:line="480" w:lineRule="exact"/>
        <w:ind w:firstLine="480" w:firstLineChars="200"/>
      </w:pPr>
      <w:r>
        <w:rPr>
          <w:rFonts w:hint="eastAsia"/>
        </w:rPr>
        <w:t>本项目属于《国民经济行业分类》分类中的“[A0321]鸡的饲养”。经查询《产业结构调整指导目录（2024年本）》，本项目属于“第一类 鼓励类”中“一、农林牧渔业”中“14、畜禽标准化规模养殖技术开发与应用”，为鼓励类项目。因此，本项目的建设符合国家产业政策。</w:t>
      </w:r>
    </w:p>
    <w:p w14:paraId="6212AE08">
      <w:pPr>
        <w:pageBreakBefore w:val="0"/>
        <w:widowControl w:val="0"/>
        <w:kinsoku/>
        <w:wordWrap/>
        <w:overflowPunct/>
        <w:topLinePunct w:val="0"/>
        <w:autoSpaceDE/>
        <w:autoSpaceDN/>
        <w:bidi w:val="0"/>
        <w:adjustRightInd/>
        <w:snapToGrid/>
        <w:spacing w:line="460" w:lineRule="exact"/>
        <w:ind w:firstLine="480" w:firstLineChars="200"/>
        <w:textAlignment w:val="auto"/>
      </w:pPr>
      <w:r>
        <w:rPr>
          <w:rFonts w:hint="eastAsia"/>
        </w:rPr>
        <w:t>（</w:t>
      </w:r>
      <w:r>
        <w:t>2</w:t>
      </w:r>
      <w:r>
        <w:rPr>
          <w:rFonts w:hint="eastAsia"/>
        </w:rPr>
        <w:t>）与《限制用地项目目录（2012年本）》和《江苏省限制用地项目目录（2013年本）》等相符性分析</w:t>
      </w:r>
    </w:p>
    <w:p w14:paraId="5BCBC391">
      <w:pPr>
        <w:pageBreakBefore w:val="0"/>
        <w:widowControl w:val="0"/>
        <w:kinsoku/>
        <w:wordWrap/>
        <w:overflowPunct/>
        <w:topLinePunct w:val="0"/>
        <w:autoSpaceDE/>
        <w:autoSpaceDN/>
        <w:bidi w:val="0"/>
        <w:adjustRightInd/>
        <w:snapToGrid/>
        <w:spacing w:line="460" w:lineRule="exact"/>
        <w:ind w:firstLine="480" w:firstLineChars="200"/>
        <w:textAlignment w:val="auto"/>
      </w:pPr>
      <w:r>
        <w:rPr>
          <w:rFonts w:hint="eastAsia"/>
        </w:rPr>
        <w:t>本项目不在国家《限制用地项目目录（2012年本）》、《禁止用地项目目录（2012年本）》和《江苏省限制用地项目目录（2013年本）》、《江苏省禁止用地项目目录（2013年本）》中。</w:t>
      </w:r>
    </w:p>
    <w:p w14:paraId="2D811653">
      <w:pPr>
        <w:pageBreakBefore w:val="0"/>
        <w:widowControl w:val="0"/>
        <w:kinsoku/>
        <w:wordWrap/>
        <w:overflowPunct/>
        <w:topLinePunct w:val="0"/>
        <w:autoSpaceDE/>
        <w:autoSpaceDN/>
        <w:bidi w:val="0"/>
        <w:adjustRightInd/>
        <w:snapToGrid/>
        <w:spacing w:line="460" w:lineRule="exact"/>
        <w:ind w:firstLine="480" w:firstLineChars="200"/>
        <w:textAlignment w:val="auto"/>
      </w:pPr>
      <w:r>
        <w:rPr>
          <w:rFonts w:hint="eastAsia"/>
        </w:rPr>
        <w:t>（</w:t>
      </w:r>
      <w:r>
        <w:t>3</w:t>
      </w:r>
      <w:r>
        <w:rPr>
          <w:rFonts w:hint="eastAsia"/>
        </w:rPr>
        <w:t>）本项目已取</w:t>
      </w:r>
      <w:r>
        <w:rPr>
          <w:rFonts w:hint="eastAsia"/>
          <w:color w:val="000000" w:themeColor="text1"/>
          <w14:textFill>
            <w14:solidFill>
              <w14:schemeClr w14:val="tx1"/>
            </w14:solidFill>
          </w14:textFill>
        </w:rPr>
        <w:t>得宿迁泗阳县数据局出具的江苏省投资项目备案证，备案号：泗阳数据备〔2024〕21号。</w:t>
      </w:r>
    </w:p>
    <w:p w14:paraId="0072A381">
      <w:pPr>
        <w:pageBreakBefore w:val="0"/>
        <w:widowControl w:val="0"/>
        <w:kinsoku/>
        <w:wordWrap/>
        <w:overflowPunct/>
        <w:topLinePunct w:val="0"/>
        <w:autoSpaceDE/>
        <w:autoSpaceDN/>
        <w:bidi w:val="0"/>
        <w:adjustRightInd/>
        <w:snapToGrid/>
        <w:spacing w:line="460" w:lineRule="exact"/>
        <w:ind w:firstLine="480" w:firstLineChars="200"/>
        <w:textAlignment w:val="auto"/>
      </w:pPr>
      <w:r>
        <w:rPr>
          <w:rFonts w:hint="eastAsia"/>
        </w:rPr>
        <w:t>（</w:t>
      </w:r>
      <w:r>
        <w:t>4</w:t>
      </w:r>
      <w:r>
        <w:rPr>
          <w:rFonts w:hint="eastAsia"/>
        </w:rPr>
        <w:t>）本项目位于泗阳县穿城镇向阳</w:t>
      </w:r>
      <w:r>
        <w:rPr>
          <w:rFonts w:hint="eastAsia"/>
          <w:color w:val="000000" w:themeColor="text1"/>
          <w14:textFill>
            <w14:solidFill>
              <w14:schemeClr w14:val="tx1"/>
            </w14:solidFill>
          </w14:textFill>
        </w:rPr>
        <w:t>村，项目用地属于一般农用地，项目所在地土壤标准执行《土壤环境质量农用地土壤污染风险管控标准》（GB15618-2018）中农用地土壤污染风险筛选值要求。</w:t>
      </w:r>
    </w:p>
    <w:p w14:paraId="7FC26866">
      <w:pPr>
        <w:pStyle w:val="7"/>
        <w:pageBreakBefore w:val="0"/>
        <w:widowControl w:val="0"/>
        <w:kinsoku/>
        <w:wordWrap/>
        <w:overflowPunct/>
        <w:topLinePunct w:val="0"/>
        <w:autoSpaceDE/>
        <w:autoSpaceDN/>
        <w:bidi w:val="0"/>
        <w:adjustRightInd/>
        <w:snapToGrid/>
        <w:spacing w:line="460" w:lineRule="exact"/>
        <w:textAlignment w:val="auto"/>
      </w:pPr>
      <w:r>
        <w:rPr>
          <w:rFonts w:hint="eastAsia"/>
        </w:rPr>
        <w:t>1</w:t>
      </w:r>
      <w:r>
        <w:t xml:space="preserve">.5.2 </w:t>
      </w:r>
      <w:r>
        <w:rPr>
          <w:rFonts w:hint="eastAsia"/>
        </w:rPr>
        <w:t>相关规划相符性分析</w:t>
      </w:r>
    </w:p>
    <w:p w14:paraId="3335F071">
      <w:pPr>
        <w:pStyle w:val="8"/>
        <w:pageBreakBefore w:val="0"/>
        <w:widowControl w:val="0"/>
        <w:kinsoku/>
        <w:wordWrap/>
        <w:overflowPunct/>
        <w:topLinePunct w:val="0"/>
        <w:autoSpaceDE/>
        <w:autoSpaceDN/>
        <w:bidi w:val="0"/>
        <w:adjustRightInd/>
        <w:snapToGrid/>
        <w:spacing w:line="460" w:lineRule="exact"/>
        <w:textAlignment w:val="auto"/>
      </w:pPr>
      <w:r>
        <w:rPr>
          <w:rFonts w:hint="eastAsia"/>
        </w:rPr>
        <w:t>1</w:t>
      </w:r>
      <w:r>
        <w:t xml:space="preserve">.5.2.1 </w:t>
      </w:r>
      <w:r>
        <w:rPr>
          <w:rFonts w:hint="eastAsia"/>
        </w:rPr>
        <w:t>与《江苏省“十四五”现代畜牧业发展规划》相符性分析</w:t>
      </w:r>
    </w:p>
    <w:p w14:paraId="60332068">
      <w:pPr>
        <w:pageBreakBefore w:val="0"/>
        <w:widowControl w:val="0"/>
        <w:kinsoku/>
        <w:wordWrap/>
        <w:overflowPunct/>
        <w:topLinePunct w:val="0"/>
        <w:autoSpaceDE/>
        <w:autoSpaceDN/>
        <w:bidi w:val="0"/>
        <w:adjustRightInd/>
        <w:snapToGrid/>
        <w:spacing w:line="460" w:lineRule="exact"/>
        <w:ind w:firstLine="480" w:firstLineChars="200"/>
        <w:textAlignment w:val="auto"/>
      </w:pPr>
      <w:r>
        <w:rPr>
          <w:rFonts w:hint="eastAsia"/>
        </w:rPr>
        <w:t>《江苏省“十四五”现代畜牧业发展规划》中明确指出：提升畜禽养殖现代化水平。推动规模养殖场设施设备改造升级，普及推广自动饲喂、自动清粪、自动环控、产品自动采集、疫病防控、视频监控等设施，鼓励和引导大型养殖场采用母猪智能化饲喂、蛋鸡层叠式笼养等设施，提高畜禽养殖机械化、自动化水平。加强大数据、人工智能、云计算、物联网、区块链、移动互联网等技术在畜禽养殖的应用，建设一批数字化、信息化智慧养殖场。按照“分区域、分产业、分品种、分环节”的要求，支</w:t>
      </w:r>
      <w:bookmarkStart w:id="9" w:name="OLE_LINK7"/>
      <w:bookmarkStart w:id="10" w:name="OLE_LINK8"/>
      <w:r>
        <w:rPr>
          <w:rFonts w:hint="eastAsia"/>
        </w:rPr>
        <w:t>持畜牧业装备与技术融合创新，</w:t>
      </w:r>
      <w:bookmarkEnd w:id="9"/>
      <w:bookmarkEnd w:id="10"/>
      <w:r>
        <w:rPr>
          <w:rFonts w:hint="eastAsia"/>
        </w:rPr>
        <w:t>加大畜禽粪污处理等绿色环保畜牧业装备与技术试验示范和推广应用力度，加快补齐畜牧业薄弱地区、薄弱品种、薄弱环节机械装备短板。持续推进畜禽粪污资源化利用。组织开展畜禽粪污资源化利用提升行动，在推进规模养殖场资源化利用设施装备提档升级的基础上，继续将非规模养殖场户资源化利用纳入全省农村人居环境整治提升行动同步推进，实现源头减量。鼓励小散养殖场户畜禽粪污实行就地就近还田利用，引导在养殖较为集中的区域建设集中处理中心，探索建立受益者付费、第三方处理企业和社会化服务组织合理收益的运行机制。鼓励规模养殖场以肥料化为主要利用方向，因地因场施策实施多元化利用。</w:t>
      </w:r>
    </w:p>
    <w:p w14:paraId="687F6290">
      <w:pPr>
        <w:spacing w:line="480" w:lineRule="exact"/>
        <w:ind w:firstLine="482" w:firstLineChars="200"/>
        <w:rPr>
          <w:b/>
          <w:bCs/>
        </w:rPr>
      </w:pPr>
      <w:r>
        <w:rPr>
          <w:rFonts w:hint="eastAsia"/>
          <w:b/>
          <w:bCs/>
        </w:rPr>
        <w:t>本项目为规模化肉鸡养殖项目，养殖过程中采用节能化、智能化、自动化设施设备，实现自动饲喂、自动清粪，同时本项目废水经厂内污水站处理后进入尾水收集池用于农田灌溉，鸡粪外售综合利用，养殖过程中注重完善动物防疫和废弃物处理等配套设施，符合《江苏省“十四五”现代畜牧业发展规划》要求。</w:t>
      </w:r>
    </w:p>
    <w:p w14:paraId="6A7E5DBA">
      <w:pPr>
        <w:pStyle w:val="8"/>
        <w:spacing w:line="480" w:lineRule="exact"/>
      </w:pPr>
      <w:r>
        <w:rPr>
          <w:rFonts w:hint="eastAsia"/>
        </w:rPr>
        <w:t>1</w:t>
      </w:r>
      <w:r>
        <w:t xml:space="preserve">.5.2.2 </w:t>
      </w:r>
      <w:r>
        <w:rPr>
          <w:rFonts w:hint="eastAsia"/>
        </w:rPr>
        <w:t>与《宿迁市“十四五”畜禽养殖污染防治规划》相符性分析</w:t>
      </w:r>
    </w:p>
    <w:p w14:paraId="4D53093D">
      <w:pPr>
        <w:spacing w:line="480" w:lineRule="exact"/>
        <w:ind w:firstLine="480" w:firstLineChars="200"/>
      </w:pPr>
      <w:r>
        <w:rPr>
          <w:rFonts w:hint="eastAsia"/>
        </w:rPr>
        <w:t>（1）规划要点</w:t>
      </w:r>
    </w:p>
    <w:p w14:paraId="5E7B891A">
      <w:pPr>
        <w:spacing w:line="480" w:lineRule="exact"/>
        <w:ind w:firstLine="480" w:firstLineChars="200"/>
      </w:pPr>
      <w:r>
        <w:rPr>
          <w:rFonts w:hint="eastAsia"/>
        </w:rPr>
        <w:t>改进栏舍清洗方式。新、改、扩建的畜禽养殖场应采用干清粪、垫料等节水型清粪方式，配备自动饮水、自动清粪等设施装备，做到干化清粪、集中堆积。采取有效措施将固体粪污及时、单独清出，不与液体粪污混合排出，并将产生的干粪及时运至贮存或处理场所。</w:t>
      </w:r>
    </w:p>
    <w:p w14:paraId="30F6D7A5">
      <w:pPr>
        <w:spacing w:line="480" w:lineRule="exact"/>
        <w:ind w:firstLine="480" w:firstLineChars="200"/>
      </w:pPr>
      <w:r>
        <w:rPr>
          <w:rFonts w:hint="eastAsia"/>
        </w:rPr>
        <w:t>严格落实雨污分流改造。对照畜禽养殖标准化“两分离”技术要求，对雨污分流系统不到位的畜禽养殖场（户）进行升级改造，各县区按整改名单重点推进规模养殖场雨污分流、暗沟布设的污水收集输送系统建设。通过合理布局生产、生活、粪污处理等功能区，实行净污道分设、雨污道分流，实现养殖环境整洁，与周边自然环境和美丽乡村建设相协调，以改变原有养殖废水收集方式，有效降低养殖废水产生量。</w:t>
      </w:r>
    </w:p>
    <w:p w14:paraId="4217DAA9">
      <w:pPr>
        <w:spacing w:line="480" w:lineRule="exact"/>
        <w:ind w:firstLine="480" w:firstLineChars="200"/>
      </w:pPr>
      <w:r>
        <w:rPr>
          <w:rFonts w:hint="eastAsia"/>
        </w:rPr>
        <w:t>减少臭气源头产生。引导养殖业主在畜禽饮水、饲料中添加有益菌，促进畜禽消化、吸收能力，减少畜禽粪污产生量。正确选用优质饲料，探索推广低蛋白高能量饲料，降低排泄物中蛋白质的残留量，减少畜禽舍中恶臭气味的产生。鼓励养殖场内实施分区饲养，保持舍内干燥，减少圈内粉尘及微生物。推广含环保型微生态饲料添加剂饲粮，减少恶臭污染物的产生，如在饲料中添加合成氨基酸；或在饲料中增加非淀粉多糖的量；或在饲料中应用益生素、酶制剂、酸化剂、沸石等有效饲料添加剂；或在饲料中添加乳酸菌类、酵母菌类、光合细菌类、发酵用的丝状菌类、革兰氏阳性放线菌类等微生物添加剂。</w:t>
      </w:r>
    </w:p>
    <w:p w14:paraId="78B2B211">
      <w:pPr>
        <w:spacing w:line="480" w:lineRule="exact"/>
        <w:ind w:firstLine="480" w:firstLineChars="200"/>
      </w:pPr>
      <w:r>
        <w:rPr>
          <w:rFonts w:hint="eastAsia"/>
        </w:rPr>
        <w:t>加强臭气防控与治理。强化畜禽养殖场日常管理，增加畜禽舍清理次数，及时清理畜禽排泄物和料槽周围洒出的饲料，减少固体粪便堆放时间，减少动物粪便臭气排放。鼓励对养殖场粪污收集池、堆粪场等臭气源进行密封性管理。鼓励养殖业主在粪便厌氧处理和动物粪便中添加脲素酶等抑制剂，利用秸秆覆盖粪池或储粪罐，减少粪便暴露面积。鼓励养殖业主在圈舍、粪沟、粪污集中处理区以及养殖场周围喷洒、喷雾化学除臭剂、治污除臭剂或微生物除臭剂，减少臭气扰民。加强畜禽养殖场与还田利用的农田之间污水输送网络管理，严格控制污水输送沿途的弃、撒和跑、冒、滴、漏。采用规律性地翻堆肥，并适当的通风，或在堆肥中掺入微生物制剂等措施，减轻或消除恶臭气体的刺激。</w:t>
      </w:r>
    </w:p>
    <w:p w14:paraId="00643BCC">
      <w:pPr>
        <w:spacing w:line="480" w:lineRule="exact"/>
        <w:ind w:firstLine="480" w:firstLineChars="200"/>
      </w:pPr>
      <w:r>
        <w:rPr>
          <w:rFonts w:hint="eastAsia"/>
        </w:rPr>
        <w:t>（2）相符性分析</w:t>
      </w:r>
    </w:p>
    <w:p w14:paraId="74ECC683">
      <w:pPr>
        <w:spacing w:line="480" w:lineRule="exact"/>
        <w:ind w:firstLine="482" w:firstLineChars="200"/>
      </w:pPr>
      <w:r>
        <w:rPr>
          <w:rFonts w:hint="eastAsia"/>
          <w:b/>
          <w:bCs/>
        </w:rPr>
        <w:t>本项目为规模化肉鸡养殖项目，养殖过程中采用节能化、智能化、自动化设施设备，实现自动饲喂、自动清粪；采用干清粪工艺，产生的鸡粪日产日清，正常情况直接清运出厂，如遇特殊情况无法出厂，暂存于鸡粪暂存库，鸡粪暂存库密闭并配备臭气收集处理系统。本项目实行雨污分流，雨水采用明渠收集排入周边沟渠，废水经厂内污水站处理后进入尾水收集池用于农田灌溉。本项目使用成品饲料中已添加新型复合微生物菌剂，可在源头减少臭气产生。本项目建成运营后将加强对鸡舍的清洁卫生管理，鸡粪日产日清，同时加强场区及场界的绿化；在鸡舍、污水处理区及鸡粪暂存库定期喷</w:t>
      </w:r>
      <w:r>
        <w:rPr>
          <w:rFonts w:hint="eastAsia"/>
          <w:b/>
          <w:bCs/>
          <w:color w:val="000000" w:themeColor="text1"/>
          <w14:textFill>
            <w14:solidFill>
              <w14:schemeClr w14:val="tx1"/>
            </w14:solidFill>
          </w14:textFill>
        </w:rPr>
        <w:t>洒除臭剂除臭，有效减少恶臭气体排放。污水处理站处理后的尾水采用</w:t>
      </w:r>
      <w:r>
        <w:rPr>
          <w:rFonts w:hint="eastAsia"/>
          <w:b/>
          <w:bCs/>
          <w:color w:val="000000" w:themeColor="text1"/>
          <w:lang w:val="en-US" w:eastAsia="zh-CN"/>
          <w14:textFill>
            <w14:solidFill>
              <w14:schemeClr w14:val="tx1"/>
            </w14:solidFill>
          </w14:textFill>
        </w:rPr>
        <w:t>管道输送</w:t>
      </w:r>
      <w:r>
        <w:rPr>
          <w:rFonts w:hint="eastAsia"/>
          <w:b/>
          <w:bCs/>
          <w:color w:val="000000" w:themeColor="text1"/>
          <w14:textFill>
            <w14:solidFill>
              <w14:schemeClr w14:val="tx1"/>
            </w14:solidFill>
          </w14:textFill>
        </w:rPr>
        <w:t>至周边农田灌溉，</w:t>
      </w:r>
      <w:r>
        <w:rPr>
          <w:rFonts w:hint="eastAsia"/>
          <w:b/>
          <w:bCs/>
          <w:color w:val="000000" w:themeColor="text1"/>
          <w:lang w:val="en-US" w:eastAsia="zh-CN"/>
          <w14:textFill>
            <w14:solidFill>
              <w14:schemeClr w14:val="tx1"/>
            </w14:solidFill>
          </w14:textFill>
        </w:rPr>
        <w:t>定期对输送管线进行检查</w:t>
      </w:r>
      <w:r>
        <w:rPr>
          <w:rFonts w:hint="eastAsia"/>
          <w:b/>
          <w:bCs/>
          <w:color w:val="000000" w:themeColor="text1"/>
          <w14:textFill>
            <w14:solidFill>
              <w14:schemeClr w14:val="tx1"/>
            </w14:solidFill>
          </w14:textFill>
        </w:rPr>
        <w:t>，避免</w:t>
      </w:r>
      <w:r>
        <w:rPr>
          <w:rFonts w:hint="eastAsia"/>
          <w:b/>
          <w:bCs/>
          <w:color w:val="000000" w:themeColor="text1"/>
          <w:lang w:val="en-US" w:eastAsia="zh-CN"/>
          <w14:textFill>
            <w14:solidFill>
              <w14:schemeClr w14:val="tx1"/>
            </w14:solidFill>
          </w14:textFill>
        </w:rPr>
        <w:t>输送过程</w:t>
      </w:r>
      <w:r>
        <w:rPr>
          <w:rFonts w:hint="eastAsia"/>
          <w:b/>
          <w:bCs/>
          <w:color w:val="000000" w:themeColor="text1"/>
          <w14:textFill>
            <w14:solidFill>
              <w14:schemeClr w14:val="tx1"/>
            </w14:solidFill>
          </w14:textFill>
        </w:rPr>
        <w:t>废水泄漏。</w:t>
      </w:r>
      <w:r>
        <w:rPr>
          <w:rFonts w:hint="eastAsia"/>
          <w:b/>
          <w:bCs/>
        </w:rPr>
        <w:t>综上，本项目符合《宿迁市“十四五”畜禽养殖污染防治规划》要求。</w:t>
      </w:r>
    </w:p>
    <w:p w14:paraId="79DD69EC">
      <w:pPr>
        <w:pStyle w:val="7"/>
        <w:spacing w:line="480" w:lineRule="exact"/>
      </w:pPr>
      <w:r>
        <w:rPr>
          <w:rFonts w:hint="eastAsia"/>
        </w:rPr>
        <w:t>1</w:t>
      </w:r>
      <w:r>
        <w:t xml:space="preserve">.5.3 </w:t>
      </w:r>
      <w:r>
        <w:rPr>
          <w:rFonts w:hint="eastAsia"/>
        </w:rPr>
        <w:t>养殖场选址合理性分析</w:t>
      </w:r>
    </w:p>
    <w:p w14:paraId="467DD8CF">
      <w:pPr>
        <w:pStyle w:val="8"/>
        <w:spacing w:line="480" w:lineRule="exact"/>
      </w:pPr>
      <w:r>
        <w:t xml:space="preserve">1.5.3.1 </w:t>
      </w:r>
      <w:r>
        <w:rPr>
          <w:rFonts w:hint="eastAsia"/>
        </w:rPr>
        <w:t>与《畜禽养殖业污染防治技术规范》相符性分析</w:t>
      </w:r>
    </w:p>
    <w:p w14:paraId="5584ED71">
      <w:pPr>
        <w:spacing w:line="480" w:lineRule="exact"/>
        <w:ind w:firstLine="480" w:firstLineChars="200"/>
      </w:pPr>
      <w:r>
        <w:rPr>
          <w:rFonts w:hint="eastAsia"/>
        </w:rPr>
        <w:t>根据《畜禽养殖业污染防治技术规范》（HJ/T81-2001）中要求。项目拟选场址符合规范的原则和要求。本项目拟建场址建设条件与规范要求对比分析结果见表1.</w:t>
      </w:r>
      <w:r>
        <w:t>5</w:t>
      </w:r>
      <w:r>
        <w:rPr>
          <w:rFonts w:hint="eastAsia"/>
        </w:rPr>
        <w:t>-1。</w:t>
      </w:r>
    </w:p>
    <w:p w14:paraId="24588394">
      <w:pPr>
        <w:pStyle w:val="31"/>
        <w:spacing w:before="0" w:line="480" w:lineRule="exact"/>
      </w:pPr>
      <w:r>
        <w:rPr>
          <w:rFonts w:hint="eastAsia"/>
        </w:rPr>
        <w:t>表1.</w:t>
      </w:r>
      <w:r>
        <w:t>5</w:t>
      </w:r>
      <w:r>
        <w:rPr>
          <w:rFonts w:hint="eastAsia"/>
        </w:rPr>
        <w:t>-1</w:t>
      </w:r>
      <w:r>
        <w:t xml:space="preserve">  </w:t>
      </w:r>
      <w:r>
        <w:rPr>
          <w:rFonts w:hint="eastAsia"/>
        </w:rPr>
        <w:t>与《畜禽养殖业污染防治技术规范》相符性分析一览表</w:t>
      </w:r>
    </w:p>
    <w:tbl>
      <w:tblPr>
        <w:tblStyle w:val="4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4295"/>
        <w:gridCol w:w="3422"/>
        <w:gridCol w:w="851"/>
      </w:tblGrid>
      <w:tr w14:paraId="7A5C5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vAlign w:val="center"/>
          </w:tcPr>
          <w:p w14:paraId="583D89D9">
            <w:pPr>
              <w:pStyle w:val="61"/>
              <w:spacing w:line="300" w:lineRule="exact"/>
            </w:pPr>
            <w:r>
              <w:rPr>
                <w:rFonts w:hint="eastAsia"/>
              </w:rPr>
              <w:t>序号</w:t>
            </w:r>
          </w:p>
        </w:tc>
        <w:tc>
          <w:tcPr>
            <w:tcW w:w="2313" w:type="pct"/>
            <w:vAlign w:val="center"/>
          </w:tcPr>
          <w:p w14:paraId="5C9D4752">
            <w:pPr>
              <w:pStyle w:val="61"/>
              <w:spacing w:line="300" w:lineRule="exact"/>
            </w:pPr>
            <w:r>
              <w:rPr>
                <w:rFonts w:hint="eastAsia"/>
              </w:rPr>
              <w:t>规范要求</w:t>
            </w:r>
          </w:p>
        </w:tc>
        <w:tc>
          <w:tcPr>
            <w:tcW w:w="1843" w:type="pct"/>
            <w:vAlign w:val="center"/>
          </w:tcPr>
          <w:p w14:paraId="2D217FDA">
            <w:pPr>
              <w:pStyle w:val="61"/>
              <w:spacing w:line="300" w:lineRule="exact"/>
            </w:pPr>
            <w:r>
              <w:rPr>
                <w:rFonts w:hint="eastAsia"/>
              </w:rPr>
              <w:t>选址条件</w:t>
            </w:r>
          </w:p>
        </w:tc>
        <w:tc>
          <w:tcPr>
            <w:tcW w:w="458" w:type="pct"/>
            <w:vAlign w:val="center"/>
          </w:tcPr>
          <w:p w14:paraId="5AB2368C">
            <w:pPr>
              <w:pStyle w:val="61"/>
              <w:spacing w:line="300" w:lineRule="exact"/>
            </w:pPr>
            <w:r>
              <w:rPr>
                <w:rFonts w:hint="eastAsia"/>
              </w:rPr>
              <w:t>符合性</w:t>
            </w:r>
          </w:p>
        </w:tc>
      </w:tr>
      <w:tr w14:paraId="6E9DC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vAlign w:val="center"/>
          </w:tcPr>
          <w:p w14:paraId="57DC1A26">
            <w:pPr>
              <w:pStyle w:val="61"/>
              <w:spacing w:line="300" w:lineRule="exact"/>
            </w:pPr>
            <w:r>
              <w:rPr>
                <w:rFonts w:hint="eastAsia"/>
              </w:rPr>
              <w:t>1</w:t>
            </w:r>
          </w:p>
        </w:tc>
        <w:tc>
          <w:tcPr>
            <w:tcW w:w="2313" w:type="pct"/>
            <w:vAlign w:val="center"/>
          </w:tcPr>
          <w:p w14:paraId="774DCAA4">
            <w:pPr>
              <w:pStyle w:val="61"/>
              <w:spacing w:line="300" w:lineRule="exact"/>
              <w:jc w:val="left"/>
              <w:rPr>
                <w:rFonts w:ascii="宋体" w:cs="宋体"/>
                <w:szCs w:val="21"/>
              </w:rPr>
            </w:pPr>
            <w:r>
              <w:rPr>
                <w:rFonts w:hint="eastAsia" w:ascii="宋体" w:cs="宋体"/>
                <w:szCs w:val="21"/>
              </w:rPr>
              <w:t>①禁止建设在生活饮用水水源保护区、风景名胜区、自然保护区的核心区及缓冲区；</w:t>
            </w:r>
          </w:p>
          <w:p w14:paraId="79C8C3B8">
            <w:pPr>
              <w:pStyle w:val="61"/>
              <w:spacing w:line="300" w:lineRule="exact"/>
              <w:jc w:val="left"/>
              <w:rPr>
                <w:rFonts w:ascii="宋体" w:cs="宋体"/>
                <w:szCs w:val="21"/>
              </w:rPr>
            </w:pPr>
            <w:r>
              <w:rPr>
                <w:rFonts w:hint="eastAsia" w:ascii="宋体" w:cs="宋体"/>
                <w:szCs w:val="21"/>
              </w:rPr>
              <w:t>②禁止建设在城市和城镇居民区，包括文教科研区、医疗区、商业区、工业区、游览区等人口集中地区；</w:t>
            </w:r>
          </w:p>
          <w:p w14:paraId="57213DDC">
            <w:pPr>
              <w:pStyle w:val="61"/>
              <w:spacing w:line="300" w:lineRule="exact"/>
              <w:jc w:val="left"/>
              <w:rPr>
                <w:rFonts w:ascii="宋体" w:cs="宋体"/>
                <w:szCs w:val="21"/>
              </w:rPr>
            </w:pPr>
            <w:r>
              <w:rPr>
                <w:rFonts w:hint="eastAsia" w:ascii="宋体" w:cs="宋体"/>
                <w:szCs w:val="21"/>
              </w:rPr>
              <w:t>③禁止建设在县级人民政府依法划定的禁养区域；</w:t>
            </w:r>
          </w:p>
          <w:p w14:paraId="698CFC25">
            <w:pPr>
              <w:pStyle w:val="61"/>
              <w:spacing w:line="300" w:lineRule="exact"/>
              <w:jc w:val="left"/>
              <w:rPr>
                <w:rFonts w:ascii="宋体" w:cs="宋体"/>
                <w:szCs w:val="21"/>
              </w:rPr>
            </w:pPr>
            <w:r>
              <w:rPr>
                <w:rFonts w:hint="eastAsia" w:ascii="宋体" w:cs="宋体"/>
                <w:szCs w:val="21"/>
              </w:rPr>
              <w:t>④禁止建设在国家或地方法律、法规规定需特殊保护的其它区域；</w:t>
            </w:r>
          </w:p>
          <w:p w14:paraId="32685F3A">
            <w:pPr>
              <w:pStyle w:val="61"/>
              <w:spacing w:line="300" w:lineRule="exact"/>
              <w:jc w:val="left"/>
            </w:pPr>
            <w:r>
              <w:rPr>
                <w:rFonts w:hint="eastAsia" w:ascii="宋体" w:cs="宋体"/>
                <w:szCs w:val="21"/>
              </w:rPr>
              <w:t>⑤在禁建区域附近建设的，应设在禁建区域常年主导风向的下风向或侧风向处，场界与禁建区域边界的最小距离不得小于</w:t>
            </w:r>
            <w:r>
              <w:rPr>
                <w:szCs w:val="21"/>
              </w:rPr>
              <w:t>500m</w:t>
            </w:r>
            <w:r>
              <w:rPr>
                <w:rFonts w:hint="eastAsia"/>
                <w:szCs w:val="21"/>
              </w:rPr>
              <w:t>。</w:t>
            </w:r>
          </w:p>
        </w:tc>
        <w:tc>
          <w:tcPr>
            <w:tcW w:w="1843" w:type="pct"/>
            <w:vAlign w:val="center"/>
          </w:tcPr>
          <w:p w14:paraId="2102D3FD">
            <w:pPr>
              <w:pStyle w:val="61"/>
              <w:spacing w:line="300" w:lineRule="exact"/>
              <w:jc w:val="left"/>
              <w:rPr>
                <w:rFonts w:ascii="宋体" w:cs="宋体"/>
                <w:szCs w:val="21"/>
              </w:rPr>
            </w:pPr>
            <w:r>
              <w:rPr>
                <w:rFonts w:hint="eastAsia" w:ascii="宋体" w:cs="宋体"/>
                <w:szCs w:val="21"/>
              </w:rPr>
              <w:t>①建设场地附近无生活饮用水水源保护区、风景名胜区等敏感地区；</w:t>
            </w:r>
          </w:p>
          <w:p w14:paraId="214BB025">
            <w:pPr>
              <w:pStyle w:val="61"/>
              <w:spacing w:line="300" w:lineRule="exact"/>
              <w:jc w:val="left"/>
              <w:rPr>
                <w:rFonts w:ascii="宋体" w:cs="宋体"/>
                <w:szCs w:val="21"/>
              </w:rPr>
            </w:pPr>
            <w:r>
              <w:rPr>
                <w:rFonts w:hint="eastAsia"/>
              </w:rPr>
              <w:t>②</w:t>
            </w:r>
            <w:r>
              <w:rPr>
                <w:rFonts w:hint="eastAsia" w:ascii="宋体" w:cs="宋体"/>
                <w:szCs w:val="21"/>
              </w:rPr>
              <w:t>项目位于农村地区，周围为农田；</w:t>
            </w:r>
          </w:p>
          <w:p w14:paraId="23383844">
            <w:pPr>
              <w:pStyle w:val="61"/>
              <w:spacing w:line="300" w:lineRule="exact"/>
              <w:jc w:val="left"/>
              <w:rPr>
                <w:rFonts w:ascii="宋体" w:cs="宋体"/>
                <w:szCs w:val="21"/>
              </w:rPr>
            </w:pPr>
            <w:r>
              <w:rPr>
                <w:rFonts w:hint="eastAsia"/>
              </w:rPr>
              <w:t>③项目</w:t>
            </w:r>
            <w:r>
              <w:t>所在区域</w:t>
            </w:r>
            <w:r>
              <w:rPr>
                <w:rFonts w:hint="eastAsia" w:ascii="宋体" w:cs="宋体"/>
                <w:szCs w:val="21"/>
              </w:rPr>
              <w:t>不属于禁养区域；</w:t>
            </w:r>
          </w:p>
          <w:p w14:paraId="4E61E742">
            <w:pPr>
              <w:pStyle w:val="61"/>
              <w:spacing w:line="300" w:lineRule="exact"/>
              <w:jc w:val="left"/>
              <w:rPr>
                <w:rFonts w:ascii="宋体" w:cs="宋体"/>
                <w:szCs w:val="21"/>
              </w:rPr>
            </w:pPr>
            <w:r>
              <w:rPr>
                <w:rFonts w:hint="eastAsia"/>
              </w:rPr>
              <w:t>④项目</w:t>
            </w:r>
            <w:r>
              <w:rPr>
                <w:rFonts w:hint="eastAsia" w:ascii="宋体" w:cs="宋体"/>
                <w:szCs w:val="21"/>
              </w:rPr>
              <w:t>周边无需特殊保护的区域；</w:t>
            </w:r>
          </w:p>
          <w:p w14:paraId="447C0A41">
            <w:pPr>
              <w:pStyle w:val="61"/>
              <w:spacing w:line="300" w:lineRule="exact"/>
              <w:jc w:val="left"/>
            </w:pPr>
            <w:r>
              <w:rPr>
                <w:rFonts w:hint="eastAsia"/>
              </w:rPr>
              <w:t>⑤</w:t>
            </w:r>
            <w:r>
              <w:rPr>
                <w:rFonts w:hint="eastAsia" w:ascii="宋体" w:cs="宋体"/>
                <w:szCs w:val="21"/>
              </w:rPr>
              <w:t>本项目</w:t>
            </w:r>
            <w:r>
              <w:rPr>
                <w:szCs w:val="21"/>
              </w:rPr>
              <w:t>500m</w:t>
            </w:r>
            <w:r>
              <w:rPr>
                <w:rFonts w:hint="eastAsia" w:ascii="宋体" w:cs="宋体"/>
                <w:szCs w:val="21"/>
              </w:rPr>
              <w:t>范围内不存在上述禁建区。</w:t>
            </w:r>
          </w:p>
        </w:tc>
        <w:tc>
          <w:tcPr>
            <w:tcW w:w="458" w:type="pct"/>
            <w:vAlign w:val="center"/>
          </w:tcPr>
          <w:p w14:paraId="2DEF2DBC">
            <w:pPr>
              <w:pStyle w:val="61"/>
              <w:spacing w:line="300" w:lineRule="exact"/>
            </w:pPr>
            <w:r>
              <w:rPr>
                <w:rFonts w:hint="eastAsia"/>
              </w:rPr>
              <w:t>符合</w:t>
            </w:r>
          </w:p>
        </w:tc>
      </w:tr>
      <w:tr w14:paraId="2BB8B6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vAlign w:val="center"/>
          </w:tcPr>
          <w:p w14:paraId="2604AAF4">
            <w:pPr>
              <w:pStyle w:val="61"/>
              <w:spacing w:line="300" w:lineRule="exact"/>
            </w:pPr>
            <w:r>
              <w:rPr>
                <w:rFonts w:hint="eastAsia"/>
              </w:rPr>
              <w:t>2</w:t>
            </w:r>
          </w:p>
        </w:tc>
        <w:tc>
          <w:tcPr>
            <w:tcW w:w="2313" w:type="pct"/>
            <w:vAlign w:val="center"/>
          </w:tcPr>
          <w:p w14:paraId="0BC7ED70">
            <w:pPr>
              <w:pStyle w:val="61"/>
              <w:spacing w:line="300" w:lineRule="exact"/>
              <w:jc w:val="left"/>
              <w:rPr>
                <w:rFonts w:ascii="宋体" w:cs="宋体"/>
                <w:szCs w:val="21"/>
              </w:rPr>
            </w:pPr>
            <w:r>
              <w:rPr>
                <w:rFonts w:hint="eastAsia" w:ascii="宋体" w:cs="宋体"/>
                <w:szCs w:val="21"/>
              </w:rPr>
              <w:t>①新建</w:t>
            </w:r>
            <w:r>
              <w:rPr>
                <w:rFonts w:ascii="宋体" w:cs="宋体"/>
                <w:szCs w:val="21"/>
              </w:rPr>
              <w:t>、改建、扩建的</w:t>
            </w:r>
            <w:r>
              <w:rPr>
                <w:rFonts w:hint="eastAsia" w:ascii="宋体" w:cs="宋体"/>
                <w:szCs w:val="21"/>
              </w:rPr>
              <w:t>畜禽</w:t>
            </w:r>
            <w:r>
              <w:rPr>
                <w:rFonts w:ascii="宋体" w:cs="宋体"/>
                <w:szCs w:val="21"/>
              </w:rPr>
              <w:t>养殖场</w:t>
            </w:r>
            <w:r>
              <w:rPr>
                <w:rFonts w:hint="eastAsia" w:ascii="宋体" w:cs="宋体"/>
                <w:szCs w:val="21"/>
              </w:rPr>
              <w:t>应</w:t>
            </w:r>
            <w:r>
              <w:rPr>
                <w:rFonts w:ascii="宋体" w:cs="宋体"/>
                <w:szCs w:val="21"/>
              </w:rPr>
              <w:t>实现生产区、</w:t>
            </w:r>
            <w:r>
              <w:rPr>
                <w:rFonts w:hint="eastAsia" w:ascii="宋体" w:cs="宋体"/>
                <w:szCs w:val="21"/>
              </w:rPr>
              <w:t>生活</w:t>
            </w:r>
            <w:r>
              <w:rPr>
                <w:rFonts w:ascii="宋体" w:cs="宋体"/>
                <w:szCs w:val="21"/>
              </w:rPr>
              <w:t>管理区的隔离</w:t>
            </w:r>
            <w:r>
              <w:rPr>
                <w:rFonts w:hint="eastAsia" w:ascii="宋体" w:cs="宋体"/>
                <w:szCs w:val="21"/>
              </w:rPr>
              <w:t>，</w:t>
            </w:r>
            <w:r>
              <w:rPr>
                <w:rFonts w:ascii="宋体" w:cs="宋体"/>
                <w:szCs w:val="21"/>
              </w:rPr>
              <w:t>粪便污水处理设施</w:t>
            </w:r>
            <w:r>
              <w:rPr>
                <w:rFonts w:hint="eastAsia" w:ascii="宋体" w:cs="宋体"/>
                <w:szCs w:val="21"/>
              </w:rPr>
              <w:t>和</w:t>
            </w:r>
            <w:r>
              <w:rPr>
                <w:rFonts w:ascii="宋体" w:cs="宋体"/>
                <w:szCs w:val="21"/>
              </w:rPr>
              <w:t>畜禽尸体焚烧炉应设置的养殖场的生产区、生活管理区的常年</w:t>
            </w:r>
            <w:r>
              <w:rPr>
                <w:rFonts w:hint="eastAsia" w:ascii="宋体" w:cs="宋体"/>
                <w:szCs w:val="21"/>
              </w:rPr>
              <w:t>主导</w:t>
            </w:r>
            <w:r>
              <w:rPr>
                <w:rFonts w:ascii="宋体" w:cs="宋体"/>
                <w:szCs w:val="21"/>
              </w:rPr>
              <w:t>风向的</w:t>
            </w:r>
            <w:r>
              <w:rPr>
                <w:rFonts w:hint="eastAsia" w:ascii="宋体" w:cs="宋体"/>
                <w:szCs w:val="21"/>
              </w:rPr>
              <w:t>下风向</w:t>
            </w:r>
            <w:r>
              <w:rPr>
                <w:rFonts w:ascii="宋体" w:cs="宋体"/>
                <w:szCs w:val="21"/>
              </w:rPr>
              <w:t>或侧风向</w:t>
            </w:r>
            <w:r>
              <w:rPr>
                <w:rFonts w:hint="eastAsia" w:ascii="宋体" w:cs="宋体"/>
                <w:szCs w:val="21"/>
              </w:rPr>
              <w:t>；</w:t>
            </w:r>
          </w:p>
          <w:p w14:paraId="794BE755">
            <w:pPr>
              <w:pStyle w:val="61"/>
              <w:spacing w:line="300" w:lineRule="exact"/>
              <w:jc w:val="left"/>
            </w:pPr>
            <w:r>
              <w:rPr>
                <w:rFonts w:hint="eastAsia"/>
              </w:rPr>
              <w:t>②</w:t>
            </w:r>
            <w:r>
              <w:rPr>
                <w:rFonts w:hint="eastAsia" w:ascii="宋体" w:cs="宋体"/>
                <w:szCs w:val="21"/>
              </w:rPr>
              <w:t>养殖场</w:t>
            </w:r>
            <w:r>
              <w:rPr>
                <w:rFonts w:ascii="宋体" w:cs="宋体"/>
                <w:szCs w:val="21"/>
              </w:rPr>
              <w:t>的排水</w:t>
            </w:r>
            <w:r>
              <w:rPr>
                <w:rFonts w:hint="eastAsia" w:ascii="宋体" w:cs="宋体"/>
                <w:szCs w:val="21"/>
              </w:rPr>
              <w:t>系统</w:t>
            </w:r>
            <w:r>
              <w:rPr>
                <w:rFonts w:ascii="宋体" w:cs="宋体"/>
                <w:szCs w:val="21"/>
              </w:rPr>
              <w:t>应</w:t>
            </w:r>
            <w:r>
              <w:rPr>
                <w:rFonts w:hint="eastAsia" w:ascii="宋体" w:cs="宋体"/>
                <w:szCs w:val="21"/>
              </w:rPr>
              <w:t>施行</w:t>
            </w:r>
            <w:r>
              <w:rPr>
                <w:rFonts w:ascii="宋体" w:cs="宋体"/>
                <w:szCs w:val="21"/>
              </w:rPr>
              <w:t>雨水和污水收集输送系统</w:t>
            </w:r>
            <w:r>
              <w:rPr>
                <w:rFonts w:hint="eastAsia" w:ascii="宋体" w:cs="宋体"/>
                <w:szCs w:val="21"/>
              </w:rPr>
              <w:t>分离</w:t>
            </w:r>
            <w:r>
              <w:rPr>
                <w:rFonts w:ascii="宋体" w:cs="宋体"/>
                <w:szCs w:val="21"/>
              </w:rPr>
              <w:t>，</w:t>
            </w:r>
            <w:r>
              <w:rPr>
                <w:rFonts w:hint="eastAsia" w:ascii="宋体" w:cs="宋体"/>
                <w:szCs w:val="21"/>
              </w:rPr>
              <w:t>在</w:t>
            </w:r>
            <w:r>
              <w:rPr>
                <w:rFonts w:ascii="宋体" w:cs="宋体"/>
                <w:szCs w:val="21"/>
              </w:rPr>
              <w:t>场内外设置</w:t>
            </w:r>
            <w:r>
              <w:rPr>
                <w:rFonts w:hint="eastAsia" w:ascii="宋体" w:cs="宋体"/>
                <w:szCs w:val="21"/>
              </w:rPr>
              <w:t>的</w:t>
            </w:r>
            <w:r>
              <w:rPr>
                <w:rFonts w:ascii="宋体" w:cs="宋体"/>
                <w:szCs w:val="21"/>
              </w:rPr>
              <w:t>污水收集输送系统</w:t>
            </w:r>
            <w:r>
              <w:rPr>
                <w:rFonts w:hint="eastAsia" w:ascii="宋体" w:cs="宋体"/>
                <w:szCs w:val="21"/>
              </w:rPr>
              <w:t>，</w:t>
            </w:r>
            <w:r>
              <w:rPr>
                <w:rFonts w:ascii="宋体" w:cs="宋体"/>
                <w:szCs w:val="21"/>
              </w:rPr>
              <w:t>不得采取明沟布设</w:t>
            </w:r>
            <w:r>
              <w:rPr>
                <w:rFonts w:hint="eastAsia" w:ascii="宋体" w:cs="宋体"/>
                <w:szCs w:val="21"/>
              </w:rPr>
              <w:t>；</w:t>
            </w:r>
          </w:p>
          <w:p w14:paraId="0C160F6A">
            <w:pPr>
              <w:pStyle w:val="61"/>
              <w:spacing w:line="300" w:lineRule="exact"/>
              <w:jc w:val="left"/>
            </w:pPr>
            <w:r>
              <w:rPr>
                <w:rFonts w:hint="eastAsia"/>
              </w:rPr>
              <w:t>③</w:t>
            </w:r>
            <w:r>
              <w:rPr>
                <w:rFonts w:hint="eastAsia" w:ascii="宋体" w:cs="宋体"/>
                <w:szCs w:val="21"/>
              </w:rPr>
              <w:t>新建、改建、扩建的畜禽养殖场应采取干法清粪工艺，采取有效措施将粪及时、单独清出，不可与尿、污水混合排出，并将产生的粪渣及时运至贮存或处理场所，实现日产日清。采用水冲粪、水泡粪湿法清粪工艺的养殖场，要逐步改为干法清粪工艺。</w:t>
            </w:r>
          </w:p>
        </w:tc>
        <w:tc>
          <w:tcPr>
            <w:tcW w:w="1843" w:type="pct"/>
            <w:vAlign w:val="center"/>
          </w:tcPr>
          <w:p w14:paraId="1DB8321B">
            <w:pPr>
              <w:pStyle w:val="61"/>
              <w:spacing w:line="300" w:lineRule="exact"/>
              <w:jc w:val="left"/>
              <w:rPr>
                <w:rFonts w:ascii="宋体" w:cs="宋体"/>
                <w:szCs w:val="21"/>
              </w:rPr>
            </w:pPr>
            <w:r>
              <w:rPr>
                <w:rFonts w:hint="eastAsia"/>
              </w:rPr>
              <w:t>①</w:t>
            </w:r>
            <w:r>
              <w:rPr>
                <w:rFonts w:hint="eastAsia" w:ascii="宋体" w:cs="宋体"/>
                <w:szCs w:val="21"/>
              </w:rPr>
              <w:t>本项目办公区</w:t>
            </w:r>
            <w:r>
              <w:rPr>
                <w:rFonts w:ascii="宋体" w:cs="宋体"/>
                <w:szCs w:val="21"/>
              </w:rPr>
              <w:t>与</w:t>
            </w:r>
            <w:r>
              <w:rPr>
                <w:rFonts w:hint="eastAsia" w:ascii="宋体" w:cs="宋体"/>
                <w:szCs w:val="21"/>
              </w:rPr>
              <w:t>鸡舍</w:t>
            </w:r>
            <w:r>
              <w:rPr>
                <w:rFonts w:ascii="宋体" w:cs="宋体"/>
                <w:szCs w:val="21"/>
              </w:rPr>
              <w:t>之间设有绿化隔离带，</w:t>
            </w:r>
            <w:r>
              <w:rPr>
                <w:rFonts w:hint="eastAsia" w:ascii="宋体" w:cs="宋体"/>
                <w:szCs w:val="21"/>
              </w:rPr>
              <w:t>项目厂内</w:t>
            </w:r>
            <w:r>
              <w:rPr>
                <w:rFonts w:ascii="宋体" w:cs="宋体"/>
                <w:szCs w:val="21"/>
              </w:rPr>
              <w:t>不</w:t>
            </w:r>
            <w:r>
              <w:rPr>
                <w:rFonts w:hint="eastAsia" w:ascii="宋体" w:cs="宋体"/>
                <w:szCs w:val="21"/>
              </w:rPr>
              <w:t>涉及</w:t>
            </w:r>
            <w:r>
              <w:rPr>
                <w:rFonts w:ascii="宋体" w:cs="宋体"/>
                <w:szCs w:val="21"/>
              </w:rPr>
              <w:t>畜禽尸体焚烧，</w:t>
            </w:r>
            <w:r>
              <w:rPr>
                <w:rFonts w:hint="eastAsia" w:ascii="宋体" w:cs="宋体"/>
                <w:szCs w:val="21"/>
              </w:rPr>
              <w:t>污水处理站</w:t>
            </w:r>
            <w:r>
              <w:rPr>
                <w:rFonts w:ascii="宋体" w:cs="宋体"/>
                <w:szCs w:val="21"/>
              </w:rPr>
              <w:t>位于生活管理区的</w:t>
            </w:r>
            <w:r>
              <w:rPr>
                <w:rFonts w:hint="eastAsia" w:ascii="宋体" w:cs="宋体"/>
                <w:szCs w:val="21"/>
              </w:rPr>
              <w:t>侧风向；</w:t>
            </w:r>
          </w:p>
          <w:p w14:paraId="299668B0">
            <w:pPr>
              <w:pStyle w:val="61"/>
              <w:spacing w:line="300" w:lineRule="exact"/>
              <w:jc w:val="left"/>
            </w:pPr>
            <w:r>
              <w:rPr>
                <w:rFonts w:hint="eastAsia"/>
              </w:rPr>
              <w:t>②</w:t>
            </w:r>
            <w:r>
              <w:rPr>
                <w:rFonts w:hint="eastAsia" w:ascii="宋体" w:cs="宋体"/>
                <w:szCs w:val="21"/>
              </w:rPr>
              <w:t>项目养鸡场</w:t>
            </w:r>
            <w:r>
              <w:rPr>
                <w:rFonts w:ascii="宋体" w:cs="宋体"/>
                <w:szCs w:val="21"/>
              </w:rPr>
              <w:t>内雨水与污水分流，设有单独的雨水管网和污水管网，项目场内污水</w:t>
            </w:r>
            <w:r>
              <w:rPr>
                <w:rFonts w:hint="eastAsia" w:ascii="宋体" w:cs="宋体"/>
                <w:szCs w:val="21"/>
              </w:rPr>
              <w:t>采用</w:t>
            </w:r>
            <w:r>
              <w:rPr>
                <w:rFonts w:ascii="宋体" w:cs="宋体"/>
                <w:szCs w:val="21"/>
              </w:rPr>
              <w:t>铺设管网</w:t>
            </w:r>
            <w:r>
              <w:rPr>
                <w:rFonts w:hint="eastAsia" w:ascii="宋体" w:cs="宋体"/>
                <w:szCs w:val="21"/>
              </w:rPr>
              <w:t>收集，不布设</w:t>
            </w:r>
            <w:r>
              <w:rPr>
                <w:rFonts w:ascii="宋体" w:cs="宋体"/>
                <w:szCs w:val="21"/>
              </w:rPr>
              <w:t>明沟</w:t>
            </w:r>
            <w:r>
              <w:rPr>
                <w:rFonts w:hint="eastAsia" w:ascii="宋体" w:cs="宋体"/>
                <w:szCs w:val="21"/>
              </w:rPr>
              <w:t>；</w:t>
            </w:r>
          </w:p>
          <w:p w14:paraId="39B44E42">
            <w:pPr>
              <w:pStyle w:val="61"/>
              <w:spacing w:line="300" w:lineRule="exact"/>
              <w:jc w:val="left"/>
            </w:pPr>
            <w:r>
              <w:rPr>
                <w:rFonts w:hint="eastAsia"/>
              </w:rPr>
              <w:t>③项目采用干法清粪工艺。</w:t>
            </w:r>
          </w:p>
        </w:tc>
        <w:tc>
          <w:tcPr>
            <w:tcW w:w="458" w:type="pct"/>
            <w:vAlign w:val="center"/>
          </w:tcPr>
          <w:p w14:paraId="2B3B2737">
            <w:pPr>
              <w:pStyle w:val="61"/>
              <w:spacing w:line="300" w:lineRule="exact"/>
            </w:pPr>
            <w:r>
              <w:rPr>
                <w:rFonts w:hint="eastAsia"/>
              </w:rPr>
              <w:t>相符</w:t>
            </w:r>
          </w:p>
        </w:tc>
      </w:tr>
      <w:tr w14:paraId="37EE5D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vAlign w:val="center"/>
          </w:tcPr>
          <w:p w14:paraId="19A05655">
            <w:pPr>
              <w:pStyle w:val="61"/>
              <w:spacing w:line="300" w:lineRule="exact"/>
            </w:pPr>
            <w:r>
              <w:rPr>
                <w:rFonts w:hint="eastAsia"/>
              </w:rPr>
              <w:t>3</w:t>
            </w:r>
          </w:p>
        </w:tc>
        <w:tc>
          <w:tcPr>
            <w:tcW w:w="2313" w:type="pct"/>
            <w:vAlign w:val="center"/>
          </w:tcPr>
          <w:p w14:paraId="1D6ABBAD">
            <w:pPr>
              <w:pStyle w:val="61"/>
              <w:keepNext w:val="0"/>
              <w:keepLines w:val="0"/>
              <w:pageBreakBefore w:val="0"/>
              <w:widowControl/>
              <w:kinsoku/>
              <w:wordWrap/>
              <w:overflowPunct/>
              <w:topLinePunct w:val="0"/>
              <w:autoSpaceDE/>
              <w:autoSpaceDN/>
              <w:bidi w:val="0"/>
              <w:adjustRightInd/>
              <w:snapToGrid/>
              <w:spacing w:line="300" w:lineRule="exact"/>
              <w:jc w:val="left"/>
              <w:textAlignment w:val="auto"/>
            </w:pPr>
            <w:r>
              <w:rPr>
                <w:rFonts w:hint="eastAsia"/>
              </w:rPr>
              <w:t>①</w:t>
            </w:r>
            <w:r>
              <w:rPr>
                <w:rFonts w:hint="eastAsia" w:ascii="宋体" w:cs="宋体"/>
                <w:szCs w:val="21"/>
              </w:rPr>
              <w:t>畜禽养殖场产生的畜禽粪便应设置专门的贮存设施，其恶臭及污染物排放应符合《畜禽养殖业污染物排放标准》；</w:t>
            </w:r>
          </w:p>
          <w:p w14:paraId="2F5CD54B">
            <w:pPr>
              <w:pStyle w:val="61"/>
              <w:keepNext w:val="0"/>
              <w:keepLines w:val="0"/>
              <w:pageBreakBefore w:val="0"/>
              <w:widowControl/>
              <w:kinsoku/>
              <w:wordWrap/>
              <w:overflowPunct/>
              <w:topLinePunct w:val="0"/>
              <w:autoSpaceDE/>
              <w:autoSpaceDN/>
              <w:bidi w:val="0"/>
              <w:adjustRightInd/>
              <w:snapToGrid/>
              <w:spacing w:line="300" w:lineRule="exact"/>
              <w:jc w:val="left"/>
              <w:textAlignment w:val="auto"/>
            </w:pPr>
            <w:r>
              <w:rPr>
                <w:rFonts w:hint="eastAsia"/>
              </w:rPr>
              <w:t>②</w:t>
            </w:r>
            <w:r>
              <w:rPr>
                <w:rFonts w:hint="eastAsia" w:ascii="宋体" w:cs="宋体"/>
                <w:szCs w:val="21"/>
              </w:rPr>
              <w:t>贮存设施的位置必须远离各类功能地表水体（距离不得小于</w:t>
            </w:r>
            <w:r>
              <w:rPr>
                <w:szCs w:val="21"/>
              </w:rPr>
              <w:t>400m</w:t>
            </w:r>
            <w:r>
              <w:rPr>
                <w:rFonts w:hint="eastAsia" w:ascii="宋体" w:cs="宋体"/>
                <w:szCs w:val="21"/>
              </w:rPr>
              <w:t>）；</w:t>
            </w:r>
          </w:p>
          <w:p w14:paraId="796B83F3">
            <w:pPr>
              <w:pStyle w:val="61"/>
              <w:keepNext w:val="0"/>
              <w:keepLines w:val="0"/>
              <w:pageBreakBefore w:val="0"/>
              <w:widowControl/>
              <w:kinsoku/>
              <w:wordWrap/>
              <w:overflowPunct/>
              <w:topLinePunct w:val="0"/>
              <w:autoSpaceDE/>
              <w:autoSpaceDN/>
              <w:bidi w:val="0"/>
              <w:adjustRightInd/>
              <w:snapToGrid/>
              <w:spacing w:line="300" w:lineRule="exact"/>
              <w:jc w:val="left"/>
              <w:textAlignment w:val="auto"/>
            </w:pPr>
            <w:r>
              <w:rPr>
                <w:rFonts w:hint="eastAsia"/>
              </w:rPr>
              <w:t>③</w:t>
            </w:r>
            <w:r>
              <w:rPr>
                <w:rFonts w:hint="eastAsia" w:ascii="宋体" w:cs="宋体"/>
                <w:szCs w:val="21"/>
              </w:rPr>
              <w:t>贮存设施应采取有效的防渗处理工艺，防止畜禽粪便污染地下水；</w:t>
            </w:r>
          </w:p>
          <w:p w14:paraId="43B1401D">
            <w:pPr>
              <w:pStyle w:val="61"/>
              <w:keepNext w:val="0"/>
              <w:keepLines w:val="0"/>
              <w:pageBreakBefore w:val="0"/>
              <w:widowControl/>
              <w:kinsoku/>
              <w:wordWrap/>
              <w:overflowPunct/>
              <w:topLinePunct w:val="0"/>
              <w:autoSpaceDE/>
              <w:autoSpaceDN/>
              <w:bidi w:val="0"/>
              <w:adjustRightInd/>
              <w:snapToGrid/>
              <w:spacing w:line="300" w:lineRule="exact"/>
              <w:jc w:val="left"/>
              <w:textAlignment w:val="auto"/>
            </w:pPr>
            <w:r>
              <w:rPr>
                <w:rFonts w:hint="eastAsia"/>
              </w:rPr>
              <w:t>④</w:t>
            </w:r>
            <w:r>
              <w:rPr>
                <w:rFonts w:hint="eastAsia" w:ascii="宋体" w:cs="宋体"/>
                <w:szCs w:val="21"/>
              </w:rPr>
              <w:t>对于种养结合的养殖场，畜禽粪便贮存设施的总容积不得低于当地农林作物生产用肥的最大间隔时间内本养殖场所产生粪便的总量；</w:t>
            </w:r>
          </w:p>
          <w:p w14:paraId="5E37221B">
            <w:pPr>
              <w:pStyle w:val="61"/>
              <w:keepNext w:val="0"/>
              <w:keepLines w:val="0"/>
              <w:pageBreakBefore w:val="0"/>
              <w:widowControl/>
              <w:kinsoku/>
              <w:wordWrap/>
              <w:overflowPunct/>
              <w:topLinePunct w:val="0"/>
              <w:autoSpaceDE/>
              <w:autoSpaceDN/>
              <w:bidi w:val="0"/>
              <w:adjustRightInd/>
              <w:snapToGrid/>
              <w:spacing w:line="300" w:lineRule="exact"/>
              <w:jc w:val="left"/>
              <w:textAlignment w:val="auto"/>
            </w:pPr>
            <w:r>
              <w:rPr>
                <w:rFonts w:hint="eastAsia"/>
              </w:rPr>
              <w:t>⑤</w:t>
            </w:r>
            <w:r>
              <w:rPr>
                <w:rFonts w:hint="eastAsia" w:ascii="宋体" w:cs="宋体"/>
                <w:szCs w:val="21"/>
              </w:rPr>
              <w:t>贮存设施应采取设置顶盖等防止降雨（水）进人的措施。</w:t>
            </w:r>
          </w:p>
        </w:tc>
        <w:tc>
          <w:tcPr>
            <w:tcW w:w="1843" w:type="pct"/>
            <w:vAlign w:val="center"/>
          </w:tcPr>
          <w:p w14:paraId="0F7C2586">
            <w:pPr>
              <w:pStyle w:val="61"/>
              <w:keepNext w:val="0"/>
              <w:keepLines w:val="0"/>
              <w:pageBreakBefore w:val="0"/>
              <w:widowControl/>
              <w:kinsoku/>
              <w:wordWrap/>
              <w:overflowPunct/>
              <w:topLinePunct w:val="0"/>
              <w:autoSpaceDE/>
              <w:autoSpaceDN/>
              <w:bidi w:val="0"/>
              <w:adjustRightInd/>
              <w:snapToGrid/>
              <w:spacing w:line="300" w:lineRule="exact"/>
              <w:jc w:val="left"/>
              <w:textAlignment w:val="auto"/>
            </w:pPr>
            <w:r>
              <w:rPr>
                <w:rFonts w:hint="eastAsia"/>
              </w:rPr>
              <w:t>①</w:t>
            </w:r>
            <w:r>
              <w:rPr>
                <w:rFonts w:hint="eastAsia" w:ascii="宋体" w:cs="宋体"/>
                <w:szCs w:val="21"/>
              </w:rPr>
              <w:t>项目</w:t>
            </w:r>
            <w:r>
              <w:rPr>
                <w:rFonts w:ascii="宋体" w:cs="宋体"/>
                <w:szCs w:val="21"/>
              </w:rPr>
              <w:t>设有</w:t>
            </w:r>
            <w:r>
              <w:rPr>
                <w:rFonts w:hint="eastAsia" w:ascii="宋体" w:cs="宋体"/>
                <w:szCs w:val="21"/>
              </w:rPr>
              <w:t>鸡粪暂存库，</w:t>
            </w:r>
            <w:r>
              <w:rPr>
                <w:rFonts w:ascii="宋体" w:cs="宋体"/>
                <w:szCs w:val="21"/>
              </w:rPr>
              <w:t>鸡粪暂存库</w:t>
            </w:r>
            <w:r>
              <w:rPr>
                <w:rFonts w:hint="eastAsia" w:ascii="宋体" w:cs="宋体"/>
                <w:szCs w:val="21"/>
              </w:rPr>
              <w:t>恶臭</w:t>
            </w:r>
            <w:r>
              <w:rPr>
                <w:rFonts w:ascii="宋体" w:cs="宋体"/>
                <w:szCs w:val="21"/>
              </w:rPr>
              <w:t>废气采用密闭负压收集，</w:t>
            </w:r>
            <w:r>
              <w:rPr>
                <w:rFonts w:hint="eastAsia" w:ascii="宋体" w:cs="宋体"/>
                <w:szCs w:val="21"/>
              </w:rPr>
              <w:t>经</w:t>
            </w:r>
            <w:r>
              <w:rPr>
                <w:rFonts w:hint="eastAsia" w:ascii="宋体" w:cs="宋体"/>
                <w:color w:val="000000" w:themeColor="text1"/>
                <w:szCs w:val="21"/>
                <w14:textFill>
                  <w14:solidFill>
                    <w14:schemeClr w14:val="tx1"/>
                  </w14:solidFill>
                </w14:textFill>
              </w:rPr>
              <w:t>生物喷淋除臭装置处理后通</w:t>
            </w:r>
            <w:r>
              <w:rPr>
                <w:color w:val="000000" w:themeColor="text1"/>
                <w:szCs w:val="21"/>
                <w14:textFill>
                  <w14:solidFill>
                    <w14:schemeClr w14:val="tx1"/>
                  </w14:solidFill>
                </w14:textFill>
              </w:rPr>
              <w:t>过一根15m高排气筒DA00</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排放，根据核算DA00</w:t>
            </w:r>
            <w:r>
              <w:rPr>
                <w:rFonts w:hint="eastAsia"/>
                <w:color w:val="000000" w:themeColor="text1"/>
                <w:szCs w:val="21"/>
                <w14:textFill>
                  <w14:solidFill>
                    <w14:schemeClr w14:val="tx1"/>
                  </w14:solidFill>
                </w14:textFill>
              </w:rPr>
              <w:t>1</w:t>
            </w:r>
            <w:r>
              <w:rPr>
                <w:szCs w:val="21"/>
              </w:rPr>
              <w:t>排气筒排放满足《畜禽养殖业污染物排放标准</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及《</w:t>
            </w:r>
            <w:r>
              <w:rPr>
                <w:color w:val="000000" w:themeColor="text1"/>
                <w:szCs w:val="21"/>
                <w14:textFill>
                  <w14:solidFill>
                    <w14:schemeClr w14:val="tx1"/>
                  </w14:solidFill>
                </w14:textFill>
              </w:rPr>
              <w:t>恶臭污染物排放标准》</w:t>
            </w:r>
            <w:r>
              <w:rPr>
                <w:rFonts w:hint="eastAsia"/>
                <w:szCs w:val="21"/>
              </w:rPr>
              <w:t>；</w:t>
            </w:r>
          </w:p>
          <w:p w14:paraId="17B47EB7">
            <w:pPr>
              <w:pStyle w:val="61"/>
              <w:keepNext w:val="0"/>
              <w:keepLines w:val="0"/>
              <w:pageBreakBefore w:val="0"/>
              <w:widowControl/>
              <w:kinsoku/>
              <w:wordWrap/>
              <w:overflowPunct/>
              <w:topLinePunct w:val="0"/>
              <w:autoSpaceDE/>
              <w:autoSpaceDN/>
              <w:bidi w:val="0"/>
              <w:adjustRightInd/>
              <w:snapToGrid/>
              <w:spacing w:line="300" w:lineRule="exact"/>
              <w:jc w:val="left"/>
              <w:textAlignment w:val="auto"/>
            </w:pPr>
            <w:r>
              <w:rPr>
                <w:rFonts w:hint="eastAsia"/>
              </w:rPr>
              <w:t>②</w:t>
            </w:r>
            <w:r>
              <w:rPr>
                <w:rFonts w:hint="eastAsia" w:ascii="宋体" w:cs="宋体"/>
                <w:szCs w:val="21"/>
              </w:rPr>
              <w:t>项目鸡粪日产日清，外售综合利用，鸡粪不在厂内长期贮存，鸡粪</w:t>
            </w:r>
            <w:r>
              <w:rPr>
                <w:szCs w:val="21"/>
              </w:rPr>
              <w:t>暂存库距离最近</w:t>
            </w:r>
            <w:r>
              <w:rPr>
                <w:rFonts w:hint="eastAsia"/>
                <w:szCs w:val="21"/>
                <w:lang w:eastAsia="zh-CN"/>
              </w:rPr>
              <w:t>的</w:t>
            </w:r>
            <w:r>
              <w:rPr>
                <w:szCs w:val="21"/>
              </w:rPr>
              <w:t>地表功能水体颜倪河1300米；</w:t>
            </w:r>
          </w:p>
          <w:p w14:paraId="4641ED78">
            <w:pPr>
              <w:pStyle w:val="61"/>
              <w:keepNext w:val="0"/>
              <w:keepLines w:val="0"/>
              <w:pageBreakBefore w:val="0"/>
              <w:widowControl/>
              <w:kinsoku/>
              <w:wordWrap/>
              <w:overflowPunct/>
              <w:topLinePunct w:val="0"/>
              <w:autoSpaceDE/>
              <w:autoSpaceDN/>
              <w:bidi w:val="0"/>
              <w:adjustRightInd/>
              <w:snapToGrid/>
              <w:spacing w:line="300" w:lineRule="exact"/>
              <w:jc w:val="left"/>
              <w:textAlignment w:val="auto"/>
            </w:pPr>
            <w:r>
              <w:t>③项目鸡粪暂存库进行防渗处理</w:t>
            </w:r>
            <w:r>
              <w:rPr>
                <w:rFonts w:hint="eastAsia"/>
              </w:rPr>
              <w:t>；</w:t>
            </w:r>
          </w:p>
          <w:p w14:paraId="5E23C318">
            <w:pPr>
              <w:pStyle w:val="61"/>
              <w:keepNext w:val="0"/>
              <w:keepLines w:val="0"/>
              <w:pageBreakBefore w:val="0"/>
              <w:widowControl/>
              <w:kinsoku/>
              <w:wordWrap/>
              <w:overflowPunct/>
              <w:topLinePunct w:val="0"/>
              <w:autoSpaceDE/>
              <w:autoSpaceDN/>
              <w:bidi w:val="0"/>
              <w:adjustRightInd/>
              <w:snapToGrid/>
              <w:spacing w:line="300" w:lineRule="exact"/>
              <w:jc w:val="left"/>
              <w:textAlignment w:val="auto"/>
            </w:pPr>
            <w:r>
              <w:rPr>
                <w:rFonts w:hint="eastAsia"/>
              </w:rPr>
              <w:t>④项目粪便委托</w:t>
            </w:r>
            <w:r>
              <w:rPr>
                <w:rFonts w:hint="eastAsia"/>
                <w:color w:val="000000" w:themeColor="text1"/>
                <w:lang w:eastAsia="zh-CN"/>
                <w14:textFill>
                  <w14:solidFill>
                    <w14:schemeClr w14:val="tx1"/>
                  </w14:solidFill>
                </w14:textFill>
              </w:rPr>
              <w:t>泗阳巨宇畜禽粪污处理有限公司</w:t>
            </w:r>
            <w:r>
              <w:rPr>
                <w:rFonts w:hint="eastAsia"/>
                <w:color w:val="000000" w:themeColor="text1"/>
                <w14:textFill>
                  <w14:solidFill>
                    <w14:schemeClr w14:val="tx1"/>
                  </w14:solidFill>
                </w14:textFill>
              </w:rPr>
              <w:t>资源化利用；</w:t>
            </w:r>
          </w:p>
          <w:p w14:paraId="7E9ADE99">
            <w:pPr>
              <w:pStyle w:val="61"/>
              <w:keepNext w:val="0"/>
              <w:keepLines w:val="0"/>
              <w:pageBreakBefore w:val="0"/>
              <w:widowControl/>
              <w:kinsoku/>
              <w:wordWrap/>
              <w:overflowPunct/>
              <w:topLinePunct w:val="0"/>
              <w:autoSpaceDE/>
              <w:autoSpaceDN/>
              <w:bidi w:val="0"/>
              <w:adjustRightInd/>
              <w:snapToGrid/>
              <w:spacing w:line="300" w:lineRule="exact"/>
              <w:jc w:val="left"/>
              <w:textAlignment w:val="auto"/>
            </w:pPr>
            <w:r>
              <w:rPr>
                <w:rFonts w:hint="eastAsia"/>
              </w:rPr>
              <w:t>⑤项目</w:t>
            </w:r>
            <w:r>
              <w:t>鸡粪暂存库为钢架结构，设有</w:t>
            </w:r>
            <w:r>
              <w:rPr>
                <w:rFonts w:hint="eastAsia"/>
              </w:rPr>
              <w:t>四壁</w:t>
            </w:r>
            <w:r>
              <w:t>和顶棚</w:t>
            </w:r>
            <w:r>
              <w:rPr>
                <w:rFonts w:hint="eastAsia"/>
              </w:rPr>
              <w:t>，</w:t>
            </w:r>
            <w:r>
              <w:t>可以有效防止雨水进入。</w:t>
            </w:r>
          </w:p>
        </w:tc>
        <w:tc>
          <w:tcPr>
            <w:tcW w:w="458" w:type="pct"/>
            <w:vAlign w:val="center"/>
          </w:tcPr>
          <w:p w14:paraId="08B6DDDC">
            <w:pPr>
              <w:pStyle w:val="61"/>
              <w:spacing w:line="300" w:lineRule="exact"/>
            </w:pPr>
            <w:r>
              <w:rPr>
                <w:rFonts w:hint="eastAsia"/>
              </w:rPr>
              <w:t>相符</w:t>
            </w:r>
          </w:p>
        </w:tc>
      </w:tr>
      <w:tr w14:paraId="02733E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vAlign w:val="center"/>
          </w:tcPr>
          <w:p w14:paraId="2F11C77D">
            <w:pPr>
              <w:pStyle w:val="61"/>
              <w:spacing w:line="300" w:lineRule="exact"/>
            </w:pPr>
            <w:r>
              <w:rPr>
                <w:rFonts w:hint="eastAsia"/>
              </w:rPr>
              <w:t>4</w:t>
            </w:r>
          </w:p>
        </w:tc>
        <w:tc>
          <w:tcPr>
            <w:tcW w:w="2313" w:type="pct"/>
            <w:vAlign w:val="center"/>
          </w:tcPr>
          <w:p w14:paraId="1EAA83E4">
            <w:pPr>
              <w:pStyle w:val="61"/>
              <w:keepNext w:val="0"/>
              <w:keepLines w:val="0"/>
              <w:pageBreakBefore w:val="0"/>
              <w:widowControl/>
              <w:kinsoku/>
              <w:wordWrap/>
              <w:overflowPunct/>
              <w:topLinePunct w:val="0"/>
              <w:autoSpaceDE/>
              <w:autoSpaceDN/>
              <w:bidi w:val="0"/>
              <w:adjustRightInd/>
              <w:snapToGrid/>
              <w:spacing w:line="320" w:lineRule="exact"/>
              <w:jc w:val="left"/>
              <w:textAlignment w:val="auto"/>
            </w:pPr>
            <w:r>
              <w:rPr>
                <w:rFonts w:hint="eastAsia"/>
              </w:rPr>
              <w:t>①畜禽养殖过程中产生的污水应坚持种养结合的原则，经无害化处理后尽量充分还田，实现污水资源化利用；</w:t>
            </w:r>
          </w:p>
          <w:p w14:paraId="38CC15C1">
            <w:pPr>
              <w:pStyle w:val="61"/>
              <w:keepNext w:val="0"/>
              <w:keepLines w:val="0"/>
              <w:pageBreakBefore w:val="0"/>
              <w:widowControl/>
              <w:kinsoku/>
              <w:wordWrap/>
              <w:overflowPunct/>
              <w:topLinePunct w:val="0"/>
              <w:autoSpaceDE/>
              <w:autoSpaceDN/>
              <w:bidi w:val="0"/>
              <w:adjustRightInd/>
              <w:snapToGrid/>
              <w:spacing w:line="320" w:lineRule="exact"/>
              <w:jc w:val="left"/>
              <w:textAlignment w:val="auto"/>
            </w:pPr>
            <w:r>
              <w:rPr>
                <w:rFonts w:hint="eastAsia"/>
              </w:rPr>
              <w:t>②污水作为灌溉用水排入农田前，必须采取有效措施进行净化处理（包括机械的、物理的、化学的和生物学的），并须符合《农田灌溉水质标准》（GB5084-92）的要求；</w:t>
            </w:r>
          </w:p>
          <w:p w14:paraId="5EE670B5">
            <w:pPr>
              <w:pStyle w:val="61"/>
              <w:keepNext w:val="0"/>
              <w:keepLines w:val="0"/>
              <w:pageBreakBefore w:val="0"/>
              <w:widowControl/>
              <w:kinsoku/>
              <w:wordWrap/>
              <w:overflowPunct/>
              <w:topLinePunct w:val="0"/>
              <w:autoSpaceDE/>
              <w:autoSpaceDN/>
              <w:bidi w:val="0"/>
              <w:adjustRightInd/>
              <w:snapToGrid/>
              <w:spacing w:line="320" w:lineRule="exact"/>
              <w:jc w:val="left"/>
              <w:textAlignment w:val="auto"/>
            </w:pPr>
            <w:r>
              <w:rPr>
                <w:rFonts w:hint="eastAsia"/>
              </w:rPr>
              <w:t>③在畜禽养殖场与还田利用的农田之间应建立有效的污水输送网络，通过车载或管道形式将处理（置）后的污水输送至农田，要加强管理，严格控制污水输送沿途的弃、撒和跑、冒、滴、漏；</w:t>
            </w:r>
          </w:p>
          <w:p w14:paraId="3F28DAC2">
            <w:pPr>
              <w:pStyle w:val="61"/>
              <w:keepNext w:val="0"/>
              <w:keepLines w:val="0"/>
              <w:pageBreakBefore w:val="0"/>
              <w:widowControl/>
              <w:kinsoku/>
              <w:wordWrap/>
              <w:overflowPunct/>
              <w:topLinePunct w:val="0"/>
              <w:autoSpaceDE/>
              <w:autoSpaceDN/>
              <w:bidi w:val="0"/>
              <w:adjustRightInd/>
              <w:snapToGrid/>
              <w:spacing w:line="320" w:lineRule="exact"/>
              <w:jc w:val="left"/>
              <w:textAlignment w:val="auto"/>
            </w:pPr>
            <w:r>
              <w:rPr>
                <w:rFonts w:hint="eastAsia"/>
              </w:rPr>
              <w:t>④畜禽养殖场污水排人农田前必须进行预处理（采用格栅、厌氧、沉淀等工艺、流程），并应配套设置田间储存池，以解决农田在非施肥期间的污水出路问题，田间储存池的总容积不得低于当地农林作物生产用肥的最大间隔时间内畜禽养殖场排放污水的总量。</w:t>
            </w:r>
          </w:p>
        </w:tc>
        <w:tc>
          <w:tcPr>
            <w:tcW w:w="1843" w:type="pct"/>
            <w:vAlign w:val="center"/>
          </w:tcPr>
          <w:p w14:paraId="0D769BA5">
            <w:pPr>
              <w:pStyle w:val="61"/>
              <w:keepNext w:val="0"/>
              <w:keepLines w:val="0"/>
              <w:pageBreakBefore w:val="0"/>
              <w:widowControl/>
              <w:kinsoku/>
              <w:wordWrap/>
              <w:overflowPunct/>
              <w:topLinePunct w:val="0"/>
              <w:autoSpaceDE/>
              <w:autoSpaceDN/>
              <w:bidi w:val="0"/>
              <w:adjustRightInd/>
              <w:snapToGrid/>
              <w:spacing w:line="320" w:lineRule="exact"/>
              <w:jc w:val="left"/>
              <w:textAlignment w:val="auto"/>
            </w:pPr>
            <w:r>
              <w:rPr>
                <w:rFonts w:hint="eastAsia"/>
              </w:rPr>
              <w:t>①项目</w:t>
            </w:r>
            <w:r>
              <w:t>污水经厂内污水站处理后，回用于农田灌溉</w:t>
            </w:r>
            <w:r>
              <w:rPr>
                <w:rFonts w:hint="eastAsia"/>
              </w:rPr>
              <w:t>；</w:t>
            </w:r>
          </w:p>
          <w:p w14:paraId="22118847">
            <w:pPr>
              <w:pStyle w:val="61"/>
              <w:keepNext w:val="0"/>
              <w:keepLines w:val="0"/>
              <w:pageBreakBefore w:val="0"/>
              <w:widowControl/>
              <w:kinsoku/>
              <w:wordWrap/>
              <w:overflowPunct/>
              <w:topLinePunct w:val="0"/>
              <w:autoSpaceDE/>
              <w:autoSpaceDN/>
              <w:bidi w:val="0"/>
              <w:adjustRightInd/>
              <w:snapToGrid/>
              <w:spacing w:line="320" w:lineRule="exact"/>
              <w:jc w:val="left"/>
              <w:textAlignment w:val="auto"/>
            </w:pPr>
            <w:r>
              <w:rPr>
                <w:rFonts w:hint="eastAsia"/>
              </w:rPr>
              <w:t>②项目</w:t>
            </w:r>
            <w:r>
              <w:t>厂内污</w:t>
            </w:r>
            <w:r>
              <w:rPr>
                <w:color w:val="000000" w:themeColor="text1"/>
                <w14:textFill>
                  <w14:solidFill>
                    <w14:schemeClr w14:val="tx1"/>
                  </w14:solidFill>
                </w14:textFill>
              </w:rPr>
              <w:t>水站（采用</w:t>
            </w:r>
            <w:r>
              <w:rPr>
                <w:rFonts w:hint="eastAsia"/>
                <w:color w:val="000000" w:themeColor="text1"/>
                <w14:textFill>
                  <w14:solidFill>
                    <w14:schemeClr w14:val="tx1"/>
                  </w14:solidFill>
                </w14:textFill>
              </w:rPr>
              <w:t>“格栅+沉砂集水+水解酸化+厌氧反应+好氧处理+消毒”工艺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处理</w:t>
            </w:r>
            <w:r>
              <w:rPr>
                <w:color w:val="000000" w:themeColor="text1"/>
                <w14:textFill>
                  <w14:solidFill>
                    <w14:schemeClr w14:val="tx1"/>
                  </w14:solidFill>
                </w14:textFill>
              </w:rPr>
              <w:t>，</w:t>
            </w:r>
            <w:r>
              <w:t>处理尾水满足</w:t>
            </w:r>
            <w:r>
              <w:rPr>
                <w:rFonts w:hint="eastAsia"/>
              </w:rPr>
              <w:t>《农田灌溉水质标准》（GB 5084-2021）表1水田作物标准的要求；</w:t>
            </w:r>
          </w:p>
          <w:p w14:paraId="2E011550">
            <w:pPr>
              <w:pStyle w:val="61"/>
              <w:keepNext w:val="0"/>
              <w:keepLines w:val="0"/>
              <w:pageBreakBefore w:val="0"/>
              <w:widowControl/>
              <w:kinsoku/>
              <w:wordWrap/>
              <w:overflowPunct/>
              <w:topLinePunct w:val="0"/>
              <w:autoSpaceDE/>
              <w:autoSpaceDN/>
              <w:bidi w:val="0"/>
              <w:adjustRightInd/>
              <w:snapToGrid/>
              <w:spacing w:line="320" w:lineRule="exact"/>
              <w:jc w:val="left"/>
              <w:textAlignment w:val="auto"/>
            </w:pPr>
            <w:r>
              <w:rPr>
                <w:rFonts w:hint="eastAsia"/>
              </w:rPr>
              <w:t>③项目尾水</w:t>
            </w:r>
            <w:bookmarkStart w:id="11" w:name="OLE_LINK9"/>
            <w:r>
              <w:t>还田采用</w:t>
            </w:r>
            <w:bookmarkStart w:id="12" w:name="OLE_LINK13"/>
            <w:bookmarkStart w:id="13" w:name="OLE_LINK12"/>
            <w:r>
              <w:rPr>
                <w:rFonts w:hint="eastAsia"/>
                <w:color w:val="000000" w:themeColor="text1"/>
                <w:lang w:val="en-US" w:eastAsia="zh-CN"/>
                <w14:textFill>
                  <w14:solidFill>
                    <w14:schemeClr w14:val="tx1"/>
                  </w14:solidFill>
                </w14:textFill>
              </w:rPr>
              <w:t>管道输送</w:t>
            </w:r>
            <w:r>
              <w:t>，</w:t>
            </w:r>
            <w:bookmarkEnd w:id="12"/>
            <w:bookmarkEnd w:id="13"/>
            <w:r>
              <w:rPr>
                <w:rFonts w:hint="eastAsia"/>
              </w:rPr>
              <w:t>企</w:t>
            </w:r>
            <w:bookmarkEnd w:id="11"/>
            <w:r>
              <w:rPr>
                <w:rFonts w:hint="eastAsia"/>
              </w:rPr>
              <w:t>业</w:t>
            </w:r>
            <w:r>
              <w:rPr>
                <w:rFonts w:hint="eastAsia"/>
                <w:lang w:val="en-US" w:eastAsia="zh-CN"/>
              </w:rPr>
              <w:t>定期对输送管线进行检查</w:t>
            </w:r>
            <w:r>
              <w:rPr>
                <w:rFonts w:hint="eastAsia"/>
              </w:rPr>
              <w:t>，</w:t>
            </w:r>
            <w:r>
              <w:t>避免</w:t>
            </w:r>
            <w:r>
              <w:rPr>
                <w:rFonts w:hint="eastAsia"/>
                <w:lang w:val="en-US" w:eastAsia="zh-CN"/>
              </w:rPr>
              <w:t>管道</w:t>
            </w:r>
            <w:r>
              <w:t>输送过程中的</w:t>
            </w:r>
            <w:r>
              <w:rPr>
                <w:rFonts w:hint="eastAsia"/>
              </w:rPr>
              <w:t>跑、冒、滴、漏；</w:t>
            </w:r>
          </w:p>
          <w:p w14:paraId="1FB9AF26">
            <w:pPr>
              <w:pStyle w:val="61"/>
              <w:keepNext w:val="0"/>
              <w:keepLines w:val="0"/>
              <w:pageBreakBefore w:val="0"/>
              <w:widowControl/>
              <w:kinsoku/>
              <w:wordWrap/>
              <w:overflowPunct/>
              <w:topLinePunct w:val="0"/>
              <w:autoSpaceDE/>
              <w:autoSpaceDN/>
              <w:bidi w:val="0"/>
              <w:adjustRightInd/>
              <w:snapToGrid/>
              <w:spacing w:line="320" w:lineRule="exact"/>
              <w:jc w:val="left"/>
              <w:textAlignment w:val="auto"/>
            </w:pPr>
            <w:r>
              <w:rPr>
                <w:rFonts w:hint="eastAsia"/>
              </w:rPr>
              <w:t>④项目</w:t>
            </w:r>
            <w:r>
              <w:t>污水采用</w:t>
            </w:r>
            <w:r>
              <w:rPr>
                <w:rFonts w:hint="eastAsia"/>
                <w:color w:val="000000" w:themeColor="text1"/>
                <w14:textFill>
                  <w14:solidFill>
                    <w14:schemeClr w14:val="tx1"/>
                  </w14:solidFill>
                </w14:textFill>
              </w:rPr>
              <w:t>“格栅+沉砂集水+水解酸化+厌氧反应+好氧处理+消毒”工艺处理</w:t>
            </w:r>
            <w:r>
              <w:rPr>
                <w:color w:val="000000" w:themeColor="text1"/>
                <w14:textFill>
                  <w14:solidFill>
                    <w14:schemeClr w14:val="tx1"/>
                  </w14:solidFill>
                </w14:textFill>
              </w:rPr>
              <w:t>，</w:t>
            </w:r>
            <w:r>
              <w:t>项目厂区设置</w:t>
            </w:r>
            <w:r>
              <w:rPr>
                <w:rFonts w:hint="eastAsia"/>
                <w:lang w:val="en-US" w:eastAsia="zh-CN"/>
              </w:rPr>
              <w:t>1个</w:t>
            </w:r>
            <w:r>
              <w:rPr>
                <w:rFonts w:hint="eastAsia"/>
                <w:color w:val="000000" w:themeColor="text1"/>
                <w14:textFill>
                  <w14:solidFill>
                    <w14:schemeClr w14:val="tx1"/>
                  </w14:solidFill>
                </w14:textFill>
              </w:rPr>
              <w:t>750m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 xml:space="preserve"> </w:t>
            </w:r>
            <w:r>
              <w:rPr>
                <w:rFonts w:hint="eastAsia"/>
              </w:rPr>
              <w:t>的尾水暂存池</w:t>
            </w:r>
            <w:r>
              <w:rPr>
                <w:rFonts w:hint="eastAsia"/>
                <w:lang w:eastAsia="zh-CN"/>
              </w:rPr>
              <w:t>，</w:t>
            </w:r>
            <w:r>
              <w:t>能够满足</w:t>
            </w:r>
            <w:r>
              <w:rPr>
                <w:rFonts w:hint="eastAsia"/>
              </w:rPr>
              <w:t>非灌溉期的</w:t>
            </w:r>
            <w:r>
              <w:t>废水暂存</w:t>
            </w:r>
            <w:r>
              <w:rPr>
                <w:rFonts w:hint="eastAsia"/>
                <w:lang w:val="en-US" w:eastAsia="zh-CN"/>
              </w:rPr>
              <w:t>需求</w:t>
            </w:r>
            <w:r>
              <w:t>。</w:t>
            </w:r>
          </w:p>
        </w:tc>
        <w:tc>
          <w:tcPr>
            <w:tcW w:w="458" w:type="pct"/>
            <w:vAlign w:val="center"/>
          </w:tcPr>
          <w:p w14:paraId="38FE9CAD">
            <w:pPr>
              <w:pStyle w:val="61"/>
              <w:spacing w:line="300" w:lineRule="exact"/>
            </w:pPr>
            <w:r>
              <w:rPr>
                <w:rFonts w:hint="eastAsia"/>
              </w:rPr>
              <w:t>相符</w:t>
            </w:r>
          </w:p>
        </w:tc>
      </w:tr>
    </w:tbl>
    <w:p w14:paraId="5D405E67">
      <w:pPr>
        <w:spacing w:line="480" w:lineRule="exact"/>
        <w:ind w:firstLine="480" w:firstLineChars="200"/>
      </w:pPr>
      <w:r>
        <w:rPr>
          <w:rFonts w:hint="eastAsia"/>
        </w:rPr>
        <w:t>根据表1.5-1可知，本项目满足《畜禽养殖业污染防治技术规范》（HJ/T81-2001）中相关要求。</w:t>
      </w:r>
    </w:p>
    <w:p w14:paraId="4C7CD0CF">
      <w:pPr>
        <w:pStyle w:val="8"/>
        <w:spacing w:line="480" w:lineRule="exact"/>
      </w:pPr>
      <w:r>
        <w:t>1.5.3.</w:t>
      </w:r>
      <w:r>
        <w:rPr>
          <w:rFonts w:hint="eastAsia"/>
        </w:rPr>
        <w:t>2</w:t>
      </w:r>
      <w:r>
        <w:t xml:space="preserve"> </w:t>
      </w:r>
      <w:r>
        <w:rPr>
          <w:rFonts w:hint="eastAsia"/>
        </w:rPr>
        <w:t>与《畜禽规模养殖污染防治条例》选址相符性分析</w:t>
      </w:r>
    </w:p>
    <w:p w14:paraId="572A3353">
      <w:pPr>
        <w:spacing w:line="480" w:lineRule="exact"/>
        <w:ind w:firstLine="480" w:firstLineChars="200"/>
      </w:pPr>
      <w:r>
        <w:rPr>
          <w:rFonts w:hint="eastAsia"/>
        </w:rPr>
        <w:t>根据《畜禽规模养殖污染防治条例》（国务院令第643号）的第十一条，禁止在下列区域内建设畜禽养殖场、养殖小区：饮用水水源保护区，风景名胜区；自然保护区的核心区和缓冲区；城镇居民区、文化教育科学研究区等人口集中区域；法律、法规规定的其他禁止养殖区域。</w:t>
      </w:r>
    </w:p>
    <w:p w14:paraId="43E07D55">
      <w:pPr>
        <w:spacing w:line="480" w:lineRule="exact"/>
        <w:ind w:firstLine="482" w:firstLineChars="200"/>
      </w:pPr>
      <w:r>
        <w:rPr>
          <w:rFonts w:hint="eastAsia"/>
          <w:b/>
          <w:bCs/>
        </w:rPr>
        <w:t>本项目拟选地附近无自然保护区、生活饮用水水源保护区、风景名胜区、城镇居民区、文化教育科学研究区等人口集中区域，项目周边为农田。故本项目选址符合《畜禽规模养殖污染防治条例》中要求。</w:t>
      </w:r>
    </w:p>
    <w:p w14:paraId="017D7B7F">
      <w:pPr>
        <w:pStyle w:val="8"/>
        <w:spacing w:line="480" w:lineRule="exact"/>
      </w:pPr>
      <w:r>
        <w:t>1.5.3.</w:t>
      </w:r>
      <w:r>
        <w:rPr>
          <w:rFonts w:hint="eastAsia"/>
        </w:rPr>
        <w:t>3</w:t>
      </w:r>
      <w:r>
        <w:t xml:space="preserve"> </w:t>
      </w:r>
      <w:r>
        <w:rPr>
          <w:rFonts w:hint="eastAsia"/>
        </w:rPr>
        <w:t>与《动物防疫条件审查办法》选址要求相符性分析</w:t>
      </w:r>
    </w:p>
    <w:p w14:paraId="6C978C42">
      <w:pPr>
        <w:spacing w:line="480" w:lineRule="exact"/>
        <w:ind w:firstLine="480" w:firstLineChars="200"/>
      </w:pPr>
      <w:r>
        <w:rPr>
          <w:rFonts w:hint="eastAsia"/>
        </w:rPr>
        <w:t>1、文件</w:t>
      </w:r>
      <w:r>
        <w:t>要求</w:t>
      </w:r>
    </w:p>
    <w:p w14:paraId="540F1ECE">
      <w:pPr>
        <w:spacing w:line="480" w:lineRule="exact"/>
        <w:ind w:firstLine="480" w:firstLineChars="200"/>
      </w:pPr>
      <w:r>
        <w:rPr>
          <w:rFonts w:hint="eastAsia"/>
        </w:rPr>
        <w:t>（1）动物饲养场、养殖小区选址应当符合下列条件：</w:t>
      </w:r>
    </w:p>
    <w:p w14:paraId="53E02758">
      <w:pPr>
        <w:spacing w:line="480" w:lineRule="exact"/>
        <w:ind w:firstLine="480" w:firstLineChars="200"/>
      </w:pPr>
      <w:r>
        <w:rPr>
          <w:rFonts w:hint="eastAsia"/>
        </w:rPr>
        <w:t xml:space="preserve">    ①距离生活饮用水源地、动物屠宰加工场所、动物和动物产品集贸市场500米以上；距离种畜禽场1000米以上；距离动物诊疗场所200米以上；动物饲养场（养殖小区）之间距离不少于500米；</w:t>
      </w:r>
    </w:p>
    <w:p w14:paraId="4FD27B09">
      <w:pPr>
        <w:spacing w:line="480" w:lineRule="exact"/>
        <w:ind w:firstLine="480" w:firstLineChars="200"/>
      </w:pPr>
      <w:r>
        <w:rPr>
          <w:rFonts w:hint="eastAsia"/>
        </w:rPr>
        <w:t xml:space="preserve">    ②距离动物隔离场所、无害化处理场所3000米以上；</w:t>
      </w:r>
    </w:p>
    <w:p w14:paraId="2E77EE27">
      <w:pPr>
        <w:spacing w:line="480" w:lineRule="exact"/>
        <w:ind w:firstLine="480" w:firstLineChars="200"/>
      </w:pPr>
      <w:r>
        <w:rPr>
          <w:rFonts w:hint="eastAsia"/>
        </w:rPr>
        <w:t xml:space="preserve">    ③距离城镇居民区、文化教育科研等人口集中区域及公路、铁路等主要交通干线500米以上。</w:t>
      </w:r>
    </w:p>
    <w:p w14:paraId="02927FA0">
      <w:pPr>
        <w:spacing w:line="480" w:lineRule="exact"/>
        <w:ind w:firstLine="480" w:firstLineChars="200"/>
      </w:pPr>
      <w:r>
        <w:rPr>
          <w:rFonts w:hint="eastAsia"/>
        </w:rPr>
        <w:t xml:space="preserve">   （2）动物饲养场、养殖小区布局应当符合下列条件：</w:t>
      </w:r>
    </w:p>
    <w:p w14:paraId="4AA7BDFF">
      <w:pPr>
        <w:spacing w:line="480" w:lineRule="exact"/>
        <w:ind w:firstLine="480" w:firstLineChars="200"/>
      </w:pPr>
      <w:r>
        <w:rPr>
          <w:rFonts w:hint="eastAsia"/>
        </w:rPr>
        <w:t xml:space="preserve">    ①场区周围建有围墙；</w:t>
      </w:r>
    </w:p>
    <w:p w14:paraId="4C643A75">
      <w:pPr>
        <w:spacing w:line="480" w:lineRule="exact"/>
        <w:ind w:firstLine="480" w:firstLineChars="200"/>
      </w:pPr>
      <w:r>
        <w:rPr>
          <w:rFonts w:hint="eastAsia"/>
        </w:rPr>
        <w:t xml:space="preserve">    ②场区出入口处设置与门同宽，长4米、深0.3米以上的消毒池；</w:t>
      </w:r>
    </w:p>
    <w:p w14:paraId="771BF524">
      <w:pPr>
        <w:spacing w:line="480" w:lineRule="exact"/>
        <w:ind w:firstLine="480" w:firstLineChars="200"/>
      </w:pPr>
      <w:r>
        <w:rPr>
          <w:rFonts w:hint="eastAsia"/>
        </w:rPr>
        <w:t xml:space="preserve">    ③生产区与生活办公区分开，并有隔离设施；</w:t>
      </w:r>
    </w:p>
    <w:p w14:paraId="3F243041">
      <w:pPr>
        <w:spacing w:line="480" w:lineRule="exact"/>
        <w:ind w:firstLine="480" w:firstLineChars="200"/>
      </w:pPr>
      <w:r>
        <w:rPr>
          <w:rFonts w:hint="eastAsia"/>
        </w:rPr>
        <w:t xml:space="preserve">    ④生产区入口处设置更衣消毒室，各养殖栋舍出入口设置消毒池或者消毒垫；</w:t>
      </w:r>
    </w:p>
    <w:p w14:paraId="662DA42A">
      <w:pPr>
        <w:spacing w:line="480" w:lineRule="exact"/>
        <w:ind w:firstLine="480" w:firstLineChars="200"/>
      </w:pPr>
      <w:r>
        <w:rPr>
          <w:rFonts w:hint="eastAsia"/>
        </w:rPr>
        <w:t xml:space="preserve">   ⑤生产区内清洁道、污染道分设；</w:t>
      </w:r>
    </w:p>
    <w:p w14:paraId="3CE33D47">
      <w:pPr>
        <w:spacing w:line="480" w:lineRule="exact"/>
        <w:ind w:firstLine="480" w:firstLineChars="200"/>
      </w:pPr>
      <w:r>
        <w:rPr>
          <w:rFonts w:hint="eastAsia"/>
        </w:rPr>
        <w:t xml:space="preserve">    ⑥生产区内各养殖栋舍之间距离在5米以上或者有隔离设施。</w:t>
      </w:r>
    </w:p>
    <w:p w14:paraId="7E39E3FA">
      <w:pPr>
        <w:spacing w:line="480" w:lineRule="exact"/>
        <w:ind w:firstLine="480" w:firstLineChars="200"/>
      </w:pPr>
      <w:r>
        <w:rPr>
          <w:rFonts w:hint="eastAsia"/>
        </w:rPr>
        <w:t xml:space="preserve">    禽类饲养场、养殖小区内的孵化间与养殖区之间应当设置隔离设施，并配备种蛋熏蒸消毒设施，孵化间的流程应当单向，不得交叉或者回流。</w:t>
      </w:r>
    </w:p>
    <w:p w14:paraId="3C844848">
      <w:pPr>
        <w:spacing w:line="480" w:lineRule="exact"/>
        <w:ind w:firstLine="480" w:firstLineChars="200"/>
      </w:pPr>
      <w:r>
        <w:rPr>
          <w:rFonts w:hint="eastAsia"/>
        </w:rPr>
        <w:t>（3）动物饲养场、养殖小区应当具有下列设施设备：</w:t>
      </w:r>
    </w:p>
    <w:p w14:paraId="4EACBF9D">
      <w:pPr>
        <w:spacing w:line="480" w:lineRule="exact"/>
        <w:ind w:firstLine="480" w:firstLineChars="200"/>
      </w:pPr>
      <w:r>
        <w:rPr>
          <w:rFonts w:hint="eastAsia"/>
        </w:rPr>
        <w:t xml:space="preserve">    ①场区入口处配置消毒设备；</w:t>
      </w:r>
    </w:p>
    <w:p w14:paraId="1D672D5C">
      <w:pPr>
        <w:spacing w:line="480" w:lineRule="exact"/>
        <w:ind w:firstLine="480" w:firstLineChars="200"/>
      </w:pPr>
      <w:r>
        <w:rPr>
          <w:rFonts w:hint="eastAsia"/>
        </w:rPr>
        <w:t xml:space="preserve">    ②生产区有良好的采光、通风设施设备；</w:t>
      </w:r>
    </w:p>
    <w:p w14:paraId="09EED407">
      <w:pPr>
        <w:spacing w:line="480" w:lineRule="exact"/>
        <w:ind w:firstLine="480" w:firstLineChars="200"/>
      </w:pPr>
      <w:r>
        <w:rPr>
          <w:rFonts w:hint="eastAsia"/>
        </w:rPr>
        <w:t xml:space="preserve">    ③圈舍地面和墙壁选用适宜材料，以便清洗消毒；</w:t>
      </w:r>
    </w:p>
    <w:p w14:paraId="2196E5B8">
      <w:pPr>
        <w:spacing w:line="480" w:lineRule="exact"/>
        <w:ind w:firstLine="480" w:firstLineChars="200"/>
      </w:pPr>
      <w:r>
        <w:rPr>
          <w:rFonts w:hint="eastAsia"/>
        </w:rPr>
        <w:t xml:space="preserve">    ④配备疫苗冷冻（冷藏）设备、消毒和诊疗等防疫设备的兽医室，或者有兽医机构为其提供相应服务；</w:t>
      </w:r>
    </w:p>
    <w:p w14:paraId="4C446F29">
      <w:pPr>
        <w:spacing w:line="480" w:lineRule="exact"/>
        <w:ind w:firstLine="480" w:firstLineChars="200"/>
      </w:pPr>
      <w:r>
        <w:rPr>
          <w:rFonts w:hint="eastAsia"/>
        </w:rPr>
        <w:t xml:space="preserve">    ⑤有与生产规模相适应的无害化处理、污水污物处理设施设备；</w:t>
      </w:r>
    </w:p>
    <w:p w14:paraId="1C068F30">
      <w:pPr>
        <w:spacing w:line="480" w:lineRule="exact"/>
        <w:ind w:firstLine="480" w:firstLineChars="200"/>
      </w:pPr>
      <w:r>
        <w:rPr>
          <w:rFonts w:hint="eastAsia"/>
        </w:rPr>
        <w:t xml:space="preserve">    ⑥有相对独立的引入动物隔离舍和患病动物隔离舍。</w:t>
      </w:r>
    </w:p>
    <w:p w14:paraId="420DFB15">
      <w:pPr>
        <w:spacing w:line="480" w:lineRule="exact"/>
        <w:ind w:firstLine="480" w:firstLineChars="200"/>
      </w:pPr>
      <w:r>
        <w:rPr>
          <w:rFonts w:hint="eastAsia"/>
        </w:rPr>
        <w:t>2、</w:t>
      </w:r>
      <w:r>
        <w:t>相符性分析</w:t>
      </w:r>
    </w:p>
    <w:p w14:paraId="18E46237">
      <w:pPr>
        <w:spacing w:line="480" w:lineRule="exact"/>
        <w:ind w:firstLine="482" w:firstLineChars="200"/>
        <w:rPr>
          <w:b/>
          <w:bCs/>
        </w:rPr>
      </w:pPr>
      <w:r>
        <w:rPr>
          <w:rFonts w:hint="eastAsia"/>
          <w:b/>
          <w:bCs/>
        </w:rPr>
        <w:t>（1）本项目位于泗阳县穿城镇向阳村，项目四周均为农田及空地，项目周围500m范围内无生活饮用水源地、动物屠宰加工场所、动物和动物产品集贸市场；项目</w:t>
      </w:r>
      <w:r>
        <w:rPr>
          <w:b/>
          <w:bCs/>
        </w:rPr>
        <w:t>周围</w:t>
      </w:r>
      <w:r>
        <w:rPr>
          <w:rFonts w:hint="eastAsia"/>
          <w:b/>
          <w:bCs/>
        </w:rPr>
        <w:t>1000m范围</w:t>
      </w:r>
      <w:r>
        <w:rPr>
          <w:b/>
          <w:bCs/>
        </w:rPr>
        <w:t>内无</w:t>
      </w:r>
      <w:r>
        <w:rPr>
          <w:rFonts w:hint="eastAsia"/>
          <w:b/>
          <w:bCs/>
        </w:rPr>
        <w:t>种畜禽场；项目周围200m无动物诊疗场所；项目周围3000m范围内无动物隔离场所、无害化处理场；距离最近的村庄为距离西</w:t>
      </w:r>
      <w:r>
        <w:rPr>
          <w:rFonts w:hint="eastAsia"/>
          <w:b/>
          <w:bCs/>
          <w:lang w:val="en-US" w:eastAsia="zh-CN"/>
        </w:rPr>
        <w:t>北</w:t>
      </w:r>
      <w:r>
        <w:rPr>
          <w:rFonts w:hint="eastAsia"/>
          <w:b/>
          <w:bCs/>
        </w:rPr>
        <w:t>侧厂界60m处的戴庄</w:t>
      </w:r>
      <w:r>
        <w:rPr>
          <w:rFonts w:hint="eastAsia"/>
          <w:b/>
          <w:bCs/>
          <w:lang w:eastAsia="zh-CN"/>
        </w:rPr>
        <w:t>（</w:t>
      </w:r>
      <w:r>
        <w:rPr>
          <w:rFonts w:hint="eastAsia"/>
          <w:b/>
          <w:bCs/>
          <w:lang w:val="en-US" w:eastAsia="zh-CN"/>
        </w:rPr>
        <w:t>与本项目边界相距145m</w:t>
      </w:r>
      <w:r>
        <w:rPr>
          <w:rFonts w:hint="eastAsia"/>
          <w:b/>
          <w:bCs/>
          <w:lang w:eastAsia="zh-CN"/>
        </w:rPr>
        <w:t>）</w:t>
      </w:r>
      <w:r>
        <w:rPr>
          <w:rFonts w:hint="eastAsia"/>
          <w:b/>
          <w:bCs/>
        </w:rPr>
        <w:t>，根据生态环境部关于养殖场周围村屯不属于城镇集中区的回复，因此项目周围500m范围内无城镇居民区、文化教育科研等人口集中区域；项目周围无铁路交通干线，距离项目最近的公路干线为西南侧900m的新区大道，因此，项目周围500m无公路、铁路等主要交通干线。</w:t>
      </w:r>
    </w:p>
    <w:p w14:paraId="1A8715E8">
      <w:pPr>
        <w:spacing w:line="480" w:lineRule="exact"/>
        <w:ind w:firstLine="482" w:firstLineChars="200"/>
        <w:rPr>
          <w:b/>
          <w:bCs/>
          <w:color w:val="000000" w:themeColor="text1"/>
          <w14:textFill>
            <w14:solidFill>
              <w14:schemeClr w14:val="tx1"/>
            </w14:solidFill>
          </w14:textFill>
        </w:rPr>
      </w:pPr>
      <w:r>
        <w:rPr>
          <w:rFonts w:hint="eastAsia"/>
          <w:b/>
          <w:bCs/>
        </w:rPr>
        <w:t>（2）项目设有</w:t>
      </w:r>
      <w:r>
        <w:rPr>
          <w:b/>
          <w:bCs/>
        </w:rPr>
        <w:t>围墙</w:t>
      </w:r>
      <w:r>
        <w:rPr>
          <w:rFonts w:hint="eastAsia"/>
          <w:b/>
          <w:bCs/>
        </w:rPr>
        <w:t>；</w:t>
      </w:r>
      <w:r>
        <w:rPr>
          <w:b/>
          <w:bCs/>
        </w:rPr>
        <w:t>厂区出入库设有消毒池；</w:t>
      </w:r>
      <w:r>
        <w:rPr>
          <w:rFonts w:hint="eastAsia"/>
          <w:b/>
          <w:bCs/>
        </w:rPr>
        <w:t>生活办公区</w:t>
      </w:r>
      <w:r>
        <w:rPr>
          <w:b/>
          <w:bCs/>
        </w:rPr>
        <w:t>与生产区</w:t>
      </w:r>
      <w:r>
        <w:rPr>
          <w:rFonts w:hint="eastAsia"/>
          <w:b/>
          <w:bCs/>
        </w:rPr>
        <w:t>分开</w:t>
      </w:r>
      <w:r>
        <w:rPr>
          <w:b/>
          <w:bCs/>
        </w:rPr>
        <w:t>，且</w:t>
      </w:r>
      <w:r>
        <w:rPr>
          <w:rFonts w:hint="eastAsia"/>
          <w:b/>
          <w:bCs/>
        </w:rPr>
        <w:t>采用</w:t>
      </w:r>
      <w:r>
        <w:rPr>
          <w:b/>
          <w:bCs/>
          <w:color w:val="000000" w:themeColor="text1"/>
          <w14:textFill>
            <w14:solidFill>
              <w14:schemeClr w14:val="tx1"/>
            </w14:solidFill>
          </w14:textFill>
        </w:rPr>
        <w:t>绿化带隔离；</w:t>
      </w:r>
      <w:r>
        <w:rPr>
          <w:rFonts w:hint="eastAsia"/>
          <w:b/>
          <w:bCs/>
          <w:color w:val="000000" w:themeColor="text1"/>
          <w14:textFill>
            <w14:solidFill>
              <w14:schemeClr w14:val="tx1"/>
            </w14:solidFill>
          </w14:textFill>
        </w:rPr>
        <w:t>项目</w:t>
      </w:r>
      <w:r>
        <w:rPr>
          <w:b/>
          <w:bCs/>
          <w:color w:val="000000" w:themeColor="text1"/>
          <w14:textFill>
            <w14:solidFill>
              <w14:schemeClr w14:val="tx1"/>
            </w14:solidFill>
          </w14:textFill>
        </w:rPr>
        <w:t>设置更衣消毒室，各</w:t>
      </w:r>
      <w:r>
        <w:rPr>
          <w:rFonts w:hint="eastAsia"/>
          <w:b/>
          <w:bCs/>
          <w:color w:val="000000" w:themeColor="text1"/>
          <w14:textFill>
            <w14:solidFill>
              <w14:schemeClr w14:val="tx1"/>
            </w14:solidFill>
          </w14:textFill>
        </w:rPr>
        <w:t>栋</w:t>
      </w:r>
      <w:r>
        <w:rPr>
          <w:b/>
          <w:bCs/>
          <w:color w:val="000000" w:themeColor="text1"/>
          <w14:textFill>
            <w14:solidFill>
              <w14:schemeClr w14:val="tx1"/>
            </w14:solidFill>
          </w14:textFill>
        </w:rPr>
        <w:t>养殖场</w:t>
      </w:r>
      <w:r>
        <w:rPr>
          <w:rFonts w:hint="eastAsia"/>
          <w:b/>
          <w:bCs/>
          <w:color w:val="000000" w:themeColor="text1"/>
          <w14:textFill>
            <w14:solidFill>
              <w14:schemeClr w14:val="tx1"/>
            </w14:solidFill>
          </w14:textFill>
        </w:rPr>
        <w:t>入出口</w:t>
      </w:r>
      <w:r>
        <w:rPr>
          <w:b/>
          <w:bCs/>
          <w:color w:val="000000" w:themeColor="text1"/>
          <w14:textFill>
            <w14:solidFill>
              <w14:schemeClr w14:val="tx1"/>
            </w14:solidFill>
          </w14:textFill>
        </w:rPr>
        <w:t>设有消毒垫；项目生产区各栋舍之间距离</w:t>
      </w:r>
      <w:r>
        <w:rPr>
          <w:rFonts w:hint="eastAsia"/>
          <w:b/>
          <w:bCs/>
          <w:color w:val="000000" w:themeColor="text1"/>
          <w14:textFill>
            <w14:solidFill>
              <w14:schemeClr w14:val="tx1"/>
            </w14:solidFill>
          </w14:textFill>
        </w:rPr>
        <w:t>6米。</w:t>
      </w:r>
    </w:p>
    <w:p w14:paraId="04B3DEC9">
      <w:pPr>
        <w:spacing w:line="480" w:lineRule="exact"/>
        <w:ind w:firstLine="48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综上，本项目场址符合《动物防疫条件审查办法》（农业农村部令2022年第8号）要求，选址合理。</w:t>
      </w:r>
    </w:p>
    <w:p w14:paraId="529BC54F">
      <w:pPr>
        <w:pStyle w:val="8"/>
        <w:spacing w:line="480" w:lineRule="exact"/>
      </w:pPr>
      <w:r>
        <w:t>1.5.3.</w:t>
      </w:r>
      <w:r>
        <w:rPr>
          <w:rFonts w:hint="eastAsia"/>
        </w:rPr>
        <w:t>4</w:t>
      </w:r>
      <w:r>
        <w:t xml:space="preserve"> </w:t>
      </w:r>
      <w:r>
        <w:rPr>
          <w:rFonts w:hint="eastAsia"/>
        </w:rPr>
        <w:t>与《畜禽养殖产地环境评价规范》选址相符性分析</w:t>
      </w:r>
    </w:p>
    <w:p w14:paraId="42F6BD6C">
      <w:pPr>
        <w:spacing w:line="480" w:lineRule="exact"/>
        <w:ind w:firstLine="480" w:firstLineChars="200"/>
      </w:pPr>
      <w:r>
        <w:rPr>
          <w:rFonts w:hint="eastAsia"/>
        </w:rPr>
        <w:t>①环境空</w:t>
      </w:r>
      <w:r>
        <w:rPr>
          <w:rFonts w:hint="eastAsia"/>
          <w:color w:val="000000" w:themeColor="text1"/>
          <w14:textFill>
            <w14:solidFill>
              <w14:schemeClr w14:val="tx1"/>
            </w14:solidFill>
          </w14:textFill>
        </w:rPr>
        <w:t>气质量符合性：根据项目厂区环境空气质量监测结果可知，氨气最大监测值为0.</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8mg/m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S最大监测值</w:t>
      </w:r>
      <w:r>
        <w:rPr>
          <w:rFonts w:hint="eastAsia" w:ascii="Times New Roman" w:hAnsi="Times New Roman" w:eastAsia="宋体" w:cs="Times New Roman"/>
          <w:color w:val="000000" w:themeColor="text1"/>
          <w14:textFill>
            <w14:solidFill>
              <w14:schemeClr w14:val="tx1"/>
            </w14:solidFill>
          </w14:textFill>
        </w:rPr>
        <w:t>为</w:t>
      </w:r>
      <w:r>
        <w:rPr>
          <w:rFonts w:hint="eastAsia"/>
          <w:color w:val="000000" w:themeColor="text1"/>
          <w14:textFill>
            <w14:solidFill>
              <w14:schemeClr w14:val="tx1"/>
            </w14:solidFill>
          </w14:textFill>
        </w:rPr>
        <w:t>0.008mg/m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，符合《畜禽养殖产地环境评价规范》（HJ568-2010）中表5：畜禽养殖场和养殖小</w:t>
      </w:r>
      <w:r>
        <w:rPr>
          <w:rFonts w:hint="eastAsia"/>
        </w:rPr>
        <w:t>区环境空气质量评价指标限值（氨气：5mg/m³；H</w:t>
      </w:r>
      <w:r>
        <w:rPr>
          <w:rFonts w:hint="eastAsia"/>
          <w:vertAlign w:val="subscript"/>
        </w:rPr>
        <w:t>2</w:t>
      </w:r>
      <w:r>
        <w:rPr>
          <w:rFonts w:hint="eastAsia"/>
        </w:rPr>
        <w:t>S：2mg/m</w:t>
      </w:r>
      <w:r>
        <w:rPr>
          <w:rFonts w:hint="eastAsia"/>
          <w:vertAlign w:val="superscript"/>
        </w:rPr>
        <w:t>3</w:t>
      </w:r>
      <w:r>
        <w:rPr>
          <w:rFonts w:hint="eastAsia"/>
        </w:rPr>
        <w:t>）。</w:t>
      </w:r>
    </w:p>
    <w:p w14:paraId="52452652">
      <w:pPr>
        <w:spacing w:line="480" w:lineRule="exact"/>
        <w:ind w:firstLine="480" w:firstLineChars="200"/>
      </w:pPr>
      <w:r>
        <w:rPr>
          <w:rFonts w:hint="eastAsia"/>
        </w:rPr>
        <w:t>②声环境质量符合性：根据项目厂界声环境质量监测结果可知，其监测结果符合《畜禽养殖产地环境评价规范》（HJ568-2010）中表6：畜禽养殖场、养殖小区及放牧区声环境质量</w:t>
      </w:r>
      <w:r>
        <w:rPr>
          <w:rFonts w:hint="eastAsia"/>
          <w:color w:val="000000" w:themeColor="text1"/>
          <w14:textFill>
            <w14:solidFill>
              <w14:schemeClr w14:val="tx1"/>
            </w14:solidFill>
          </w14:textFill>
        </w:rPr>
        <w:t>评价指标限值（昼间：60dB(A)；夜间50dB(A)）。</w:t>
      </w:r>
      <w:r>
        <w:rPr>
          <w:rFonts w:hint="eastAsia"/>
        </w:rPr>
        <w:t>距离其西</w:t>
      </w:r>
      <w:r>
        <w:rPr>
          <w:rFonts w:hint="eastAsia"/>
          <w:lang w:val="en-US" w:eastAsia="zh-CN"/>
        </w:rPr>
        <w:t>北</w:t>
      </w:r>
      <w:r>
        <w:rPr>
          <w:rFonts w:hint="eastAsia"/>
        </w:rPr>
        <w:t>侧厂界60m处的戴庄</w:t>
      </w:r>
      <w:r>
        <w:rPr>
          <w:rFonts w:hint="eastAsia"/>
          <w:b w:val="0"/>
          <w:bCs w:val="0"/>
          <w:lang w:eastAsia="zh-CN"/>
        </w:rPr>
        <w:t>（</w:t>
      </w:r>
      <w:r>
        <w:rPr>
          <w:rFonts w:hint="eastAsia"/>
          <w:b w:val="0"/>
          <w:bCs w:val="0"/>
          <w:lang w:val="en-US" w:eastAsia="zh-CN"/>
        </w:rPr>
        <w:t>与本项目边界相距145m</w:t>
      </w:r>
      <w:r>
        <w:rPr>
          <w:rFonts w:hint="eastAsia"/>
          <w:b w:val="0"/>
          <w:bCs w:val="0"/>
          <w:lang w:eastAsia="zh-CN"/>
        </w:rPr>
        <w:t>）</w:t>
      </w:r>
      <w:r>
        <w:rPr>
          <w:rFonts w:hint="eastAsia"/>
          <w:b w:val="0"/>
          <w:bCs w:val="0"/>
        </w:rPr>
        <w:t>、</w:t>
      </w:r>
      <w:r>
        <w:rPr>
          <w:rFonts w:hint="eastAsia"/>
          <w:b w:val="0"/>
          <w:bCs w:val="0"/>
          <w:lang w:val="en-US" w:eastAsia="zh-CN"/>
        </w:rPr>
        <w:t>西</w:t>
      </w:r>
      <w:r>
        <w:rPr>
          <w:rFonts w:hint="eastAsia"/>
          <w:b w:val="0"/>
          <w:bCs w:val="0"/>
        </w:rPr>
        <w:t>南侧厂界190m处的油坊庄</w:t>
      </w:r>
      <w:r>
        <w:rPr>
          <w:rFonts w:hint="eastAsia"/>
          <w:b w:val="0"/>
          <w:bCs w:val="0"/>
          <w:lang w:eastAsia="zh-CN"/>
        </w:rPr>
        <w:t>（</w:t>
      </w:r>
      <w:r>
        <w:rPr>
          <w:rFonts w:hint="eastAsia"/>
          <w:b w:val="0"/>
          <w:bCs w:val="0"/>
          <w:lang w:val="en-US" w:eastAsia="zh-CN"/>
        </w:rPr>
        <w:t>与本项目边界相距245m</w:t>
      </w:r>
      <w:r>
        <w:rPr>
          <w:rFonts w:hint="eastAsia"/>
          <w:b w:val="0"/>
          <w:bCs w:val="0"/>
          <w:lang w:eastAsia="zh-CN"/>
        </w:rPr>
        <w:t>）</w:t>
      </w:r>
      <w:r>
        <w:t>满足</w:t>
      </w:r>
      <w:r>
        <w:rPr>
          <w:rFonts w:hint="eastAsia"/>
        </w:rPr>
        <w:t>《声环境质量标准》（GB3096-2008）中的1类标准要求。</w:t>
      </w:r>
    </w:p>
    <w:p w14:paraId="4560273E">
      <w:pPr>
        <w:spacing w:line="480" w:lineRule="exact"/>
        <w:ind w:firstLine="480" w:firstLineChars="200"/>
      </w:pPr>
      <w:r>
        <w:rPr>
          <w:rFonts w:hint="eastAsia"/>
        </w:rPr>
        <w:t>③土壤环境质量符合性：根据项目厂区土壤质量监测结果可知，项目占地范围内各监测点位的土壤监测因子均能满足《土壤环境质量农用地土壤污染风险管控标准》（GB15618-2018）中农用地土壤污染风险筛选值要求，同时满足《畜禽养殖产地环境评价规范》（HJ568-2010）中表4：畜禽养殖场、养殖小区土壤环境质量评价指标限值（pH＞7.5情况</w:t>
      </w:r>
      <w:r>
        <w:t>下，</w:t>
      </w:r>
      <w:r>
        <w:rPr>
          <w:rFonts w:hint="eastAsia"/>
        </w:rPr>
        <w:t>镉：1.0mg/kg、汞：1.5mg/kg、砷：40mg/kg、铜：400mg/kg、铅：500mg/kg、铬：300mg/kg、镍：200mg/kg）。</w:t>
      </w:r>
    </w:p>
    <w:p w14:paraId="1F330F8F">
      <w:pPr>
        <w:spacing w:line="480" w:lineRule="exact"/>
        <w:ind w:firstLine="480" w:firstLineChars="200"/>
      </w:pPr>
      <w:r>
        <w:rPr>
          <w:rFonts w:hint="eastAsia"/>
        </w:rPr>
        <w:t>综上所述，本项目环境质量现状符合《畜禽养殖产地环境评价规范》（HJ568-2010）中环境质量要求。</w:t>
      </w:r>
    </w:p>
    <w:p w14:paraId="185C53A8">
      <w:pPr>
        <w:pStyle w:val="8"/>
        <w:spacing w:line="480" w:lineRule="exact"/>
      </w:pPr>
      <w:r>
        <w:t>1.5.3.5 与</w:t>
      </w:r>
      <w:r>
        <w:rPr>
          <w:rFonts w:hint="eastAsia"/>
        </w:rPr>
        <w:t>《畜禽养殖禁养区划定技术指南》（环办水体〔2016〕99号）相符性分析</w:t>
      </w:r>
    </w:p>
    <w:p w14:paraId="277B8A92">
      <w:pPr>
        <w:spacing w:line="480" w:lineRule="exact"/>
        <w:ind w:firstLine="480" w:firstLineChars="200"/>
      </w:pPr>
      <w:r>
        <w:rPr>
          <w:rFonts w:hint="eastAsia"/>
        </w:rPr>
        <w:t>《畜禽养殖禁养区划定技术指南》（环办水体〔2016〕99号）要求如下：</w:t>
      </w:r>
    </w:p>
    <w:p w14:paraId="5304EFA1">
      <w:pPr>
        <w:spacing w:line="480" w:lineRule="exact"/>
        <w:ind w:firstLine="480" w:firstLineChars="200"/>
      </w:pPr>
      <w:r>
        <w:rPr>
          <w:rFonts w:hint="eastAsia"/>
        </w:rPr>
        <w:t>5 划定范围</w:t>
      </w:r>
    </w:p>
    <w:p w14:paraId="4EA02E57">
      <w:pPr>
        <w:spacing w:line="480" w:lineRule="exact"/>
        <w:ind w:firstLine="480" w:firstLineChars="200"/>
      </w:pPr>
      <w:r>
        <w:rPr>
          <w:rFonts w:hint="eastAsia"/>
        </w:rPr>
        <w:t>5.1 饮用水水源保护区</w:t>
      </w:r>
    </w:p>
    <w:p w14:paraId="3A7D4EDC">
      <w:pPr>
        <w:spacing w:line="480" w:lineRule="exact"/>
        <w:ind w:firstLine="480" w:firstLineChars="200"/>
      </w:pPr>
      <w:r>
        <w:rPr>
          <w:rFonts w:hint="eastAsia"/>
        </w:rPr>
        <w:t>包括饮用水水源一级保护区和二级保护区的陆域范围。已经完成饮用水水源保护区划分的，按照现有陆域边界范围执行;未完成饮用水水源保护区划分的，参照《饮用水水源保护区划分技术规范》(HJ/T 338-2007)中各类型饮用水水源保护区划分方法确定。</w:t>
      </w:r>
    </w:p>
    <w:p w14:paraId="5C28AFE0">
      <w:pPr>
        <w:spacing w:line="480" w:lineRule="exact"/>
        <w:ind w:firstLine="480" w:firstLineChars="200"/>
      </w:pPr>
      <w:r>
        <w:rPr>
          <w:rFonts w:hint="eastAsia"/>
        </w:rPr>
        <w:t>其中，饮水水源保护一级保护区内禁止建设养殖场。饮用水水源二级保护区禁止建设有污染物排放的养殖场（注：畜禽粪便、养殖废水、沼渣、沼液等经过无害化处理用作肥料还田，符合法律法规要求以及国家和地方相关标准不造成环境污染的，不属于排放污染物）。</w:t>
      </w:r>
    </w:p>
    <w:p w14:paraId="3A579486">
      <w:pPr>
        <w:spacing w:line="480" w:lineRule="exact"/>
        <w:ind w:firstLine="480" w:firstLineChars="200"/>
      </w:pPr>
      <w:r>
        <w:rPr>
          <w:rFonts w:hint="eastAsia"/>
        </w:rPr>
        <w:t>5.2 自然保护区</w:t>
      </w:r>
    </w:p>
    <w:p w14:paraId="3EC5A414">
      <w:pPr>
        <w:spacing w:line="480" w:lineRule="exact"/>
        <w:ind w:firstLine="480" w:firstLineChars="200"/>
      </w:pPr>
      <w:r>
        <w:rPr>
          <w:rFonts w:hint="eastAsia"/>
        </w:rPr>
        <w:t>包括国家级和地方级自然保护区的核心区和缓冲区，按照各级人民政府公布的自然保护区范围执行。</w:t>
      </w:r>
    </w:p>
    <w:p w14:paraId="432CC1D9">
      <w:pPr>
        <w:spacing w:line="480" w:lineRule="exact"/>
        <w:ind w:firstLine="480" w:firstLineChars="200"/>
      </w:pPr>
      <w:r>
        <w:rPr>
          <w:rFonts w:hint="eastAsia"/>
        </w:rPr>
        <w:t>自然保护区核心区和缓冲区范围内，禁止建设养殖场。</w:t>
      </w:r>
    </w:p>
    <w:p w14:paraId="4A3672DD">
      <w:pPr>
        <w:spacing w:line="480" w:lineRule="exact"/>
        <w:ind w:firstLine="480" w:firstLineChars="200"/>
      </w:pPr>
      <w:r>
        <w:rPr>
          <w:rFonts w:hint="eastAsia"/>
        </w:rPr>
        <w:t>5.3 风景名胜区</w:t>
      </w:r>
    </w:p>
    <w:p w14:paraId="05A91554">
      <w:pPr>
        <w:spacing w:line="480" w:lineRule="exact"/>
        <w:ind w:firstLine="480" w:firstLineChars="200"/>
      </w:pPr>
      <w:r>
        <w:rPr>
          <w:rFonts w:hint="eastAsia"/>
        </w:rPr>
        <w:t>包括国家级和省级风景名胜区，以国务院及省级人民政府批准公布的名单为准，范围按照其规划确定的范围执行。</w:t>
      </w:r>
    </w:p>
    <w:p w14:paraId="136D6F4C">
      <w:pPr>
        <w:spacing w:line="480" w:lineRule="exact"/>
        <w:ind w:firstLine="480" w:firstLineChars="200"/>
      </w:pPr>
      <w:r>
        <w:rPr>
          <w:rFonts w:hint="eastAsia"/>
        </w:rPr>
        <w:t>其中，风景名胜区的核心景区禁止建设养殖场;其他区域禁止建设有污染物排放的养殖场。</w:t>
      </w:r>
    </w:p>
    <w:p w14:paraId="525A2B24">
      <w:pPr>
        <w:spacing w:line="480" w:lineRule="exact"/>
        <w:ind w:firstLine="480" w:firstLineChars="200"/>
      </w:pPr>
      <w:r>
        <w:rPr>
          <w:rFonts w:hint="eastAsia"/>
        </w:rPr>
        <w:t>5.4 城镇居民区和文化教育科学研究区</w:t>
      </w:r>
    </w:p>
    <w:p w14:paraId="6C508589">
      <w:pPr>
        <w:spacing w:line="480" w:lineRule="exact"/>
        <w:ind w:firstLine="480" w:firstLineChars="200"/>
      </w:pPr>
      <w:r>
        <w:rPr>
          <w:rFonts w:hint="eastAsia"/>
        </w:rPr>
        <w:t>根据城镇现行总体规划，动物防疫条件、卫生防护和环境保护要求等，因地制宜，兼顾城镇发展，科学设置边界范围。边界范围内，禁止建设养殖场。</w:t>
      </w:r>
    </w:p>
    <w:p w14:paraId="2EB67397">
      <w:pPr>
        <w:spacing w:line="480" w:lineRule="exact"/>
        <w:ind w:firstLine="480" w:firstLineChars="200"/>
      </w:pPr>
      <w:r>
        <w:rPr>
          <w:rFonts w:hint="eastAsia"/>
        </w:rPr>
        <w:t>5.5 依照法律法规规定应当划定的区域</w:t>
      </w:r>
    </w:p>
    <w:p w14:paraId="6FD40A01">
      <w:pPr>
        <w:spacing w:line="480" w:lineRule="exact"/>
        <w:ind w:firstLine="480" w:firstLineChars="200"/>
      </w:pPr>
      <w:r>
        <w:rPr>
          <w:rFonts w:hint="eastAsia"/>
        </w:rPr>
        <w:t>法律法规规定的其他禁止建设养殖场的区域。</w:t>
      </w:r>
    </w:p>
    <w:p w14:paraId="5A12A54B">
      <w:pPr>
        <w:spacing w:line="480" w:lineRule="exact"/>
        <w:ind w:firstLine="482" w:firstLineChars="200"/>
      </w:pPr>
      <w:r>
        <w:rPr>
          <w:rFonts w:hint="eastAsia"/>
          <w:b/>
          <w:bCs/>
        </w:rPr>
        <w:t>本项目位于宿迁市泗阳县穿城镇向阳村，不在上述禁养区范围内，因此本项目满足《畜禽养殖禁养区划定技术指南》（环办水体〔2016〕99号）相关规定。</w:t>
      </w:r>
    </w:p>
    <w:p w14:paraId="627CAE56">
      <w:pPr>
        <w:pStyle w:val="8"/>
        <w:spacing w:line="480" w:lineRule="exact"/>
      </w:pPr>
      <w:r>
        <w:rPr>
          <w:rFonts w:hint="eastAsia"/>
        </w:rPr>
        <w:t>1.5.3.6与《宿迁市畜禽养殖禁养区划定方案》（宿政发〔2016〕121号）相符性分析</w:t>
      </w:r>
    </w:p>
    <w:p w14:paraId="26DF61A5">
      <w:pPr>
        <w:spacing w:line="480" w:lineRule="exact"/>
        <w:ind w:firstLine="480" w:firstLineChars="200"/>
      </w:pPr>
      <w:r>
        <w:rPr>
          <w:rFonts w:hint="eastAsia"/>
        </w:rPr>
        <w:t>《宿迁市畜禽养殖禁养区划定方案》（宿政发〔2016〕121号）要求，养殖场选址要求如下：</w:t>
      </w:r>
    </w:p>
    <w:p w14:paraId="0B34477B">
      <w:pPr>
        <w:spacing w:line="480" w:lineRule="exact"/>
        <w:ind w:firstLine="480" w:firstLineChars="200"/>
      </w:pPr>
      <w:r>
        <w:rPr>
          <w:rFonts w:hint="eastAsia"/>
        </w:rPr>
        <w:t>（1）生活饮用水源地一、二级保护区和准保护区范围内的区域，以及生活饮用水源区边界向外延伸500米（含500米）范围的区域。</w:t>
      </w:r>
    </w:p>
    <w:p w14:paraId="3D70C327">
      <w:pPr>
        <w:spacing w:line="480" w:lineRule="exact"/>
        <w:ind w:firstLine="480" w:firstLineChars="200"/>
      </w:pPr>
      <w:r>
        <w:rPr>
          <w:rFonts w:hint="eastAsia"/>
        </w:rPr>
        <w:t>（2）与饮用水源地相连通的重要河湖水域洪泽湖、骆马湖、京杭大运河、徐洪河、淮沭新河及堤岸坡脚向外延伸500米（含500米）范围内的区域；风景名胜区。</w:t>
      </w:r>
    </w:p>
    <w:p w14:paraId="7D03AB2D">
      <w:pPr>
        <w:spacing w:line="480" w:lineRule="exact"/>
        <w:ind w:firstLine="480" w:firstLineChars="200"/>
      </w:pPr>
      <w:r>
        <w:rPr>
          <w:rFonts w:hint="eastAsia"/>
        </w:rPr>
        <w:t>（3）城镇居民区、文化教育科学研究区等人口集中区域，以及其规划边界向外延伸500米（含500米）范围的区域。</w:t>
      </w:r>
    </w:p>
    <w:p w14:paraId="6E6674FD">
      <w:pPr>
        <w:spacing w:line="480" w:lineRule="exact"/>
        <w:ind w:firstLine="480" w:firstLineChars="200"/>
      </w:pPr>
      <w:r>
        <w:rPr>
          <w:rFonts w:hint="eastAsia"/>
        </w:rPr>
        <w:t>（4）自然保护区的核心区和缓冲区（核心区和缓冲区的范围按照各自然保护区规划确定）；列入《江苏省生态红线区域保护规划》中宿迁市生态红线以及管控区规划边界范围内的区域。</w:t>
      </w:r>
    </w:p>
    <w:p w14:paraId="21A739FD">
      <w:pPr>
        <w:spacing w:line="480" w:lineRule="exact"/>
        <w:ind w:firstLine="482" w:firstLineChars="200"/>
      </w:pPr>
      <w:r>
        <w:rPr>
          <w:rFonts w:hint="eastAsia"/>
          <w:b/>
          <w:bCs/>
        </w:rPr>
        <w:t>本项目位于宿迁市泗阳县穿城镇向阳村，项目西</w:t>
      </w:r>
      <w:r>
        <w:rPr>
          <w:rFonts w:hint="eastAsia"/>
          <w:b/>
          <w:bCs/>
          <w:lang w:val="en-US" w:eastAsia="zh-CN"/>
        </w:rPr>
        <w:t>北</w:t>
      </w:r>
      <w:r>
        <w:rPr>
          <w:rFonts w:hint="eastAsia"/>
          <w:b/>
          <w:bCs/>
        </w:rPr>
        <w:t>侧厂界60m处存在村庄戴庄</w:t>
      </w:r>
      <w:r>
        <w:rPr>
          <w:rFonts w:hint="eastAsia"/>
          <w:b/>
          <w:bCs/>
          <w:lang w:eastAsia="zh-CN"/>
        </w:rPr>
        <w:t>（</w:t>
      </w:r>
      <w:r>
        <w:rPr>
          <w:rFonts w:hint="eastAsia"/>
          <w:b/>
          <w:bCs/>
          <w:lang w:val="en-US" w:eastAsia="zh-CN"/>
        </w:rPr>
        <w:t>与本项目边界相距145m</w:t>
      </w:r>
      <w:r>
        <w:rPr>
          <w:rFonts w:hint="eastAsia"/>
          <w:b/>
          <w:bCs/>
          <w:lang w:eastAsia="zh-CN"/>
        </w:rPr>
        <w:t>）</w:t>
      </w:r>
      <w:r>
        <w:rPr>
          <w:rFonts w:hint="eastAsia"/>
          <w:b/>
          <w:bCs/>
        </w:rPr>
        <w:t>。根据生态环境部关于养殖场周围村屯不属于城镇集中区的回复，因此项目周围500m范围内无城镇居民区、文化教育科研等人口集中区域。</w:t>
      </w:r>
      <w:r>
        <w:rPr>
          <w:b/>
          <w:bCs/>
        </w:rPr>
        <w:t>因此</w:t>
      </w:r>
      <w:r>
        <w:rPr>
          <w:rFonts w:hint="eastAsia"/>
          <w:b/>
          <w:bCs/>
        </w:rPr>
        <w:t>，项目不在上述禁养区范围内，因此本项目满足宿迁市畜禽养殖禁养区相关规定。</w:t>
      </w:r>
    </w:p>
    <w:p w14:paraId="33B712E0">
      <w:pPr>
        <w:pStyle w:val="8"/>
        <w:spacing w:line="480" w:lineRule="exact"/>
      </w:pPr>
      <w:r>
        <w:t xml:space="preserve">1.5.3.6 </w:t>
      </w:r>
      <w:r>
        <w:rPr>
          <w:rFonts w:ascii="Times New Roman" w:hAnsi="Times New Roman" w:eastAsia="宋体" w:cs="Times New Roman"/>
        </w:rPr>
        <w:t>与《关于泗阳县畜禽养殖禁养区调整划定方案的通知》（泗政办发[2019]98号）相符性分析</w:t>
      </w:r>
    </w:p>
    <w:p w14:paraId="4E349805">
      <w:pPr>
        <w:pStyle w:val="2"/>
        <w:snapToGrid w:val="0"/>
        <w:spacing w:after="0" w:line="480" w:lineRule="exact"/>
        <w:ind w:firstLine="480" w:firstLineChars="200"/>
        <w:rPr>
          <w:rFonts w:asciiTheme="minorHAnsi" w:hAnsiTheme="minorHAnsi" w:eastAsiaTheme="minorEastAsia" w:cstheme="minorBidi"/>
          <w:kern w:val="2"/>
          <w:sz w:val="24"/>
          <w:lang w:val="en-US" w:bidi="ar-SA"/>
        </w:rPr>
      </w:pPr>
      <w:r>
        <w:rPr>
          <w:rFonts w:asciiTheme="minorHAnsi" w:hAnsiTheme="minorHAnsi" w:eastAsiaTheme="minorEastAsia" w:cstheme="minorBidi"/>
          <w:kern w:val="2"/>
          <w:sz w:val="24"/>
          <w:lang w:val="en-US" w:bidi="ar-SA"/>
        </w:rPr>
        <w:t>《</w:t>
      </w:r>
      <w:r>
        <w:rPr>
          <w:rFonts w:hint="eastAsia" w:asciiTheme="minorHAnsi" w:hAnsiTheme="minorHAnsi" w:eastAsiaTheme="minorEastAsia" w:cstheme="minorBidi"/>
          <w:kern w:val="2"/>
          <w:sz w:val="24"/>
          <w:lang w:val="en-US" w:bidi="ar-SA"/>
        </w:rPr>
        <w:t>关于泗阳县</w:t>
      </w:r>
      <w:r>
        <w:rPr>
          <w:rFonts w:asciiTheme="minorHAnsi" w:hAnsiTheme="minorHAnsi" w:eastAsiaTheme="minorEastAsia" w:cstheme="minorBidi"/>
          <w:kern w:val="2"/>
          <w:sz w:val="24"/>
          <w:lang w:val="en-US" w:bidi="ar-SA"/>
        </w:rPr>
        <w:t>畜禽养殖禁养区</w:t>
      </w:r>
      <w:r>
        <w:rPr>
          <w:rFonts w:hint="eastAsia" w:asciiTheme="minorHAnsi" w:hAnsiTheme="minorHAnsi" w:eastAsiaTheme="minorEastAsia" w:cstheme="minorBidi"/>
          <w:kern w:val="2"/>
          <w:sz w:val="24"/>
          <w:lang w:val="en-US" w:bidi="ar-SA"/>
        </w:rPr>
        <w:t>调整划定方案的通知</w:t>
      </w:r>
      <w:r>
        <w:rPr>
          <w:rFonts w:asciiTheme="minorHAnsi" w:hAnsiTheme="minorHAnsi" w:eastAsiaTheme="minorEastAsia" w:cstheme="minorBidi"/>
          <w:kern w:val="2"/>
          <w:sz w:val="24"/>
          <w:lang w:val="en-US" w:bidi="ar-SA"/>
        </w:rPr>
        <w:t>》要求，</w:t>
      </w:r>
      <w:r>
        <w:rPr>
          <w:rFonts w:hint="eastAsia" w:asciiTheme="minorHAnsi" w:hAnsiTheme="minorHAnsi" w:eastAsiaTheme="minorEastAsia" w:cstheme="minorBidi"/>
          <w:kern w:val="2"/>
          <w:sz w:val="24"/>
          <w:lang w:val="en-US" w:bidi="ar-SA"/>
        </w:rPr>
        <w:t>禁养区域</w:t>
      </w:r>
      <w:r>
        <w:rPr>
          <w:rFonts w:asciiTheme="minorHAnsi" w:hAnsiTheme="minorHAnsi" w:eastAsiaTheme="minorEastAsia" w:cstheme="minorBidi"/>
          <w:kern w:val="2"/>
          <w:sz w:val="24"/>
          <w:lang w:val="en-US" w:bidi="ar-SA"/>
        </w:rPr>
        <w:t>：</w:t>
      </w:r>
    </w:p>
    <w:p w14:paraId="2837FE78">
      <w:pPr>
        <w:pStyle w:val="2"/>
        <w:snapToGrid w:val="0"/>
        <w:spacing w:after="0" w:line="480" w:lineRule="exact"/>
        <w:ind w:firstLine="480" w:firstLineChars="200"/>
        <w:rPr>
          <w:rFonts w:asciiTheme="minorHAnsi" w:hAnsiTheme="minorHAnsi" w:eastAsiaTheme="minorEastAsia" w:cstheme="minorBidi"/>
          <w:kern w:val="2"/>
          <w:sz w:val="24"/>
          <w:lang w:val="en-US" w:bidi="ar-SA"/>
        </w:rPr>
      </w:pPr>
      <w:r>
        <w:rPr>
          <w:rFonts w:asciiTheme="minorHAnsi" w:hAnsiTheme="minorHAnsi" w:eastAsiaTheme="minorEastAsia" w:cstheme="minorBidi"/>
          <w:kern w:val="2"/>
          <w:sz w:val="24"/>
          <w:lang w:val="en-US" w:bidi="ar-SA"/>
        </w:rPr>
        <w:t>（1）</w:t>
      </w:r>
      <w:r>
        <w:rPr>
          <w:rFonts w:hint="eastAsia" w:asciiTheme="minorHAnsi" w:hAnsiTheme="minorHAnsi" w:eastAsiaTheme="minorEastAsia" w:cstheme="minorBidi"/>
          <w:kern w:val="2"/>
          <w:sz w:val="24"/>
          <w:lang w:val="en-US" w:bidi="ar-SA"/>
        </w:rPr>
        <w:t>中运河双桥水源地、中运河竹络坝水源地、成子湖卢集水源地一、二级保护区（二级保护区内实现粪污全量资源化不排放污染物的养殖场除外）以及其边界向外延伸500米（含500米）范围内的区域；</w:t>
      </w:r>
    </w:p>
    <w:p w14:paraId="0B80DFE5">
      <w:pPr>
        <w:pStyle w:val="2"/>
        <w:snapToGrid w:val="0"/>
        <w:spacing w:after="0" w:line="480" w:lineRule="exact"/>
        <w:ind w:firstLine="480" w:firstLineChars="200"/>
        <w:rPr>
          <w:rFonts w:asciiTheme="minorHAnsi" w:hAnsiTheme="minorHAnsi" w:eastAsiaTheme="minorEastAsia" w:cstheme="minorBidi"/>
          <w:kern w:val="2"/>
          <w:sz w:val="24"/>
          <w:lang w:val="en-US" w:bidi="ar-SA"/>
        </w:rPr>
      </w:pPr>
      <w:r>
        <w:rPr>
          <w:rFonts w:asciiTheme="minorHAnsi" w:hAnsiTheme="minorHAnsi" w:eastAsiaTheme="minorEastAsia" w:cstheme="minorBidi"/>
          <w:kern w:val="2"/>
          <w:sz w:val="24"/>
          <w:lang w:val="en-US" w:bidi="ar-SA"/>
        </w:rPr>
        <w:t>（2）</w:t>
      </w:r>
      <w:r>
        <w:rPr>
          <w:rFonts w:hint="eastAsia" w:asciiTheme="minorHAnsi" w:hAnsiTheme="minorHAnsi" w:eastAsiaTheme="minorEastAsia" w:cstheme="minorBidi"/>
          <w:kern w:val="2"/>
          <w:sz w:val="24"/>
          <w:lang w:val="en-US" w:bidi="ar-SA"/>
        </w:rPr>
        <w:t>城市建成区、镇政府所在地、文化教育科学研究区等人口集中区域，以及其边界向外延伸500米（含500米）范围内的区域；</w:t>
      </w:r>
    </w:p>
    <w:p w14:paraId="073420AB">
      <w:pPr>
        <w:pStyle w:val="2"/>
        <w:snapToGrid w:val="0"/>
        <w:spacing w:after="0" w:line="480" w:lineRule="exact"/>
        <w:ind w:firstLine="480" w:firstLineChars="200"/>
        <w:rPr>
          <w:rFonts w:asciiTheme="minorHAnsi" w:hAnsiTheme="minorHAnsi" w:eastAsiaTheme="minorEastAsia" w:cstheme="minorBidi"/>
          <w:kern w:val="2"/>
          <w:sz w:val="24"/>
          <w:lang w:val="en-US" w:bidi="ar-SA"/>
        </w:rPr>
      </w:pPr>
      <w:r>
        <w:rPr>
          <w:rFonts w:asciiTheme="minorHAnsi" w:hAnsiTheme="minorHAnsi" w:eastAsiaTheme="minorEastAsia" w:cstheme="minorBidi"/>
          <w:kern w:val="2"/>
          <w:sz w:val="24"/>
          <w:lang w:val="en-US" w:bidi="ar-SA"/>
        </w:rPr>
        <w:t>（</w:t>
      </w:r>
      <w:r>
        <w:rPr>
          <w:rFonts w:hint="eastAsia" w:asciiTheme="minorHAnsi" w:hAnsiTheme="minorHAnsi" w:eastAsiaTheme="minorEastAsia" w:cstheme="minorBidi"/>
          <w:kern w:val="2"/>
          <w:sz w:val="24"/>
          <w:lang w:val="en-US" w:bidi="ar-SA"/>
        </w:rPr>
        <w:t>3</w:t>
      </w:r>
      <w:r>
        <w:rPr>
          <w:rFonts w:asciiTheme="minorHAnsi" w:hAnsiTheme="minorHAnsi" w:eastAsiaTheme="minorEastAsia" w:cstheme="minorBidi"/>
          <w:kern w:val="2"/>
          <w:sz w:val="24"/>
          <w:lang w:val="en-US" w:bidi="ar-SA"/>
        </w:rPr>
        <w:t>）法律法规规定的其他禁止建设养殖场的区域。</w:t>
      </w:r>
    </w:p>
    <w:p w14:paraId="5F772495">
      <w:pPr>
        <w:spacing w:line="480" w:lineRule="exact"/>
        <w:ind w:firstLine="482" w:firstLineChars="200"/>
        <w:rPr>
          <w:b/>
          <w:bCs/>
        </w:rPr>
      </w:pPr>
      <w:r>
        <w:rPr>
          <w:rFonts w:hint="eastAsia"/>
          <w:b/>
          <w:bCs/>
        </w:rPr>
        <w:t>本项目位于宿迁市泗阳县穿城镇向阳村，均</w:t>
      </w:r>
      <w:r>
        <w:rPr>
          <w:b/>
          <w:bCs/>
        </w:rPr>
        <w:t>不</w:t>
      </w:r>
      <w:r>
        <w:rPr>
          <w:rFonts w:hint="eastAsia"/>
          <w:b/>
          <w:bCs/>
        </w:rPr>
        <w:t>在</w:t>
      </w:r>
      <w:r>
        <w:rPr>
          <w:b/>
          <w:bCs/>
        </w:rPr>
        <w:t>上述禁养区范围内，</w:t>
      </w:r>
      <w:r>
        <w:rPr>
          <w:rFonts w:hint="eastAsia"/>
          <w:b/>
          <w:bCs/>
        </w:rPr>
        <w:t>项目</w:t>
      </w:r>
      <w:r>
        <w:rPr>
          <w:b/>
          <w:bCs/>
        </w:rPr>
        <w:t>距离最近的</w:t>
      </w:r>
      <w:r>
        <w:rPr>
          <w:rFonts w:hint="eastAsia"/>
          <w:b/>
          <w:bCs/>
        </w:rPr>
        <w:t>禁养区</w:t>
      </w:r>
      <w:r>
        <w:rPr>
          <w:b/>
          <w:bCs/>
        </w:rPr>
        <w:t>为</w:t>
      </w:r>
      <w:r>
        <w:rPr>
          <w:rFonts w:hint="eastAsia"/>
          <w:b/>
          <w:bCs/>
        </w:rPr>
        <w:t>穿城</w:t>
      </w:r>
      <w:r>
        <w:rPr>
          <w:b/>
          <w:bCs/>
        </w:rPr>
        <w:t>镇，距离</w:t>
      </w:r>
      <w:r>
        <w:rPr>
          <w:rFonts w:hint="eastAsia"/>
          <w:b/>
          <w:bCs/>
        </w:rPr>
        <w:t>穿城</w:t>
      </w:r>
      <w:r>
        <w:rPr>
          <w:b/>
          <w:bCs/>
        </w:rPr>
        <w:t>禁养区</w:t>
      </w:r>
      <w:r>
        <w:rPr>
          <w:rFonts w:hint="eastAsia"/>
          <w:b/>
          <w:bCs/>
        </w:rPr>
        <w:t>1410m，</w:t>
      </w:r>
      <w:r>
        <w:rPr>
          <w:b/>
          <w:bCs/>
        </w:rPr>
        <w:t>因此，</w:t>
      </w:r>
      <w:r>
        <w:rPr>
          <w:rFonts w:hint="eastAsia"/>
          <w:b/>
          <w:bCs/>
        </w:rPr>
        <w:t>本项目能够满足《</w:t>
      </w:r>
      <w:r>
        <w:rPr>
          <w:rFonts w:hint="eastAsia"/>
          <w:b/>
          <w:bCs/>
          <w:color w:val="000000"/>
          <w:szCs w:val="24"/>
        </w:rPr>
        <w:t>关于泗阳县</w:t>
      </w:r>
      <w:r>
        <w:rPr>
          <w:b/>
          <w:bCs/>
          <w:color w:val="000000"/>
          <w:szCs w:val="24"/>
        </w:rPr>
        <w:t>畜禽养殖禁养区</w:t>
      </w:r>
      <w:r>
        <w:rPr>
          <w:rFonts w:hint="eastAsia"/>
          <w:b/>
          <w:bCs/>
          <w:color w:val="000000"/>
          <w:szCs w:val="24"/>
        </w:rPr>
        <w:t>调整划定方案的通知</w:t>
      </w:r>
      <w:r>
        <w:rPr>
          <w:rFonts w:hint="eastAsia"/>
          <w:b/>
          <w:bCs/>
        </w:rPr>
        <w:t>》的相关规定。</w:t>
      </w:r>
    </w:p>
    <w:p w14:paraId="09D858F9">
      <w:pPr>
        <w:pStyle w:val="7"/>
        <w:spacing w:line="480" w:lineRule="exact"/>
      </w:pPr>
      <w:r>
        <w:rPr>
          <w:rFonts w:hint="eastAsia"/>
        </w:rPr>
        <w:t>1</w:t>
      </w:r>
      <w:r>
        <w:t xml:space="preserve">.5.4 </w:t>
      </w:r>
      <w:r>
        <w:rPr>
          <w:rFonts w:hint="eastAsia"/>
        </w:rPr>
        <w:t>相关行业要求相符性分析</w:t>
      </w:r>
    </w:p>
    <w:p w14:paraId="3BD32252">
      <w:pPr>
        <w:pStyle w:val="8"/>
        <w:spacing w:line="480" w:lineRule="exact"/>
      </w:pPr>
      <w:r>
        <w:rPr>
          <w:rFonts w:hint="eastAsia"/>
        </w:rPr>
        <w:t>1</w:t>
      </w:r>
      <w:r>
        <w:t xml:space="preserve">.5.4.1 </w:t>
      </w:r>
      <w:r>
        <w:rPr>
          <w:rFonts w:hint="eastAsia"/>
        </w:rPr>
        <w:t>与《动物防疫法》相符性分析</w:t>
      </w:r>
    </w:p>
    <w:p w14:paraId="5AD4A307">
      <w:pPr>
        <w:spacing w:line="480" w:lineRule="exact"/>
        <w:ind w:firstLine="480" w:firstLineChars="200"/>
      </w:pPr>
      <w:r>
        <w:rPr>
          <w:rFonts w:hint="eastAsia"/>
        </w:rPr>
        <w:t>根据《动物防疫法》（2021年1月22日修订）文件要求：</w:t>
      </w:r>
    </w:p>
    <w:p w14:paraId="4F0803DA">
      <w:pPr>
        <w:spacing w:line="480" w:lineRule="exact"/>
        <w:ind w:firstLine="480" w:firstLineChars="200"/>
      </w:pPr>
      <w:r>
        <w:rPr>
          <w:rFonts w:hint="eastAsia"/>
        </w:rPr>
        <w:t>第十七条　饲养动物的单位和个人应当履行动物疫病强制免疫义务，按照强制免疫计划和技术规范，对动物实施免疫接种，并按照国家有关规定建立免疫档案、加施畜禽标识，保证可追溯。</w:t>
      </w:r>
    </w:p>
    <w:p w14:paraId="1D15AD96">
      <w:pPr>
        <w:spacing w:line="480" w:lineRule="exact"/>
        <w:ind w:firstLine="480" w:firstLineChars="200"/>
      </w:pPr>
      <w:r>
        <w:rPr>
          <w:rFonts w:hint="eastAsia"/>
        </w:rPr>
        <w:t>实施强制免疫接种的动物未达到免疫质量要求，实施补充免疫接种后仍不符合免疫质量要求的，有关单位和个人应当按照国家有关规定处理。</w:t>
      </w:r>
    </w:p>
    <w:p w14:paraId="36108D49">
      <w:pPr>
        <w:spacing w:line="480" w:lineRule="exact"/>
        <w:ind w:firstLine="480" w:firstLineChars="200"/>
      </w:pPr>
      <w:r>
        <w:rPr>
          <w:rFonts w:hint="eastAsia"/>
        </w:rPr>
        <w:t>用于预防接种的疫苗应当符合国家质量标准。</w:t>
      </w:r>
    </w:p>
    <w:p w14:paraId="672BF09F">
      <w:pPr>
        <w:spacing w:line="480" w:lineRule="exact"/>
        <w:ind w:firstLine="480" w:firstLineChars="200"/>
      </w:pPr>
      <w:r>
        <w:rPr>
          <w:rFonts w:hint="eastAsia"/>
        </w:rPr>
        <w:t>第二十三条　种用、乳用动物应当符合国务院农业农村主管部门规定的健康标准。</w:t>
      </w:r>
    </w:p>
    <w:p w14:paraId="5A43815F">
      <w:pPr>
        <w:spacing w:line="480" w:lineRule="exact"/>
        <w:ind w:firstLine="480" w:firstLineChars="200"/>
      </w:pPr>
      <w:r>
        <w:rPr>
          <w:rFonts w:hint="eastAsia"/>
        </w:rPr>
        <w:t>饲养种用、乳用动物的单位和个人，应当按照国务院农业农村主管部门的要求，定期开展动物疫病检测；检测不合格的，应当按照国家有关规定处理。</w:t>
      </w:r>
    </w:p>
    <w:p w14:paraId="4A8A86AD">
      <w:pPr>
        <w:spacing w:line="480" w:lineRule="exact"/>
        <w:ind w:firstLine="480" w:firstLineChars="200"/>
      </w:pPr>
      <w:r>
        <w:rPr>
          <w:rFonts w:hint="eastAsia"/>
        </w:rPr>
        <w:t>第二十四条　动物饲养场和隔离场所、动物屠宰加工场所以及动物和动物产品无害化处理场所，应当符合下列动物防疫条件：（一）场所的位置与居民生活区、生活饮用水水源地、学校、医院等公共场所的距离符合国务院农业农村主管部门的规定；（二）生产经营区域封闭隔离，工程设计和有关流程符合动物防疫要求；（三）有与其规模相适应的污水、污物处理设施，病死动物、病害动物产品无害化处理设施设备或者冷藏冷冻设施设备，以及清洗消毒设施设备；（四）有与其规模相适应的执业兽医或者动物防疫技术人员；（五）有完善的隔离消毒、购销台账、日常巡查等动物防疫制度；（六）具备国务院农业农村主管部门规定的其他动物防疫条件。</w:t>
      </w:r>
    </w:p>
    <w:p w14:paraId="483DFBB7">
      <w:pPr>
        <w:spacing w:line="480" w:lineRule="exact"/>
        <w:ind w:firstLine="480" w:firstLineChars="200"/>
      </w:pPr>
      <w:r>
        <w:rPr>
          <w:rFonts w:hint="eastAsia"/>
        </w:rPr>
        <w:t>动物和动物产品无害化处理场所除应当符合前款规定的条件外，还应当具有病原检测设备、检测能力和符合动物防疫要求的专用运输车辆。</w:t>
      </w:r>
    </w:p>
    <w:p w14:paraId="7504320A">
      <w:pPr>
        <w:spacing w:line="480" w:lineRule="exact"/>
        <w:ind w:firstLine="480" w:firstLineChars="200"/>
      </w:pPr>
      <w:r>
        <w:rPr>
          <w:rFonts w:hint="eastAsia"/>
        </w:rPr>
        <w:t>第二十五条　国家实行动物防疫条件审查制度</w:t>
      </w:r>
    </w:p>
    <w:p w14:paraId="0ADF1DA5">
      <w:pPr>
        <w:spacing w:line="480" w:lineRule="exact"/>
        <w:ind w:firstLine="480" w:firstLineChars="200"/>
      </w:pPr>
      <w:r>
        <w:rPr>
          <w:rFonts w:hint="eastAsia"/>
        </w:rPr>
        <w:t>开办动物饲养场和隔离场所、动物屠宰加工场所以及动物和动物产品无害化处理场所，应当向县级以上地方人民政府农业农村主管部门提出申请，并附具相关材料。受理申请的农业农村主管部门应当依照本法和《中华人民共和国行政许可法》的规定进行审查。经审查合格的，发给动物防疫条件合格证；不合格的，应当通知申请人并说明理由。</w:t>
      </w:r>
    </w:p>
    <w:p w14:paraId="2596E45C">
      <w:pPr>
        <w:spacing w:line="480" w:lineRule="exact"/>
        <w:ind w:firstLine="480" w:firstLineChars="200"/>
      </w:pPr>
      <w:r>
        <w:rPr>
          <w:rFonts w:hint="eastAsia"/>
        </w:rPr>
        <w:t>动物防疫条件合格证应当载明申请人的名称（姓名）、场（厂）址、动物（动物产品）种类等事项。</w:t>
      </w:r>
    </w:p>
    <w:p w14:paraId="34A04CD3">
      <w:pPr>
        <w:spacing w:line="480" w:lineRule="exact"/>
        <w:ind w:firstLine="480" w:firstLineChars="200"/>
      </w:pPr>
      <w:r>
        <w:rPr>
          <w:rFonts w:hint="eastAsia"/>
        </w:rPr>
        <w:t>第二十七条　动物、动物产品的运载工具、垫料、包装物、容器等应当符合国务院农业农村主管部门规定的动物防疫要求。</w:t>
      </w:r>
    </w:p>
    <w:p w14:paraId="140E6171">
      <w:pPr>
        <w:spacing w:line="480" w:lineRule="exact"/>
        <w:ind w:firstLine="480" w:firstLineChars="200"/>
      </w:pPr>
      <w:r>
        <w:rPr>
          <w:rFonts w:hint="eastAsia"/>
        </w:rPr>
        <w:t>染疫动物及其排泄物、染疫动物产品，运载工具中的动物排泄物以及垫料、包装物、容器等被污染的物品，应当按照国家有关规定处理，不得随意处置。</w:t>
      </w:r>
    </w:p>
    <w:p w14:paraId="565A95D8">
      <w:pPr>
        <w:spacing w:line="480" w:lineRule="exact"/>
        <w:ind w:firstLine="480" w:firstLineChars="200"/>
      </w:pPr>
      <w:r>
        <w:rPr>
          <w:rFonts w:hint="eastAsia"/>
        </w:rPr>
        <w:t>第二十八条　采集、保存、运输动物病料或者病原微生物以及从事病原微生物研究、教学、检测、诊断等活动，应当遵守国家有关病原微生物实验室管理的规定。</w:t>
      </w:r>
    </w:p>
    <w:p w14:paraId="20728350">
      <w:pPr>
        <w:spacing w:line="480" w:lineRule="exact"/>
        <w:ind w:firstLine="480" w:firstLineChars="200"/>
      </w:pPr>
      <w:r>
        <w:rPr>
          <w:rFonts w:hint="eastAsia"/>
        </w:rPr>
        <w:t>第二十九条　禁止屠宰、经营、运输下列动物和生产、经营、加工、贮藏、运输下列动物产品：</w:t>
      </w:r>
    </w:p>
    <w:p w14:paraId="1DB72BE7">
      <w:pPr>
        <w:spacing w:line="480" w:lineRule="exact"/>
        <w:ind w:firstLine="480" w:firstLineChars="200"/>
      </w:pPr>
      <w:r>
        <w:rPr>
          <w:rFonts w:hint="eastAsia"/>
        </w:rPr>
        <w:t>（一）封锁疫区内与所发生动物疫病有关的；（二）疫区内易感染的；（三）依法应当检疫而未经检疫或者检疫不合格的；（四）染疫或者疑似染疫的；（五）病死或者死因不明的；（六）其他不符合国务院农业农村主管部门有关动物防疫规定的。</w:t>
      </w:r>
    </w:p>
    <w:p w14:paraId="7F4302BA">
      <w:pPr>
        <w:spacing w:line="480" w:lineRule="exact"/>
        <w:ind w:firstLine="482" w:firstLineChars="200"/>
        <w:rPr>
          <w:b/>
          <w:bCs/>
        </w:rPr>
      </w:pPr>
      <w:r>
        <w:rPr>
          <w:rFonts w:hint="eastAsia"/>
          <w:b/>
          <w:bCs/>
        </w:rPr>
        <w:t>本项目鸡苗进场前已集中进行过免疫，养殖过程中严格落实相关免疫、消毒等措施，本项目养殖场500m范围内无城镇居民、生活饮用水源地及学校等其他敏感区，生产区封闭隔离并配有废水预处理设施和废气处理措施，达到相应排放标准。本项目病死鸡无害化处置，医疗废物等危险废物委托有资质单位进行处置，鸡粪委托相关单位综合利用，其他一般固废均妥善处置。因此，本项目符合《动物防疫法》相关要求。</w:t>
      </w:r>
    </w:p>
    <w:p w14:paraId="39C16854">
      <w:pPr>
        <w:pStyle w:val="8"/>
        <w:spacing w:line="480" w:lineRule="exact"/>
      </w:pPr>
      <w:r>
        <w:rPr>
          <w:rFonts w:hint="eastAsia"/>
        </w:rPr>
        <w:t>1</w:t>
      </w:r>
      <w:r>
        <w:t>.5.4.</w:t>
      </w:r>
      <w:r>
        <w:rPr>
          <w:rFonts w:hint="eastAsia"/>
        </w:rPr>
        <w:t>2与《关于规范设施农业用地管理支持设施农业健康发展的通知》（苏自然资规发</w:t>
      </w:r>
      <w:r>
        <w:rPr>
          <w:rFonts w:hint="eastAsia" w:ascii="宋体" w:hAnsi="宋体" w:eastAsia="宋体"/>
        </w:rPr>
        <w:t>〔</w:t>
      </w:r>
      <w:r>
        <w:rPr>
          <w:rFonts w:hint="eastAsia"/>
        </w:rPr>
        <w:t>2020</w:t>
      </w:r>
      <w:r>
        <w:rPr>
          <w:rFonts w:hint="eastAsia" w:ascii="宋体" w:hAnsi="宋体" w:eastAsia="宋体"/>
        </w:rPr>
        <w:t>〕</w:t>
      </w:r>
      <w:r>
        <w:rPr>
          <w:rFonts w:hint="eastAsia"/>
        </w:rPr>
        <w:t>3号）相符性分析</w:t>
      </w:r>
    </w:p>
    <w:p w14:paraId="2CDEDBF9">
      <w:pPr>
        <w:spacing w:line="480" w:lineRule="exact"/>
        <w:ind w:firstLine="480" w:firstLineChars="200"/>
      </w:pPr>
      <w:r>
        <w:rPr>
          <w:rFonts w:hint="eastAsia"/>
        </w:rPr>
        <w:t>根据《关于规范设施农业用地管理支持设施农业健康发展的通知》（苏自然资规发</w:t>
      </w:r>
      <w:r>
        <w:rPr>
          <w:rFonts w:hint="eastAsia" w:ascii="宋体" w:hAnsi="宋体" w:eastAsia="宋体"/>
        </w:rPr>
        <w:t>〔</w:t>
      </w:r>
      <w:r>
        <w:rPr>
          <w:rFonts w:hint="eastAsia"/>
        </w:rPr>
        <w:t>2020</w:t>
      </w:r>
      <w:r>
        <w:rPr>
          <w:rFonts w:hint="eastAsia" w:ascii="宋体" w:hAnsi="宋体" w:eastAsia="宋体"/>
        </w:rPr>
        <w:t>〕</w:t>
      </w:r>
      <w:r>
        <w:rPr>
          <w:rFonts w:hint="eastAsia"/>
        </w:rPr>
        <w:t>3号）：设施农业用地包括农业生产中直接用于作物种植和畜禽水产养殖的生产设施用地以及与农业生产直接关联的附属或配套设施用地。（一）生产设施用地 2、畜禽养殖生产设施用地。包括养殖畜禽舍（含引种、隔离舍、孵化厅、运动场、挤奶厅等），绿化隔离带，进排水渠道，以及为生产服务的看护房用地等。（二）直接关联的附属（配套）设施用地 2、与畜禽养殖类直接关联的附属（配套）设施用地。畜禽养殖粪污、垫料、病死畜禽等养殖废弃物收集、存储、处理和利用，检验检疫监测、洗消、转运、动物疫病防控等设施用地，养殖场自用饲草饲料生产及饲料输送设施用地。三、设施农业用地使用和管理（一）严格设施农业用地农地农用。设施农业属于农业内部结构调整，不需办理农用地转用审批手续，可以使用一般耕地，不需落实占补平衡。设施农业用地被非农建设占用的，应依法办理建设用地审批手续，原地类为耕地的，应落实占补平衡。要严格设施农业用地用途管制，不得改变其农业用途，禁止将设施农业用地用于其他非农建设或非农经营，不得擅自扩大设施农业用地范围。</w:t>
      </w:r>
    </w:p>
    <w:p w14:paraId="3B2C19D2">
      <w:pPr>
        <w:spacing w:line="490" w:lineRule="exact"/>
        <w:ind w:firstLine="482" w:firstLineChars="200"/>
        <w:rPr>
          <w:b/>
          <w:bCs/>
        </w:rPr>
      </w:pPr>
      <w:r>
        <w:rPr>
          <w:rFonts w:hint="eastAsia"/>
          <w:b/>
          <w:bCs/>
        </w:rPr>
        <w:t>本项目为畜禽养殖项目，用地包含畜禽养殖生产设施用地和与畜禽养殖类直接关联的附属（配套）设施用地。建设地点位于宿迁市泗阳县穿城镇向阳村，项目占地为一般农地，符合《关于规范设施农业用地管理支持设施农业健康发展的通知》（苏自然资规发</w:t>
      </w:r>
      <w:r>
        <w:rPr>
          <w:rFonts w:hint="eastAsia" w:ascii="宋体" w:hAnsi="宋体" w:eastAsia="宋体"/>
          <w:b/>
          <w:bCs/>
        </w:rPr>
        <w:t>〔</w:t>
      </w:r>
      <w:r>
        <w:rPr>
          <w:rFonts w:hint="eastAsia"/>
          <w:b/>
          <w:bCs/>
        </w:rPr>
        <w:t>2020</w:t>
      </w:r>
      <w:r>
        <w:rPr>
          <w:rFonts w:hint="eastAsia" w:ascii="宋体" w:hAnsi="宋体" w:eastAsia="宋体"/>
          <w:b/>
          <w:bCs/>
        </w:rPr>
        <w:t>〕</w:t>
      </w:r>
      <w:r>
        <w:rPr>
          <w:rFonts w:hint="eastAsia"/>
          <w:b/>
          <w:bCs/>
        </w:rPr>
        <w:t>3号）的相关规定。</w:t>
      </w:r>
    </w:p>
    <w:p w14:paraId="3AF64A4C">
      <w:pPr>
        <w:pStyle w:val="7"/>
        <w:spacing w:line="490" w:lineRule="exact"/>
      </w:pPr>
      <w:r>
        <w:rPr>
          <w:rFonts w:hint="eastAsia"/>
        </w:rPr>
        <w:t>1</w:t>
      </w:r>
      <w:r>
        <w:t xml:space="preserve">.5.5 </w:t>
      </w:r>
      <w:r>
        <w:rPr>
          <w:rFonts w:hint="eastAsia"/>
        </w:rPr>
        <w:t>粪污利用要求相符性分析</w:t>
      </w:r>
    </w:p>
    <w:p w14:paraId="558D1EA5">
      <w:pPr>
        <w:pStyle w:val="8"/>
        <w:spacing w:line="490" w:lineRule="exact"/>
      </w:pPr>
      <w:r>
        <w:rPr>
          <w:rFonts w:hint="eastAsia"/>
        </w:rPr>
        <w:t>1</w:t>
      </w:r>
      <w:r>
        <w:t>.5.5.1 与</w:t>
      </w:r>
      <w:r>
        <w:rPr>
          <w:rFonts w:hint="eastAsia"/>
        </w:rPr>
        <w:t>《畜禽养殖业污染治理工程技术规范》（HJ 497-2009）相符性分析</w:t>
      </w:r>
    </w:p>
    <w:p w14:paraId="79F75EF6">
      <w:pPr>
        <w:spacing w:line="490" w:lineRule="exact"/>
        <w:ind w:firstLine="480" w:firstLineChars="200"/>
      </w:pPr>
      <w:r>
        <w:rPr>
          <w:rFonts w:hint="eastAsia"/>
        </w:rPr>
        <w:t>根据《畜禽养殖业污染治理工程技术规范》（HJ 497-2009）文件要求：</w:t>
      </w:r>
      <w:r>
        <w:rPr>
          <w:rFonts w:hint="eastAsia" w:ascii="宋体" w:hAnsi="宋体" w:eastAsia="宋体" w:cs="宋体"/>
        </w:rPr>
        <w:t>①</w:t>
      </w:r>
      <w:r>
        <w:t xml:space="preserve">畜禽养殖业污染治理工程应与养殖场生产区、居民区等建筑保持一定的卫生防护距离，设置在畜禽养殖场的生产区、生活区主导风向的下风向或侧风向处； </w:t>
      </w:r>
      <w:r>
        <w:rPr>
          <w:rFonts w:hint="eastAsia" w:ascii="宋体" w:hAnsi="宋体" w:eastAsia="宋体" w:cs="宋体"/>
        </w:rPr>
        <w:t>②</w:t>
      </w:r>
      <w:r>
        <w:t>畜禽养殖业污染治理工程的位置应有利于排放、资源化利用和运输，并留有扩建的余地，方便施工、运行和维护。</w:t>
      </w:r>
      <w:r>
        <w:rPr>
          <w:rFonts w:hint="eastAsia" w:ascii="宋体" w:hAnsi="宋体" w:eastAsia="宋体" w:cs="宋体"/>
        </w:rPr>
        <w:t>③</w:t>
      </w:r>
      <w:r>
        <w:t>畜禽养殖废水不得排入敏感水域和有特殊功能的水域，排放去向应符合国家和地方的有关规定。排放水质应满足 GB18596</w:t>
      </w:r>
      <w:r>
        <w:rPr>
          <w:rFonts w:hint="eastAsia"/>
        </w:rPr>
        <w:t>-</w:t>
      </w:r>
      <w:r>
        <w:t>2001 或有关地方污染物排放标准的规定；处理后用于农田灌溉的，出水水质应满足 GB5084 的规定。</w:t>
      </w:r>
    </w:p>
    <w:p w14:paraId="52089024">
      <w:pPr>
        <w:spacing w:line="490" w:lineRule="exact"/>
        <w:ind w:firstLine="482" w:firstLineChars="200"/>
        <w:rPr>
          <w:b/>
          <w:bCs/>
        </w:rPr>
      </w:pPr>
      <w:r>
        <w:rPr>
          <w:b/>
          <w:bCs/>
        </w:rPr>
        <w:t>本项目粪污处理区各污染治理工程均与养殖区、生活区等建筑保持了一定的距离，并位于生产区和生活区主导风向的侧风向；上述污染治理工程的位置利于排放、资源利用和运输，并留有扩建的余地，方便施工、运行和维护；</w:t>
      </w:r>
      <w:r>
        <w:rPr>
          <w:rFonts w:hint="eastAsia"/>
          <w:b/>
          <w:bCs/>
        </w:rPr>
        <w:t>项目废水经厂内污水站处理后进入尾水收集池用于农田灌溉</w:t>
      </w:r>
      <w:r>
        <w:rPr>
          <w:b/>
          <w:bCs/>
        </w:rPr>
        <w:t>，不外排。</w:t>
      </w:r>
    </w:p>
    <w:p w14:paraId="30F6CEC5">
      <w:pPr>
        <w:pStyle w:val="8"/>
        <w:spacing w:line="490" w:lineRule="exact"/>
      </w:pPr>
      <w:r>
        <w:rPr>
          <w:rFonts w:hint="eastAsia"/>
        </w:rPr>
        <w:t>1.5.5.2与《畜禽粪便无害化处理技术规范》（GB/T 36195）相符性分析</w:t>
      </w:r>
    </w:p>
    <w:p w14:paraId="5C9887E5">
      <w:pPr>
        <w:spacing w:line="490" w:lineRule="exact"/>
        <w:ind w:firstLine="480" w:firstLineChars="200"/>
      </w:pPr>
      <w:r>
        <w:rPr>
          <w:rFonts w:hint="eastAsia"/>
        </w:rPr>
        <w:t>根据《畜禽粪便无害化处理技术规范》（GB/T 36195）文件要求：4.1 新建、扩建和改建畜禽养殖场和养殖小区应设置粪污处理区，建设畜禽粪便处理设施；没有粪污处理设施的应补建；5.1 不应在下列区域内建设畜禽粪便处理场：a）生活饮用水水源保护区、风景名胜区、自然保护区的核心区及缓冲区；b）城市和城镇居民区，包括文教科研、医疗、商业和工业等人口集中地区；c）县级及县级以上人民政府依法划定的禁养区域；d）国家或地方法律、法规规定需特殊保护的其他区域；6.1 畜禽生产过程宜采用干清粪工艺，实施雨污分流，减少污染物排放量。</w:t>
      </w:r>
    </w:p>
    <w:p w14:paraId="3B61B1B2">
      <w:pPr>
        <w:spacing w:line="490" w:lineRule="exact"/>
        <w:ind w:firstLine="482" w:firstLineChars="200"/>
        <w:rPr>
          <w:b/>
          <w:bCs/>
        </w:rPr>
      </w:pPr>
      <w:r>
        <w:rPr>
          <w:rFonts w:hint="eastAsia"/>
          <w:b/>
          <w:bCs/>
        </w:rPr>
        <w:t>本项目选址位于宿迁市泗阳县穿城镇向阳村，周边为农田，无生活饮用水、风景名胜区、城镇居民区等需要特殊保护的区域；本项目养殖过程采用干清粪技术，鸡粪日产日清，外售综合利用。因此，本项目粪污处置符合《畜禽粪便无害化处理技术规范》相关要求。</w:t>
      </w:r>
    </w:p>
    <w:p w14:paraId="142B1C75">
      <w:pPr>
        <w:pStyle w:val="8"/>
        <w:spacing w:line="490" w:lineRule="exact"/>
      </w:pPr>
      <w:r>
        <w:rPr>
          <w:rFonts w:hint="eastAsia"/>
        </w:rPr>
        <w:t>1.5.5.3 与《关于进一步明确畜禽粪污还田利用要求强化养殖污染监管的通知》（农办牧〔2020〕23号）相符性分析</w:t>
      </w:r>
    </w:p>
    <w:p w14:paraId="74BB2952">
      <w:pPr>
        <w:spacing w:line="490" w:lineRule="exact"/>
        <w:ind w:firstLine="480" w:firstLineChars="200"/>
      </w:pPr>
      <w:r>
        <w:rPr>
          <w:rFonts w:hint="eastAsia"/>
        </w:rPr>
        <w:t>根据《关于进一步明确畜禽粪污还田利用要求强化养殖污染监管的通知》（农办牧〔2020〕23号）中治理畜禽养殖污染相关要求：</w:t>
      </w:r>
    </w:p>
    <w:p w14:paraId="6DF03F18">
      <w:pPr>
        <w:spacing w:line="490" w:lineRule="exact"/>
        <w:ind w:firstLine="480" w:firstLineChars="200"/>
      </w:pPr>
      <w:r>
        <w:rPr>
          <w:rFonts w:hint="eastAsia"/>
        </w:rPr>
        <w:t>二、加强事中事后监管</w:t>
      </w:r>
    </w:p>
    <w:p w14:paraId="6FC884B0">
      <w:pPr>
        <w:spacing w:line="490" w:lineRule="exact"/>
        <w:ind w:firstLine="480" w:firstLineChars="200"/>
      </w:pPr>
      <w:r>
        <w:rPr>
          <w:rFonts w:hint="eastAsia"/>
        </w:rPr>
        <w:t>（一）落实养殖场户主体责任。养殖场户应当切实履行粪污利用和污染防治主体责任，采取措施，对畜禽粪污进行科学处理和资源化利用，防止污染环境。从事畜禽规模养殖要严格落实《中华人民共和国固体废物污染环境防治法》《中华人民共和国水污染防治法》《畜禽规模养殖污染防治条例》要求，建设粪污无害化处理和资源化利用设施并确保其正常运行，或委托第三方代为实现粪污无害化处理和资源化利用。对畜禽规模养殖污染防治设施配套不到位，粪污未经无害化处理直接还田或向环境排放，不符合国家和地方排放标准的，农业农村部门要加强技术指导和服务，生态环境部门要依法查处。</w:t>
      </w:r>
    </w:p>
    <w:p w14:paraId="141B1335">
      <w:pPr>
        <w:spacing w:line="490" w:lineRule="exact"/>
        <w:ind w:firstLine="482" w:firstLineChars="200"/>
        <w:rPr>
          <w:b/>
          <w:bCs/>
        </w:rPr>
      </w:pPr>
      <w:r>
        <w:rPr>
          <w:rFonts w:hint="eastAsia"/>
          <w:b/>
          <w:bCs/>
        </w:rPr>
        <w:t>本项目对病死鸡采用无害化处理，项目废水经厂内污水站处理后进入尾水收集池用于农田灌溉，鸡粪日产日清，外售综合利用，符合《关于进一步明确畜禽粪污还田利用要求强化养殖污染监管的通知》（农办牧〔2020〕23号）的要求。</w:t>
      </w:r>
    </w:p>
    <w:p w14:paraId="28AEDBFF">
      <w:pPr>
        <w:pStyle w:val="8"/>
        <w:spacing w:line="490" w:lineRule="exact"/>
      </w:pPr>
      <w:r>
        <w:rPr>
          <w:rFonts w:hint="eastAsia"/>
        </w:rPr>
        <w:t>1.5.5.4 与《江苏省推进畜禽粪污还田利用依法加强养殖污染监管工作方案》（苏农牧</w:t>
      </w:r>
      <w:r>
        <w:rPr>
          <w:rFonts w:hint="eastAsia" w:ascii="宋体" w:hAnsi="宋体" w:eastAsia="宋体"/>
        </w:rPr>
        <w:t>〔</w:t>
      </w:r>
      <w:r>
        <w:rPr>
          <w:rFonts w:hint="eastAsia"/>
        </w:rPr>
        <w:t>2020</w:t>
      </w:r>
      <w:r>
        <w:rPr>
          <w:rFonts w:hint="eastAsia" w:ascii="宋体" w:hAnsi="宋体" w:eastAsia="宋体"/>
        </w:rPr>
        <w:t>〕</w:t>
      </w:r>
      <w:r>
        <w:rPr>
          <w:rFonts w:hint="eastAsia"/>
        </w:rPr>
        <w:t>31号）相符性分析</w:t>
      </w:r>
    </w:p>
    <w:p w14:paraId="6938426B">
      <w:pPr>
        <w:spacing w:line="490" w:lineRule="exact"/>
        <w:ind w:firstLine="480" w:firstLineChars="200"/>
      </w:pPr>
      <w:r>
        <w:rPr>
          <w:rFonts w:hint="eastAsia"/>
        </w:rPr>
        <w:t>根据《江苏省推进进畜禽粪污还田利用依法加强养殖污染监管工作方案》（苏农牧〔2020〕31号）文件相关要求：</w:t>
      </w:r>
    </w:p>
    <w:p w14:paraId="4FF64A79">
      <w:pPr>
        <w:spacing w:line="490" w:lineRule="exact"/>
        <w:ind w:firstLine="480" w:firstLineChars="200"/>
      </w:pPr>
      <w:r>
        <w:rPr>
          <w:rFonts w:hint="eastAsia"/>
        </w:rPr>
        <w:t>二、突出重点，全力推行种养结合。（四）强化设施配套，夯实粪污还田利用基础。建立规模养殖场清单，实施清单化管理。推动畜禽养殖场改进养殖工艺，推广应用节水控污工艺和设备，实现源头减量。按照《畜禽规模养殖场粪污资源化利用设施建设规范（试行）》要求，进一步完善粪污处理和资源化利用配套设施，促进养殖场户提档升级。粪污还田利用贮存设施总容积不得低于当地农林作物生产用肥的最大间隔内产生的粪污总量，并配套相应土地，土地配套面积不足的应委托第三方处理。推动养殖场采取圈舍气体净化、粪污覆盖贮存等措施，控制有害气体排放。</w:t>
      </w:r>
    </w:p>
    <w:p w14:paraId="03C2C480">
      <w:pPr>
        <w:spacing w:line="480" w:lineRule="exact"/>
        <w:ind w:firstLine="480" w:firstLineChars="200"/>
      </w:pPr>
      <w:r>
        <w:rPr>
          <w:rFonts w:hint="eastAsia"/>
        </w:rPr>
        <w:t>三、科学指导，助力种养结合发展。（七）明确规范标准，引导粪污合理还田利用。畜禽粪污的处理应根据不同的排放去向或利用方式，执行相应的标准规范。还田利用主体要采取有效措施，保证畜禽粪污收集、储存、输送设施运行安全，防止粪污直接排放河湖、沟渠。</w:t>
      </w:r>
    </w:p>
    <w:p w14:paraId="42DAE718">
      <w:pPr>
        <w:pStyle w:val="2"/>
        <w:spacing w:after="0" w:line="480" w:lineRule="exact"/>
        <w:ind w:firstLine="480" w:firstLineChars="200"/>
        <w:rPr>
          <w:color w:val="000000" w:themeColor="text1"/>
          <w:sz w:val="24"/>
          <w:szCs w:val="24"/>
          <w:lang w:val="en-US"/>
          <w14:textFill>
            <w14:solidFill>
              <w14:schemeClr w14:val="tx1"/>
            </w14:solidFill>
          </w14:textFill>
        </w:rPr>
      </w:pPr>
      <w:r>
        <w:rPr>
          <w:rFonts w:hint="eastAsia"/>
          <w:color w:val="000000" w:themeColor="text1"/>
          <w:sz w:val="24"/>
          <w:szCs w:val="24"/>
          <w:lang w:val="en-US"/>
          <w14:textFill>
            <w14:solidFill>
              <w14:schemeClr w14:val="tx1"/>
            </w14:solidFill>
          </w14:textFill>
        </w:rPr>
        <w:t>四、</w:t>
      </w:r>
      <w:r>
        <w:rPr>
          <w:rFonts w:hint="eastAsia" w:asciiTheme="minorHAnsi" w:hAnsiTheme="minorHAnsi" w:eastAsiaTheme="minorEastAsia" w:cstheme="minorBidi"/>
          <w:color w:val="000000" w:themeColor="text1"/>
          <w:kern w:val="2"/>
          <w:sz w:val="24"/>
          <w:szCs w:val="24"/>
          <w:lang w:val="en-US" w:bidi="ar-SA"/>
          <w14:textFill>
            <w14:solidFill>
              <w14:schemeClr w14:val="tx1"/>
            </w14:solidFill>
          </w14:textFill>
        </w:rPr>
        <w:t>严格监管，依法推动粪污还田利用。（十二）精准防控，降低环境污染风险。规范饲料、兽药生产和使用，严格执行《饲料添加剂安全使用规范》，开展兽用抗菌药使用减量化行动，采取综合措施，从源头减少抗菌药物和重金属对环境污染的风险。加强对规模养殖场和畜禽粪污集中处理中心还田粪污特征污染因子的监督检测，防控农用地土壤污染风险。建立评估机制，按照《土壤环境质量 农用地土壤污染防风险管控标准》（GB15648-2018），定期对畜禽粪污还田开展土壤环境质量影响评估。</w:t>
      </w:r>
    </w:p>
    <w:p w14:paraId="3D4AF687">
      <w:pPr>
        <w:spacing w:line="480" w:lineRule="exact"/>
        <w:ind w:firstLine="482" w:firstLineChars="200"/>
        <w:rPr>
          <w:b/>
          <w:bCs/>
          <w:color w:val="000000" w:themeColor="text1"/>
          <w14:textFill>
            <w14:solidFill>
              <w14:schemeClr w14:val="tx1"/>
            </w14:solidFill>
          </w14:textFill>
        </w:rPr>
      </w:pPr>
      <w:r>
        <w:rPr>
          <w:rFonts w:hint="eastAsia"/>
          <w:b/>
          <w:bCs/>
          <w:color w:val="000000" w:themeColor="text1"/>
          <w:sz w:val="24"/>
          <w:szCs w:val="24"/>
          <w14:textFill>
            <w14:solidFill>
              <w14:schemeClr w14:val="tx1"/>
            </w14:solidFill>
          </w14:textFill>
        </w:rPr>
        <w:t>本项目采用国际先进的工艺技术设计和配置，建设规模化、集约化、标准化的养鸡场，项目外购成品饲料，养殖过程中规范饲料、兽药的使用，产生的鸡粪不直接还田，外售给</w:t>
      </w:r>
      <w:r>
        <w:rPr>
          <w:rFonts w:hint="eastAsia"/>
          <w:b/>
          <w:bCs/>
          <w:color w:val="000000" w:themeColor="text1"/>
          <w:sz w:val="24"/>
          <w:szCs w:val="24"/>
          <w:lang w:eastAsia="zh-CN"/>
          <w14:textFill>
            <w14:solidFill>
              <w14:schemeClr w14:val="tx1"/>
            </w14:solidFill>
          </w14:textFill>
        </w:rPr>
        <w:t>泗阳巨宇畜禽粪污处理有限公司资源化利用</w:t>
      </w:r>
      <w:r>
        <w:rPr>
          <w:rFonts w:hint="eastAsia"/>
          <w:b/>
          <w:bCs/>
          <w:color w:val="000000" w:themeColor="text1"/>
          <w:sz w:val="24"/>
          <w:szCs w:val="24"/>
          <w14:textFill>
            <w14:solidFill>
              <w14:schemeClr w14:val="tx1"/>
            </w14:solidFill>
          </w14:textFill>
        </w:rPr>
        <w:t>。同时，根据建设单位实际情况以及当地消纳条件，本项目废水经厂内污水站处理后进入尾水收集池用于农田灌溉，污水作为灌溉用水排入农田前，须检测确定符合《农田灌溉水质标准》的要求后才能用于农田灌溉。</w:t>
      </w:r>
      <w:r>
        <w:rPr>
          <w:rFonts w:hint="eastAsia"/>
          <w:b/>
          <w:bCs/>
          <w:color w:val="000000" w:themeColor="text1"/>
          <w14:textFill>
            <w14:solidFill>
              <w14:schemeClr w14:val="tx1"/>
            </w14:solidFill>
          </w14:textFill>
        </w:rPr>
        <w:t>故本项目符合《江苏省推进进畜禽粪污还田利用依法加强养殖污染监管工作方案》（苏农牧〔2020〕31号）的相关要求。</w:t>
      </w:r>
    </w:p>
    <w:p w14:paraId="056F790F">
      <w:pPr>
        <w:tabs>
          <w:tab w:val="left" w:pos="1198"/>
        </w:tabs>
        <w:jc w:val="left"/>
      </w:pPr>
    </w:p>
    <w:p w14:paraId="1996073E">
      <w:pPr>
        <w:pStyle w:val="7"/>
        <w:spacing w:line="480" w:lineRule="exact"/>
      </w:pPr>
      <w:r>
        <w:rPr>
          <w:rFonts w:hint="eastAsia"/>
        </w:rPr>
        <w:t>1</w:t>
      </w:r>
      <w:r>
        <w:t xml:space="preserve">.5.6 </w:t>
      </w:r>
      <w:r>
        <w:rPr>
          <w:rFonts w:hint="eastAsia"/>
        </w:rPr>
        <w:t>与“三线一单”控制要求的相符性分析</w:t>
      </w:r>
    </w:p>
    <w:p w14:paraId="037F9BE8">
      <w:pPr>
        <w:pStyle w:val="8"/>
        <w:spacing w:line="480" w:lineRule="exact"/>
      </w:pPr>
      <w:r>
        <w:rPr>
          <w:rFonts w:hint="eastAsia"/>
        </w:rPr>
        <w:t>1</w:t>
      </w:r>
      <w:r>
        <w:t xml:space="preserve">.5.6.1 </w:t>
      </w:r>
      <w:r>
        <w:rPr>
          <w:rFonts w:hint="eastAsia"/>
        </w:rPr>
        <w:t>与环境质量底线的相符性分析</w:t>
      </w:r>
    </w:p>
    <w:p w14:paraId="14B65AE1">
      <w:pPr>
        <w:spacing w:line="460" w:lineRule="exact"/>
        <w:ind w:firstLine="482" w:firstLineChars="200"/>
        <w:rPr>
          <w:b/>
          <w:bCs/>
        </w:rPr>
      </w:pPr>
      <w:r>
        <w:rPr>
          <w:rFonts w:hint="eastAsia"/>
          <w:b/>
          <w:bCs/>
        </w:rPr>
        <w:t>1、环境空气质量</w:t>
      </w:r>
    </w:p>
    <w:p w14:paraId="477F1A11">
      <w:pPr>
        <w:spacing w:line="460" w:lineRule="exact"/>
        <w:ind w:firstLine="480" w:firstLineChars="200"/>
        <w:jc w:val="left"/>
        <w:rPr>
          <w:rFonts w:eastAsia="宋体" w:cs="Times New Roman"/>
          <w:snapToGrid w:val="0"/>
          <w:color w:val="000000" w:themeColor="text1"/>
          <w:kern w:val="0"/>
          <w:szCs w:val="24"/>
          <w14:textFill>
            <w14:solidFill>
              <w14:schemeClr w14:val="tx1"/>
            </w14:solidFill>
          </w14:textFill>
        </w:rPr>
      </w:pPr>
      <w:r>
        <w:rPr>
          <w:rFonts w:eastAsia="宋体" w:cs="Times New Roman"/>
          <w:color w:val="000000" w:themeColor="text1"/>
          <w:szCs w:val="24"/>
          <w14:textFill>
            <w14:solidFill>
              <w14:schemeClr w14:val="tx1"/>
            </w14:solidFill>
          </w14:textFill>
        </w:rPr>
        <w:t>根据《宿迁市202</w:t>
      </w:r>
      <w:r>
        <w:rPr>
          <w:rFonts w:hint="eastAsia" w:eastAsia="宋体" w:cs="Times New Roman"/>
          <w:color w:val="000000" w:themeColor="text1"/>
          <w:szCs w:val="24"/>
          <w14:textFill>
            <w14:solidFill>
              <w14:schemeClr w14:val="tx1"/>
            </w14:solidFill>
          </w14:textFill>
        </w:rPr>
        <w:t>3</w:t>
      </w:r>
      <w:r>
        <w:rPr>
          <w:rFonts w:eastAsia="宋体" w:cs="Times New Roman"/>
          <w:color w:val="000000" w:themeColor="text1"/>
          <w:szCs w:val="24"/>
          <w14:textFill>
            <w14:solidFill>
              <w14:schemeClr w14:val="tx1"/>
            </w14:solidFill>
          </w14:textFill>
        </w:rPr>
        <w:t>年度</w:t>
      </w:r>
      <w:r>
        <w:rPr>
          <w:rFonts w:hint="eastAsia" w:eastAsia="宋体" w:cs="Times New Roman"/>
          <w:color w:val="000000" w:themeColor="text1"/>
          <w:szCs w:val="24"/>
          <w14:textFill>
            <w14:solidFill>
              <w14:schemeClr w14:val="tx1"/>
            </w14:solidFill>
          </w14:textFill>
        </w:rPr>
        <w:t>生态</w:t>
      </w:r>
      <w:r>
        <w:rPr>
          <w:rFonts w:eastAsia="宋体" w:cs="Times New Roman"/>
          <w:color w:val="000000" w:themeColor="text1"/>
          <w:szCs w:val="24"/>
          <w14:textFill>
            <w14:solidFill>
              <w14:schemeClr w14:val="tx1"/>
            </w14:solidFill>
          </w14:textFill>
        </w:rPr>
        <w:t>环境状况公报》，202</w:t>
      </w:r>
      <w:r>
        <w:rPr>
          <w:rFonts w:hint="eastAsia" w:eastAsia="宋体" w:cs="Times New Roman"/>
          <w:color w:val="000000" w:themeColor="text1"/>
          <w:szCs w:val="24"/>
          <w14:textFill>
            <w14:solidFill>
              <w14:schemeClr w14:val="tx1"/>
            </w14:solidFill>
          </w14:textFill>
        </w:rPr>
        <w:t>3</w:t>
      </w:r>
      <w:r>
        <w:rPr>
          <w:rFonts w:eastAsia="宋体" w:cs="Times New Roman"/>
          <w:color w:val="000000" w:themeColor="text1"/>
          <w:szCs w:val="24"/>
          <w14:textFill>
            <w14:solidFill>
              <w14:schemeClr w14:val="tx1"/>
            </w14:solidFill>
          </w14:textFill>
        </w:rPr>
        <w:t>年，全市环境空气优良天数达2</w:t>
      </w:r>
      <w:r>
        <w:rPr>
          <w:rFonts w:hint="eastAsia" w:eastAsia="宋体" w:cs="Times New Roman"/>
          <w:color w:val="000000" w:themeColor="text1"/>
          <w:szCs w:val="24"/>
          <w14:textFill>
            <w14:solidFill>
              <w14:schemeClr w14:val="tx1"/>
            </w14:solidFill>
          </w14:textFill>
        </w:rPr>
        <w:t>61</w:t>
      </w:r>
      <w:r>
        <w:rPr>
          <w:rFonts w:eastAsia="宋体" w:cs="Times New Roman"/>
          <w:color w:val="000000" w:themeColor="text1"/>
          <w:szCs w:val="24"/>
          <w14:textFill>
            <w14:solidFill>
              <w14:schemeClr w14:val="tx1"/>
            </w14:solidFill>
          </w14:textFill>
        </w:rPr>
        <w:t>天，优良天数比例为7</w:t>
      </w:r>
      <w:r>
        <w:rPr>
          <w:rFonts w:hint="eastAsia" w:eastAsia="宋体" w:cs="Times New Roman"/>
          <w:color w:val="000000" w:themeColor="text1"/>
          <w:szCs w:val="24"/>
          <w14:textFill>
            <w14:solidFill>
              <w14:schemeClr w14:val="tx1"/>
            </w14:solidFill>
          </w14:textFill>
        </w:rPr>
        <w:t>1.5</w:t>
      </w:r>
      <w:r>
        <w:rPr>
          <w:rFonts w:eastAsia="宋体" w:cs="Times New Roman"/>
          <w:color w:val="000000" w:themeColor="text1"/>
          <w:szCs w:val="24"/>
          <w14:textFill>
            <w14:solidFill>
              <w14:schemeClr w14:val="tx1"/>
            </w14:solidFill>
          </w14:textFill>
        </w:rPr>
        <w:t>%；空气中PM</w:t>
      </w:r>
      <w:r>
        <w:rPr>
          <w:rFonts w:eastAsia="宋体" w:cs="Times New Roman"/>
          <w:color w:val="000000" w:themeColor="text1"/>
          <w:szCs w:val="24"/>
          <w:vertAlign w:val="subscript"/>
          <w14:textFill>
            <w14:solidFill>
              <w14:schemeClr w14:val="tx1"/>
            </w14:solidFill>
          </w14:textFill>
        </w:rPr>
        <w:t>2.5</w:t>
      </w:r>
      <w:r>
        <w:rPr>
          <w:rFonts w:eastAsia="宋体" w:cs="Times New Roman"/>
          <w:color w:val="000000" w:themeColor="text1"/>
          <w:szCs w:val="24"/>
          <w14:textFill>
            <w14:solidFill>
              <w14:schemeClr w14:val="tx1"/>
            </w14:solidFill>
          </w14:textFill>
        </w:rPr>
        <w:t>、PM</w:t>
      </w:r>
      <w:r>
        <w:rPr>
          <w:rFonts w:eastAsia="宋体" w:cs="Times New Roman"/>
          <w:color w:val="000000" w:themeColor="text1"/>
          <w:szCs w:val="24"/>
          <w:vertAlign w:val="subscript"/>
          <w14:textFill>
            <w14:solidFill>
              <w14:schemeClr w14:val="tx1"/>
            </w14:solidFill>
          </w14:textFill>
        </w:rPr>
        <w:t>10</w:t>
      </w:r>
      <w:r>
        <w:rPr>
          <w:rFonts w:eastAsia="宋体" w:cs="Times New Roman"/>
          <w:color w:val="000000" w:themeColor="text1"/>
          <w:szCs w:val="24"/>
          <w14:textFill>
            <w14:solidFill>
              <w14:schemeClr w14:val="tx1"/>
            </w14:solidFill>
          </w14:textFill>
        </w:rPr>
        <w:t>、NO</w:t>
      </w:r>
      <w:r>
        <w:rPr>
          <w:rFonts w:eastAsia="宋体" w:cs="Times New Roman"/>
          <w:color w:val="000000" w:themeColor="text1"/>
          <w:szCs w:val="24"/>
          <w:vertAlign w:val="subscript"/>
          <w14:textFill>
            <w14:solidFill>
              <w14:schemeClr w14:val="tx1"/>
            </w14:solidFill>
          </w14:textFill>
        </w:rPr>
        <w:t>2</w:t>
      </w:r>
      <w:r>
        <w:rPr>
          <w:rFonts w:eastAsia="宋体" w:cs="Times New Roman"/>
          <w:color w:val="000000" w:themeColor="text1"/>
          <w:szCs w:val="24"/>
          <w14:textFill>
            <w14:solidFill>
              <w14:schemeClr w14:val="tx1"/>
            </w14:solidFill>
          </w14:textFill>
        </w:rPr>
        <w:t>、SO</w:t>
      </w:r>
      <w:r>
        <w:rPr>
          <w:rFonts w:eastAsia="宋体" w:cs="Times New Roman"/>
          <w:color w:val="000000" w:themeColor="text1"/>
          <w:szCs w:val="24"/>
          <w:vertAlign w:val="subscript"/>
          <w14:textFill>
            <w14:solidFill>
              <w14:schemeClr w14:val="tx1"/>
            </w14:solidFill>
          </w14:textFill>
        </w:rPr>
        <w:t>2</w:t>
      </w:r>
      <w:r>
        <w:rPr>
          <w:rFonts w:eastAsia="宋体" w:cs="Times New Roman"/>
          <w:color w:val="000000" w:themeColor="text1"/>
          <w:szCs w:val="24"/>
          <w14:textFill>
            <w14:solidFill>
              <w14:schemeClr w14:val="tx1"/>
            </w14:solidFill>
          </w14:textFill>
        </w:rPr>
        <w:t>指标浓度同比</w:t>
      </w:r>
      <w:r>
        <w:rPr>
          <w:rFonts w:hint="eastAsia" w:eastAsia="宋体" w:cs="Times New Roman"/>
          <w:color w:val="000000" w:themeColor="text1"/>
          <w:szCs w:val="24"/>
          <w14:textFill>
            <w14:solidFill>
              <w14:schemeClr w14:val="tx1"/>
            </w14:solidFill>
          </w14:textFill>
        </w:rPr>
        <w:t>上升</w:t>
      </w:r>
      <w:r>
        <w:rPr>
          <w:rFonts w:eastAsia="宋体" w:cs="Times New Roman"/>
          <w:color w:val="000000" w:themeColor="text1"/>
          <w:szCs w:val="24"/>
          <w14:textFill>
            <w14:solidFill>
              <w14:schemeClr w14:val="tx1"/>
            </w14:solidFill>
          </w14:textFill>
        </w:rPr>
        <w:t>，浓度均值分别3</w:t>
      </w:r>
      <w:r>
        <w:rPr>
          <w:rFonts w:hint="eastAsia" w:eastAsia="宋体" w:cs="Times New Roman"/>
          <w:color w:val="000000" w:themeColor="text1"/>
          <w:szCs w:val="24"/>
          <w14:textFill>
            <w14:solidFill>
              <w14:schemeClr w14:val="tx1"/>
            </w14:solidFill>
          </w14:textFill>
        </w:rPr>
        <w:t>9.8</w:t>
      </w:r>
      <w:r>
        <w:rPr>
          <w:rFonts w:eastAsia="宋体" w:cs="Times New Roman"/>
          <w:color w:val="000000" w:themeColor="text1"/>
          <w:szCs w:val="24"/>
          <w14:textFill>
            <w14:solidFill>
              <w14:schemeClr w14:val="tx1"/>
            </w14:solidFill>
          </w14:textFill>
        </w:rPr>
        <w:t>μg/m</w:t>
      </w:r>
      <w:r>
        <w:rPr>
          <w:rFonts w:eastAsia="宋体" w:cs="Times New Roman"/>
          <w:color w:val="000000" w:themeColor="text1"/>
          <w:szCs w:val="24"/>
          <w:vertAlign w:val="superscript"/>
          <w14:textFill>
            <w14:solidFill>
              <w14:schemeClr w14:val="tx1"/>
            </w14:solidFill>
          </w14:textFill>
        </w:rPr>
        <w:t>3</w:t>
      </w:r>
      <w:r>
        <w:rPr>
          <w:rFonts w:eastAsia="宋体" w:cs="Times New Roman"/>
          <w:color w:val="000000" w:themeColor="text1"/>
          <w:szCs w:val="24"/>
          <w14:textFill>
            <w14:solidFill>
              <w14:schemeClr w14:val="tx1"/>
            </w14:solidFill>
          </w14:textFill>
        </w:rPr>
        <w:t>、6</w:t>
      </w:r>
      <w:r>
        <w:rPr>
          <w:rFonts w:hint="eastAsia" w:eastAsia="宋体" w:cs="Times New Roman"/>
          <w:color w:val="000000" w:themeColor="text1"/>
          <w:szCs w:val="24"/>
          <w14:textFill>
            <w14:solidFill>
              <w14:schemeClr w14:val="tx1"/>
            </w14:solidFill>
          </w14:textFill>
        </w:rPr>
        <w:t>3</w:t>
      </w:r>
      <w:r>
        <w:rPr>
          <w:rFonts w:eastAsia="宋体" w:cs="Times New Roman"/>
          <w:color w:val="000000" w:themeColor="text1"/>
          <w:szCs w:val="24"/>
          <w14:textFill>
            <w14:solidFill>
              <w14:schemeClr w14:val="tx1"/>
            </w14:solidFill>
          </w14:textFill>
        </w:rPr>
        <w:t>μg/m</w:t>
      </w:r>
      <w:r>
        <w:rPr>
          <w:rFonts w:eastAsia="宋体" w:cs="Times New Roman"/>
          <w:color w:val="000000" w:themeColor="text1"/>
          <w:szCs w:val="24"/>
          <w:vertAlign w:val="superscript"/>
          <w14:textFill>
            <w14:solidFill>
              <w14:schemeClr w14:val="tx1"/>
            </w14:solidFill>
          </w14:textFill>
        </w:rPr>
        <w:t>3</w:t>
      </w:r>
      <w:r>
        <w:rPr>
          <w:rFonts w:eastAsia="宋体" w:cs="Times New Roman"/>
          <w:color w:val="000000" w:themeColor="text1"/>
          <w:szCs w:val="24"/>
          <w14:textFill>
            <w14:solidFill>
              <w14:schemeClr w14:val="tx1"/>
            </w14:solidFill>
          </w14:textFill>
        </w:rPr>
        <w:t>、2</w:t>
      </w:r>
      <w:r>
        <w:rPr>
          <w:rFonts w:hint="eastAsia" w:eastAsia="宋体" w:cs="Times New Roman"/>
          <w:color w:val="000000" w:themeColor="text1"/>
          <w:szCs w:val="24"/>
          <w14:textFill>
            <w14:solidFill>
              <w14:schemeClr w14:val="tx1"/>
            </w14:solidFill>
          </w14:textFill>
        </w:rPr>
        <w:t>5</w:t>
      </w:r>
      <w:r>
        <w:rPr>
          <w:rFonts w:eastAsia="宋体" w:cs="Times New Roman"/>
          <w:color w:val="000000" w:themeColor="text1"/>
          <w:szCs w:val="24"/>
          <w14:textFill>
            <w14:solidFill>
              <w14:schemeClr w14:val="tx1"/>
            </w14:solidFill>
          </w14:textFill>
        </w:rPr>
        <w:t>μg/m</w:t>
      </w:r>
      <w:r>
        <w:rPr>
          <w:rFonts w:eastAsia="宋体" w:cs="Times New Roman"/>
          <w:color w:val="000000" w:themeColor="text1"/>
          <w:szCs w:val="24"/>
          <w:vertAlign w:val="superscript"/>
          <w14:textFill>
            <w14:solidFill>
              <w14:schemeClr w14:val="tx1"/>
            </w14:solidFill>
          </w14:textFill>
        </w:rPr>
        <w:t>3</w:t>
      </w:r>
      <w:r>
        <w:rPr>
          <w:rFonts w:eastAsia="宋体" w:cs="Times New Roman"/>
          <w:color w:val="000000" w:themeColor="text1"/>
          <w:szCs w:val="24"/>
          <w14:textFill>
            <w14:solidFill>
              <w14:schemeClr w14:val="tx1"/>
            </w14:solidFill>
          </w14:textFill>
        </w:rPr>
        <w:t>、</w:t>
      </w:r>
      <w:r>
        <w:rPr>
          <w:rFonts w:hint="eastAsia" w:eastAsia="宋体" w:cs="Times New Roman"/>
          <w:color w:val="000000" w:themeColor="text1"/>
          <w:szCs w:val="24"/>
          <w14:textFill>
            <w14:solidFill>
              <w14:schemeClr w14:val="tx1"/>
            </w14:solidFill>
          </w14:textFill>
        </w:rPr>
        <w:t>8</w:t>
      </w:r>
      <w:r>
        <w:rPr>
          <w:rFonts w:eastAsia="宋体" w:cs="Times New Roman"/>
          <w:color w:val="000000" w:themeColor="text1"/>
          <w:szCs w:val="24"/>
          <w14:textFill>
            <w14:solidFill>
              <w14:schemeClr w14:val="tx1"/>
            </w14:solidFill>
          </w14:textFill>
        </w:rPr>
        <w:t>μg/m</w:t>
      </w:r>
      <w:r>
        <w:rPr>
          <w:rFonts w:eastAsia="宋体" w:cs="Times New Roman"/>
          <w:color w:val="000000" w:themeColor="text1"/>
          <w:szCs w:val="24"/>
          <w:vertAlign w:val="superscript"/>
          <w14:textFill>
            <w14:solidFill>
              <w14:schemeClr w14:val="tx1"/>
            </w14:solidFill>
          </w14:textFill>
        </w:rPr>
        <w:t>3</w:t>
      </w:r>
      <w:r>
        <w:rPr>
          <w:rFonts w:eastAsia="宋体" w:cs="Times New Roman"/>
          <w:color w:val="000000" w:themeColor="text1"/>
          <w:szCs w:val="24"/>
          <w14:textFill>
            <w14:solidFill>
              <w14:schemeClr w14:val="tx1"/>
            </w14:solidFill>
          </w14:textFill>
        </w:rPr>
        <w:t>，同比分别</w:t>
      </w:r>
      <w:r>
        <w:rPr>
          <w:rFonts w:hint="eastAsia" w:eastAsia="宋体" w:cs="Times New Roman"/>
          <w:color w:val="000000" w:themeColor="text1"/>
          <w:szCs w:val="24"/>
          <w14:textFill>
            <w14:solidFill>
              <w14:schemeClr w14:val="tx1"/>
            </w14:solidFill>
          </w14:textFill>
        </w:rPr>
        <w:t>上升7.9</w:t>
      </w:r>
      <w:r>
        <w:rPr>
          <w:rFonts w:eastAsia="宋体" w:cs="Times New Roman"/>
          <w:color w:val="000000" w:themeColor="text1"/>
          <w:szCs w:val="24"/>
          <w14:textFill>
            <w14:solidFill>
              <w14:schemeClr w14:val="tx1"/>
            </w14:solidFill>
          </w14:textFill>
        </w:rPr>
        <w:t>%、</w:t>
      </w:r>
      <w:r>
        <w:rPr>
          <w:rFonts w:hint="eastAsia" w:eastAsia="宋体" w:cs="Times New Roman"/>
          <w:color w:val="000000" w:themeColor="text1"/>
          <w:szCs w:val="24"/>
          <w14:textFill>
            <w14:solidFill>
              <w14:schemeClr w14:val="tx1"/>
            </w14:solidFill>
          </w14:textFill>
        </w:rPr>
        <w:t>3.3</w:t>
      </w:r>
      <w:r>
        <w:rPr>
          <w:rFonts w:eastAsia="宋体" w:cs="Times New Roman"/>
          <w:color w:val="000000" w:themeColor="text1"/>
          <w:szCs w:val="24"/>
          <w14:textFill>
            <w14:solidFill>
              <w14:schemeClr w14:val="tx1"/>
            </w14:solidFill>
          </w14:textFill>
        </w:rPr>
        <w:t>%、8</w:t>
      </w:r>
      <w:r>
        <w:rPr>
          <w:rFonts w:hint="eastAsia" w:eastAsia="宋体" w:cs="Times New Roman"/>
          <w:color w:val="000000" w:themeColor="text1"/>
          <w:szCs w:val="24"/>
          <w14:textFill>
            <w14:solidFill>
              <w14:schemeClr w14:val="tx1"/>
            </w14:solidFill>
          </w14:textFill>
        </w:rPr>
        <w:t>.7</w:t>
      </w:r>
      <w:r>
        <w:rPr>
          <w:rFonts w:eastAsia="宋体" w:cs="Times New Roman"/>
          <w:color w:val="000000" w:themeColor="text1"/>
          <w:szCs w:val="24"/>
          <w14:textFill>
            <w14:solidFill>
              <w14:schemeClr w14:val="tx1"/>
            </w14:solidFill>
          </w14:textFill>
        </w:rPr>
        <w:t>%、</w:t>
      </w:r>
      <w:r>
        <w:rPr>
          <w:rFonts w:hint="eastAsia" w:eastAsia="宋体" w:cs="Times New Roman"/>
          <w:color w:val="000000" w:themeColor="text1"/>
          <w:szCs w:val="24"/>
          <w14:textFill>
            <w14:solidFill>
              <w14:schemeClr w14:val="tx1"/>
            </w14:solidFill>
          </w14:textFill>
        </w:rPr>
        <w:t>33.3</w:t>
      </w:r>
      <w:r>
        <w:rPr>
          <w:rFonts w:eastAsia="宋体" w:cs="Times New Roman"/>
          <w:color w:val="000000" w:themeColor="text1"/>
          <w:szCs w:val="24"/>
          <w14:textFill>
            <w14:solidFill>
              <w14:schemeClr w14:val="tx1"/>
            </w14:solidFill>
          </w14:textFill>
        </w:rPr>
        <w:t>%；O</w:t>
      </w:r>
      <w:r>
        <w:rPr>
          <w:rFonts w:eastAsia="宋体" w:cs="Times New Roman"/>
          <w:color w:val="000000" w:themeColor="text1"/>
          <w:szCs w:val="24"/>
          <w:vertAlign w:val="subscript"/>
          <w14:textFill>
            <w14:solidFill>
              <w14:schemeClr w14:val="tx1"/>
            </w14:solidFill>
          </w14:textFill>
        </w:rPr>
        <w:t>3</w:t>
      </w:r>
      <w:r>
        <w:rPr>
          <w:rFonts w:eastAsia="宋体" w:cs="Times New Roman"/>
          <w:color w:val="000000" w:themeColor="text1"/>
          <w:szCs w:val="24"/>
          <w14:textFill>
            <w14:solidFill>
              <w14:schemeClr w14:val="tx1"/>
            </w14:solidFill>
          </w14:textFill>
        </w:rPr>
        <w:t>、CO指标浓度</w:t>
      </w:r>
      <w:r>
        <w:rPr>
          <w:rFonts w:hint="eastAsia" w:eastAsia="宋体" w:cs="Times New Roman"/>
          <w:color w:val="000000" w:themeColor="text1"/>
          <w:szCs w:val="24"/>
          <w14:textFill>
            <w14:solidFill>
              <w14:schemeClr w14:val="tx1"/>
            </w14:solidFill>
          </w14:textFill>
        </w:rPr>
        <w:t>与2022年持平</w:t>
      </w:r>
      <w:r>
        <w:rPr>
          <w:rFonts w:eastAsia="宋体" w:cs="Times New Roman"/>
          <w:color w:val="000000" w:themeColor="text1"/>
          <w:szCs w:val="24"/>
          <w14:textFill>
            <w14:solidFill>
              <w14:schemeClr w14:val="tx1"/>
            </w14:solidFill>
          </w14:textFill>
        </w:rPr>
        <w:t>，浓度分别为169μg/m</w:t>
      </w:r>
      <w:r>
        <w:rPr>
          <w:rFonts w:eastAsia="宋体" w:cs="Times New Roman"/>
          <w:color w:val="000000" w:themeColor="text1"/>
          <w:szCs w:val="24"/>
          <w:vertAlign w:val="superscript"/>
          <w14:textFill>
            <w14:solidFill>
              <w14:schemeClr w14:val="tx1"/>
            </w14:solidFill>
          </w14:textFill>
        </w:rPr>
        <w:t>3</w:t>
      </w:r>
      <w:r>
        <w:rPr>
          <w:rFonts w:eastAsia="宋体" w:cs="Times New Roman"/>
          <w:color w:val="000000" w:themeColor="text1"/>
          <w:szCs w:val="24"/>
          <w14:textFill>
            <w14:solidFill>
              <w14:schemeClr w14:val="tx1"/>
            </w14:solidFill>
          </w14:textFill>
        </w:rPr>
        <w:t>、1mg/m</w:t>
      </w:r>
      <w:r>
        <w:rPr>
          <w:rFonts w:eastAsia="宋体" w:cs="Times New Roman"/>
          <w:color w:val="000000" w:themeColor="text1"/>
          <w:szCs w:val="24"/>
          <w:vertAlign w:val="superscript"/>
          <w14:textFill>
            <w14:solidFill>
              <w14:schemeClr w14:val="tx1"/>
            </w14:solidFill>
          </w14:textFill>
        </w:rPr>
        <w:t>3</w:t>
      </w:r>
      <w:r>
        <w:rPr>
          <w:rFonts w:eastAsia="宋体" w:cs="Times New Roman"/>
          <w:color w:val="000000" w:themeColor="text1"/>
          <w:szCs w:val="24"/>
          <w14:textFill>
            <w14:solidFill>
              <w14:schemeClr w14:val="tx1"/>
            </w14:solidFill>
          </w14:textFill>
        </w:rPr>
        <w:t>；其中，O</w:t>
      </w:r>
      <w:r>
        <w:rPr>
          <w:rFonts w:eastAsia="宋体" w:cs="Times New Roman"/>
          <w:color w:val="000000" w:themeColor="text1"/>
          <w:szCs w:val="24"/>
          <w:vertAlign w:val="subscript"/>
          <w14:textFill>
            <w14:solidFill>
              <w14:schemeClr w14:val="tx1"/>
            </w14:solidFill>
          </w14:textFill>
        </w:rPr>
        <w:t>3</w:t>
      </w:r>
      <w:r>
        <w:rPr>
          <w:rFonts w:eastAsia="宋体" w:cs="Times New Roman"/>
          <w:color w:val="000000" w:themeColor="text1"/>
          <w:szCs w:val="24"/>
          <w14:textFill>
            <w14:solidFill>
              <w14:schemeClr w14:val="tx1"/>
            </w14:solidFill>
          </w14:textFill>
        </w:rPr>
        <w:t>作为首要污染物的超标天数为</w:t>
      </w:r>
      <w:r>
        <w:rPr>
          <w:rFonts w:hint="eastAsia" w:eastAsia="宋体" w:cs="Times New Roman"/>
          <w:color w:val="000000" w:themeColor="text1"/>
          <w:szCs w:val="24"/>
          <w14:textFill>
            <w14:solidFill>
              <w14:schemeClr w14:val="tx1"/>
            </w14:solidFill>
          </w14:textFill>
        </w:rPr>
        <w:t>53</w:t>
      </w:r>
      <w:r>
        <w:rPr>
          <w:rFonts w:eastAsia="宋体" w:cs="Times New Roman"/>
          <w:color w:val="000000" w:themeColor="text1"/>
          <w:szCs w:val="24"/>
          <w14:textFill>
            <w14:solidFill>
              <w14:schemeClr w14:val="tx1"/>
            </w14:solidFill>
          </w14:textFill>
        </w:rPr>
        <w:t>天，占全年超标天数比例达</w:t>
      </w:r>
      <w:r>
        <w:rPr>
          <w:rFonts w:hint="eastAsia" w:eastAsia="宋体" w:cs="Times New Roman"/>
          <w:color w:val="000000" w:themeColor="text1"/>
          <w:szCs w:val="24"/>
          <w14:textFill>
            <w14:solidFill>
              <w14:schemeClr w14:val="tx1"/>
            </w14:solidFill>
          </w14:textFill>
        </w:rPr>
        <w:t>51</w:t>
      </w:r>
      <w:r>
        <w:rPr>
          <w:rFonts w:eastAsia="宋体" w:cs="Times New Roman"/>
          <w:color w:val="000000" w:themeColor="text1"/>
          <w:szCs w:val="24"/>
          <w14:textFill>
            <w14:solidFill>
              <w14:schemeClr w14:val="tx1"/>
            </w14:solidFill>
          </w14:textFill>
        </w:rPr>
        <w:t>%，已成为影响全市环境空气质量的主要指标。因此，项目区域为不达标区，主要不达标因子为PM</w:t>
      </w:r>
      <w:r>
        <w:rPr>
          <w:rFonts w:eastAsia="宋体" w:cs="Times New Roman"/>
          <w:color w:val="000000" w:themeColor="text1"/>
          <w:szCs w:val="24"/>
          <w:vertAlign w:val="subscript"/>
          <w14:textFill>
            <w14:solidFill>
              <w14:schemeClr w14:val="tx1"/>
            </w14:solidFill>
          </w14:textFill>
        </w:rPr>
        <w:t>2.5</w:t>
      </w:r>
      <w:r>
        <w:rPr>
          <w:rFonts w:eastAsia="宋体" w:cs="Times New Roman"/>
          <w:color w:val="000000" w:themeColor="text1"/>
          <w:szCs w:val="24"/>
          <w14:textFill>
            <w14:solidFill>
              <w14:schemeClr w14:val="tx1"/>
            </w14:solidFill>
          </w14:textFill>
        </w:rPr>
        <w:t>与O</w:t>
      </w:r>
      <w:r>
        <w:rPr>
          <w:rFonts w:eastAsia="宋体" w:cs="Times New Roman"/>
          <w:color w:val="000000" w:themeColor="text1"/>
          <w:szCs w:val="24"/>
          <w:vertAlign w:val="subscript"/>
          <w14:textFill>
            <w14:solidFill>
              <w14:schemeClr w14:val="tx1"/>
            </w14:solidFill>
          </w14:textFill>
        </w:rPr>
        <w:t>3</w:t>
      </w:r>
      <w:r>
        <w:rPr>
          <w:rFonts w:eastAsia="宋体" w:cs="Times New Roman"/>
          <w:snapToGrid w:val="0"/>
          <w:color w:val="000000" w:themeColor="text1"/>
          <w:kern w:val="0"/>
          <w:szCs w:val="24"/>
          <w14:textFill>
            <w14:solidFill>
              <w14:schemeClr w14:val="tx1"/>
            </w14:solidFill>
          </w14:textFill>
        </w:rPr>
        <w:t>。</w:t>
      </w:r>
    </w:p>
    <w:p w14:paraId="6D2A6A06">
      <w:pPr>
        <w:spacing w:line="480" w:lineRule="exact"/>
        <w:ind w:firstLine="482"/>
        <w:jc w:val="left"/>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根据《</w:t>
      </w:r>
      <w:r>
        <w:rPr>
          <w:rFonts w:hint="eastAsia" w:eastAsia="宋体" w:cs="Times New Roman"/>
          <w:color w:val="000000" w:themeColor="text1"/>
          <w:szCs w:val="24"/>
          <w14:textFill>
            <w14:solidFill>
              <w14:schemeClr w14:val="tx1"/>
            </w14:solidFill>
          </w14:textFill>
        </w:rPr>
        <w:t>市政府关于印发宿迁市空气质量持续改善行动计划实施方案的通知</w:t>
      </w:r>
      <w:r>
        <w:rPr>
          <w:rFonts w:eastAsia="宋体" w:cs="Times New Roman"/>
          <w:color w:val="000000" w:themeColor="text1"/>
          <w:szCs w:val="24"/>
          <w14:textFill>
            <w14:solidFill>
              <w14:schemeClr w14:val="tx1"/>
            </w14:solidFill>
          </w14:textFill>
        </w:rPr>
        <w:t>》（</w:t>
      </w:r>
      <w:r>
        <w:rPr>
          <w:rFonts w:hint="eastAsia" w:eastAsia="宋体" w:cs="Times New Roman"/>
          <w:color w:val="000000" w:themeColor="text1"/>
          <w:szCs w:val="24"/>
          <w14:textFill>
            <w14:solidFill>
              <w14:schemeClr w14:val="tx1"/>
            </w14:solidFill>
          </w14:textFill>
        </w:rPr>
        <w:t>宿政发〔2024〕97号</w:t>
      </w:r>
      <w:r>
        <w:rPr>
          <w:rFonts w:eastAsia="宋体" w:cs="Times New Roman"/>
          <w:color w:val="000000" w:themeColor="text1"/>
          <w:szCs w:val="24"/>
          <w14:textFill>
            <w14:solidFill>
              <w14:schemeClr w14:val="tx1"/>
            </w14:solidFill>
          </w14:textFill>
        </w:rPr>
        <w:t>）</w:t>
      </w:r>
      <w:r>
        <w:rPr>
          <w:rFonts w:hint="eastAsia" w:eastAsia="宋体" w:cs="Times New Roman"/>
          <w:color w:val="000000" w:themeColor="text1"/>
          <w:szCs w:val="24"/>
          <w14:textFill>
            <w14:solidFill>
              <w14:schemeClr w14:val="tx1"/>
            </w14:solidFill>
          </w14:textFill>
        </w:rPr>
        <w:t>，为贯彻落实《空气质量持续改善行动计划》(国发〔2023 ]24号）、《江苏省空气质量持续改善行动计划实施方案》(（苏政发〔2024〕53号）要求，持续深入打好蓝天保卫战，切实保障人民群众身体健康，以空气质量持续改善推动经济高质量发展，特制定以下实施方案：（一）优化产业结构，促进产业绿色低碳升级；（二）优化能源结构，加快能源清洁低碳高效发展；（三）优化交通结构，大力发展绿色运输体系；（四）强化面源污染治理，提升精细化管理水平；（五）加强机制建设，完善大气环境管理体系；（六）加强能力建设，严格执法监督；（七）健全法律法规标准体系，完善环境经济政策；（八）落实各方责任，开展全民行动。通过采取上述措施进一步减少宿迁市大气污染情况，</w:t>
      </w:r>
      <w:r>
        <w:rPr>
          <w:rFonts w:eastAsia="宋体" w:cs="Times New Roman"/>
          <w:color w:val="000000" w:themeColor="text1"/>
          <w:szCs w:val="24"/>
          <w14:textFill>
            <w14:solidFill>
              <w14:schemeClr w14:val="tx1"/>
            </w14:solidFill>
          </w14:textFill>
        </w:rPr>
        <w:t>改善区域大气环境质量。</w:t>
      </w:r>
      <w:r>
        <w:rPr>
          <w:rFonts w:hint="eastAsia" w:eastAsia="宋体" w:cs="Times New Roman"/>
          <w:color w:val="000000" w:themeColor="text1"/>
          <w:szCs w:val="24"/>
          <w14:textFill>
            <w14:solidFill>
              <w14:schemeClr w14:val="tx1"/>
            </w14:solidFill>
          </w14:textFill>
        </w:rPr>
        <w:t>确保到2025年，全市PM</w:t>
      </w:r>
      <w:r>
        <w:rPr>
          <w:rFonts w:hint="eastAsia" w:eastAsia="宋体" w:cs="Times New Roman"/>
          <w:color w:val="000000" w:themeColor="text1"/>
          <w:szCs w:val="24"/>
          <w:vertAlign w:val="subscript"/>
          <w14:textFill>
            <w14:solidFill>
              <w14:schemeClr w14:val="tx1"/>
            </w14:solidFill>
          </w14:textFill>
        </w:rPr>
        <w:t>2.5</w:t>
      </w:r>
      <w:r>
        <w:rPr>
          <w:rFonts w:hint="eastAsia" w:eastAsia="宋体" w:cs="Times New Roman"/>
          <w:color w:val="000000" w:themeColor="text1"/>
          <w:szCs w:val="24"/>
          <w14:textFill>
            <w14:solidFill>
              <w14:schemeClr w14:val="tx1"/>
            </w14:solidFill>
          </w14:textFill>
        </w:rPr>
        <w:t>浓度比2020年下降15%及以上，重度及以上污染天数控制在2天以内，力争全市PM</w:t>
      </w:r>
      <w:r>
        <w:rPr>
          <w:rFonts w:hint="eastAsia" w:eastAsia="宋体" w:cs="Times New Roman"/>
          <w:color w:val="000000" w:themeColor="text1"/>
          <w:szCs w:val="24"/>
          <w:vertAlign w:val="subscript"/>
          <w14:textFill>
            <w14:solidFill>
              <w14:schemeClr w14:val="tx1"/>
            </w14:solidFill>
          </w14:textFill>
        </w:rPr>
        <w:t>2.5</w:t>
      </w:r>
      <w:r>
        <w:rPr>
          <w:rFonts w:hint="eastAsia" w:eastAsia="宋体" w:cs="Times New Roman"/>
          <w:color w:val="000000" w:themeColor="text1"/>
          <w:szCs w:val="24"/>
          <w14:textFill>
            <w14:solidFill>
              <w14:schemeClr w14:val="tx1"/>
            </w14:solidFill>
          </w14:textFill>
        </w:rPr>
        <w:t>浓度总体达标；氮氧化物和VOCs排放总量比2020年分别下降15%以上，完成国家和省下达的减排目标。</w:t>
      </w:r>
    </w:p>
    <w:p w14:paraId="26F64A60">
      <w:pPr>
        <w:pStyle w:val="79"/>
        <w:tabs>
          <w:tab w:val="left" w:pos="0"/>
        </w:tabs>
        <w:spacing w:line="480" w:lineRule="exact"/>
        <w:ind w:firstLine="480" w:firstLineChars="200"/>
        <w:rPr>
          <w:rFonts w:ascii="Times New Roman" w:hAnsi="Times New Roman" w:eastAsia="宋体"/>
          <w:szCs w:val="24"/>
        </w:rPr>
      </w:pPr>
      <w:r>
        <w:rPr>
          <w:rFonts w:ascii="Times New Roman" w:hAnsi="Times New Roman" w:eastAsia="宋体"/>
          <w:szCs w:val="24"/>
        </w:rPr>
        <w:t>根据本项目大气实测及引用的监测数据监测结果，表明各监测点各个监测因子均满足相应评价质量标准要求。</w:t>
      </w:r>
    </w:p>
    <w:p w14:paraId="537FB040">
      <w:pPr>
        <w:spacing w:line="480" w:lineRule="exact"/>
        <w:ind w:firstLine="482" w:firstLineChars="200"/>
        <w:rPr>
          <w:b/>
          <w:bCs/>
        </w:rPr>
      </w:pPr>
      <w:r>
        <w:rPr>
          <w:rFonts w:hint="eastAsia"/>
          <w:b/>
          <w:bCs/>
        </w:rPr>
        <w:t>2、地表水环境质量</w:t>
      </w:r>
    </w:p>
    <w:p w14:paraId="0A12A7FC">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根据地表水环境现状监测表明，本次监测的颜倪河与十一斗渠交叉口断面水质监测项目</w:t>
      </w:r>
      <w:r>
        <w:rPr>
          <w:color w:val="000000" w:themeColor="text1"/>
          <w:szCs w:val="24"/>
          <w14:textFill>
            <w14:solidFill>
              <w14:schemeClr w14:val="tx1"/>
            </w14:solidFill>
          </w14:textFill>
        </w:rPr>
        <w:t>pH、COD</w:t>
      </w:r>
      <w:r>
        <w:rPr>
          <w:color w:val="000000" w:themeColor="text1"/>
          <w:szCs w:val="24"/>
          <w:vertAlign w:val="subscript"/>
          <w14:textFill>
            <w14:solidFill>
              <w14:schemeClr w14:val="tx1"/>
            </w14:solidFill>
          </w14:textFill>
        </w:rPr>
        <w:t>Cr</w:t>
      </w:r>
      <w:r>
        <w:rPr>
          <w:color w:val="000000" w:themeColor="text1"/>
          <w:szCs w:val="24"/>
          <w14:textFill>
            <w14:solidFill>
              <w14:schemeClr w14:val="tx1"/>
            </w14:solidFill>
          </w14:textFill>
        </w:rPr>
        <w:t>、NH</w:t>
      </w:r>
      <w:r>
        <w:rPr>
          <w:color w:val="000000" w:themeColor="text1"/>
          <w:szCs w:val="24"/>
          <w:vertAlign w:val="subscript"/>
          <w14:textFill>
            <w14:solidFill>
              <w14:schemeClr w14:val="tx1"/>
            </w14:solidFill>
          </w14:textFill>
        </w:rPr>
        <w:t>3</w:t>
      </w:r>
      <w:r>
        <w:rPr>
          <w:color w:val="000000" w:themeColor="text1"/>
          <w:szCs w:val="24"/>
          <w14:textFill>
            <w14:solidFill>
              <w14:schemeClr w14:val="tx1"/>
            </w14:solidFill>
          </w14:textFill>
        </w:rPr>
        <w:t>-N、TP、DO、BOD</w:t>
      </w:r>
      <w:r>
        <w:rPr>
          <w:color w:val="000000" w:themeColor="text1"/>
          <w:szCs w:val="24"/>
          <w:vertAlign w:val="subscript"/>
          <w14:textFill>
            <w14:solidFill>
              <w14:schemeClr w14:val="tx1"/>
            </w14:solidFill>
          </w14:textFill>
        </w:rPr>
        <w:t>5</w:t>
      </w:r>
      <w:r>
        <w:rPr>
          <w:color w:val="000000" w:themeColor="text1"/>
          <w:szCs w:val="24"/>
          <w14:textFill>
            <w14:solidFill>
              <w14:schemeClr w14:val="tx1"/>
            </w14:solidFill>
          </w14:textFill>
        </w:rPr>
        <w:t>、粪大肠菌群</w:t>
      </w:r>
      <w:r>
        <w:rPr>
          <w:rFonts w:hint="eastAsia"/>
          <w:color w:val="000000" w:themeColor="text1"/>
          <w:szCs w:val="24"/>
          <w14:textFill>
            <w14:solidFill>
              <w14:schemeClr w14:val="tx1"/>
            </w14:solidFill>
          </w14:textFill>
        </w:rPr>
        <w:t>均达到</w:t>
      </w:r>
      <w:r>
        <w:rPr>
          <w:rFonts w:hint="eastAsia"/>
          <w:color w:val="000000" w:themeColor="text1"/>
          <w14:textFill>
            <w14:solidFill>
              <w14:schemeClr w14:val="tx1"/>
            </w14:solidFill>
          </w14:textFill>
        </w:rPr>
        <w:t>《地表水环境质量标准》（GB3838-2002）Ⅲ类标准要求，</w:t>
      </w:r>
      <w:r>
        <w:rPr>
          <w:color w:val="000000" w:themeColor="text1"/>
          <w14:textFill>
            <w14:solidFill>
              <w14:schemeClr w14:val="tx1"/>
            </w14:solidFill>
          </w14:textFill>
        </w:rPr>
        <w:t>区域地表水质量良好</w:t>
      </w:r>
      <w:r>
        <w:rPr>
          <w:rFonts w:hint="eastAsia"/>
          <w:color w:val="000000" w:themeColor="text1"/>
          <w14:textFill>
            <w14:solidFill>
              <w14:schemeClr w14:val="tx1"/>
            </w14:solidFill>
          </w14:textFill>
        </w:rPr>
        <w:t>。</w:t>
      </w:r>
    </w:p>
    <w:p w14:paraId="2B4509EB">
      <w:pPr>
        <w:numPr>
          <w:ilvl w:val="0"/>
          <w:numId w:val="4"/>
        </w:numPr>
        <w:spacing w:line="500" w:lineRule="exact"/>
        <w:ind w:firstLine="482" w:firstLineChars="200"/>
        <w:rPr>
          <w:b/>
          <w:bCs/>
        </w:rPr>
      </w:pPr>
      <w:r>
        <w:rPr>
          <w:rFonts w:hint="eastAsia"/>
          <w:b/>
          <w:bCs/>
        </w:rPr>
        <w:t>地下水环境质量</w:t>
      </w:r>
    </w:p>
    <w:p w14:paraId="0FB3136F">
      <w:pPr>
        <w:spacing w:line="500" w:lineRule="exact"/>
        <w:ind w:firstLine="480" w:firstLineChars="200"/>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根据本项目地下水</w:t>
      </w:r>
      <w:r>
        <w:rPr>
          <w:rFonts w:hint="eastAsia" w:ascii="Times New Roman"/>
          <w:color w:val="000000" w:themeColor="text1"/>
          <w:szCs w:val="24"/>
          <w14:textFill>
            <w14:solidFill>
              <w14:schemeClr w14:val="tx1"/>
            </w14:solidFill>
          </w14:textFill>
        </w:rPr>
        <w:t>现状</w:t>
      </w:r>
      <w:r>
        <w:rPr>
          <w:rFonts w:ascii="Times New Roman"/>
          <w:color w:val="000000" w:themeColor="text1"/>
          <w:szCs w:val="24"/>
          <w14:textFill>
            <w14:solidFill>
              <w14:schemeClr w14:val="tx1"/>
            </w14:solidFill>
          </w14:textFill>
        </w:rPr>
        <w:t>监测结果，评价区域地下水环境质量良好，</w:t>
      </w:r>
      <w:r>
        <w:rPr>
          <w:rFonts w:hint="eastAsia"/>
          <w:color w:val="000000" w:themeColor="text1"/>
          <w14:textFill>
            <w14:solidFill>
              <w14:schemeClr w14:val="tx1"/>
            </w14:solidFill>
          </w14:textFill>
        </w:rPr>
        <w:t>项目所在区域地下水</w:t>
      </w:r>
      <w:r>
        <w:rPr>
          <w:rFonts w:ascii="Times New Roman" w:hAnsi="Times New Roman" w:eastAsia="宋体" w:cs="Times New Roman"/>
          <w:color w:val="000000" w:themeColor="text1"/>
          <w14:textFill>
            <w14:solidFill>
              <w14:schemeClr w14:val="tx1"/>
            </w14:solidFill>
          </w14:textFill>
        </w:rPr>
        <w:t>除</w:t>
      </w:r>
      <w:r>
        <w:rPr>
          <w:rFonts w:hint="eastAsia" w:ascii="Times New Roman" w:hAnsi="Times New Roman" w:eastAsia="宋体" w:cs="Times New Roman"/>
          <w:color w:val="000000" w:themeColor="text1"/>
          <w14:textFill>
            <w14:solidFill>
              <w14:schemeClr w14:val="tx1"/>
            </w14:solidFill>
          </w14:textFill>
        </w:rPr>
        <w:t>耗氧量</w:t>
      </w:r>
      <w:r>
        <w:rPr>
          <w:rFonts w:ascii="Times New Roman" w:hAnsi="Times New Roman" w:eastAsia="宋体" w:cs="Times New Roman"/>
          <w:color w:val="000000" w:themeColor="text1"/>
          <w14:textFill>
            <w14:solidFill>
              <w14:schemeClr w14:val="tx1"/>
            </w14:solidFill>
          </w14:textFill>
        </w:rPr>
        <w:t>不能达到《地下水环境质量标准》（GB/T14848-2017）中的Ⅲ类水质标准（达到Ⅳ类水质标准），其余各点位监测因子均能满足《地下水环境质量标准》（GB/T14848-2017）中的Ⅲ类及以上水质标准</w:t>
      </w:r>
      <w:r>
        <w:rPr>
          <w:rFonts w:ascii="Times New Roman"/>
          <w:color w:val="000000" w:themeColor="text1"/>
          <w:szCs w:val="24"/>
          <w14:textFill>
            <w14:solidFill>
              <w14:schemeClr w14:val="tx1"/>
            </w14:solidFill>
          </w14:textFill>
        </w:rPr>
        <w:t>。</w:t>
      </w:r>
    </w:p>
    <w:p w14:paraId="2446817B">
      <w:pPr>
        <w:numPr>
          <w:ilvl w:val="0"/>
          <w:numId w:val="4"/>
        </w:numPr>
        <w:spacing w:line="500" w:lineRule="exact"/>
        <w:ind w:firstLine="482" w:firstLineChars="200"/>
        <w:rPr>
          <w:b/>
          <w:bCs/>
        </w:rPr>
      </w:pPr>
      <w:r>
        <w:rPr>
          <w:rFonts w:hint="eastAsia"/>
          <w:b/>
          <w:bCs/>
        </w:rPr>
        <w:t>土壤环境质量</w:t>
      </w:r>
    </w:p>
    <w:p w14:paraId="28FCC69B">
      <w:pPr>
        <w:spacing w:line="50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根据本项目土壤现状监测结果，项目所在地范围内土壤各取样点监测数据均能满足《土壤环境质量标准 农用地土壤污染风险管控标准（试行）》（GB15618-2018）</w:t>
      </w:r>
      <w:r>
        <w:rPr>
          <w:color w:val="000000" w:themeColor="text1"/>
          <w:szCs w:val="24"/>
          <w14:textFill>
            <w14:solidFill>
              <w14:schemeClr w14:val="tx1"/>
            </w14:solidFill>
          </w14:textFill>
        </w:rPr>
        <w:t>表1农用地土壤污染风险筛选值（基本项目）的相关要求</w:t>
      </w:r>
      <w:r>
        <w:rPr>
          <w:rFonts w:hint="eastAsia"/>
          <w:color w:val="000000" w:themeColor="text1"/>
          <w14:textFill>
            <w14:solidFill>
              <w14:schemeClr w14:val="tx1"/>
            </w14:solidFill>
          </w14:textFill>
        </w:rPr>
        <w:t>。</w:t>
      </w:r>
    </w:p>
    <w:p w14:paraId="5A10FBAA">
      <w:pPr>
        <w:numPr>
          <w:ilvl w:val="0"/>
          <w:numId w:val="4"/>
        </w:numPr>
        <w:spacing w:line="500" w:lineRule="exact"/>
        <w:ind w:firstLine="482" w:firstLineChars="200"/>
        <w:rPr>
          <w:b/>
          <w:bCs/>
        </w:rPr>
      </w:pPr>
      <w:r>
        <w:rPr>
          <w:rFonts w:hint="eastAsia"/>
          <w:b/>
          <w:bCs/>
        </w:rPr>
        <w:t>声环境质量</w:t>
      </w:r>
    </w:p>
    <w:p w14:paraId="6540C554">
      <w:pPr>
        <w:pStyle w:val="81"/>
        <w:snapToGrid/>
        <w:spacing w:line="500" w:lineRule="exact"/>
        <w:ind w:firstLine="480" w:firstLineChars="200"/>
        <w:rPr>
          <w:b w:val="0"/>
          <w:bCs w:val="0"/>
          <w:color w:val="auto"/>
          <w:sz w:val="28"/>
          <w:szCs w:val="28"/>
        </w:rPr>
      </w:pPr>
      <w:r>
        <w:rPr>
          <w:rFonts w:hint="eastAsia" w:asciiTheme="minorHAnsi" w:hAnsiTheme="minorHAnsi" w:eastAsiaTheme="minorEastAsia"/>
          <w:b w:val="0"/>
          <w:bCs w:val="0"/>
          <w:color w:val="auto"/>
          <w:szCs w:val="22"/>
        </w:rPr>
        <w:t>根据噪声现状监测结果可知，厂界四周4个噪声监测点的昼间和夜间噪声现状监</w:t>
      </w:r>
      <w:r>
        <w:rPr>
          <w:rFonts w:hint="eastAsia" w:asciiTheme="minorHAnsi" w:hAnsiTheme="minorHAnsi" w:eastAsiaTheme="minorEastAsia"/>
          <w:b w:val="0"/>
          <w:bCs w:val="0"/>
          <w:color w:val="000000" w:themeColor="text1"/>
          <w:szCs w:val="22"/>
          <w14:textFill>
            <w14:solidFill>
              <w14:schemeClr w14:val="tx1"/>
            </w14:solidFill>
          </w14:textFill>
        </w:rPr>
        <w:t>测值均满足《声环境质量标准》（GB3096-2008）中的1类标准要求；西北侧敏感点戴庄及西南侧敏感点油坊庄昼间和夜间噪声现状监测值均满足《声环境质量标准》（GB3096-2008）中的1类标准要求</w:t>
      </w:r>
      <w:r>
        <w:rPr>
          <w:rFonts w:hint="eastAsia" w:asciiTheme="minorHAnsi" w:hAnsiTheme="minorHAnsi" w:eastAsiaTheme="minorEastAsia"/>
          <w:b w:val="0"/>
          <w:bCs w:val="0"/>
          <w:color w:val="FF0000"/>
          <w:szCs w:val="22"/>
        </w:rPr>
        <w:t>，</w:t>
      </w:r>
      <w:r>
        <w:rPr>
          <w:rFonts w:hint="eastAsia" w:asciiTheme="minorHAnsi" w:hAnsiTheme="minorHAnsi" w:eastAsiaTheme="minorEastAsia"/>
          <w:b w:val="0"/>
          <w:bCs w:val="0"/>
          <w:color w:val="auto"/>
          <w:szCs w:val="22"/>
        </w:rPr>
        <w:t>说明项目所在地声环境质量较好</w:t>
      </w:r>
      <w:r>
        <w:rPr>
          <w:b w:val="0"/>
          <w:bCs w:val="0"/>
          <w:color w:val="auto"/>
          <w:sz w:val="28"/>
          <w:szCs w:val="28"/>
        </w:rPr>
        <w:t>。</w:t>
      </w:r>
    </w:p>
    <w:p w14:paraId="27433D9A">
      <w:pPr>
        <w:autoSpaceDE w:val="0"/>
        <w:autoSpaceDN w:val="0"/>
        <w:spacing w:line="500" w:lineRule="exact"/>
        <w:ind w:firstLine="480" w:firstLineChars="200"/>
      </w:pPr>
      <w:r>
        <w:rPr>
          <w:rFonts w:hint="eastAsia"/>
        </w:rPr>
        <w:t>综上所述，本项目不会突破项目所在地的环境质量底线，本项目的建设符合环境质量底线标准。</w:t>
      </w:r>
    </w:p>
    <w:p w14:paraId="1E38CEFF">
      <w:pPr>
        <w:pStyle w:val="8"/>
        <w:spacing w:line="480" w:lineRule="exact"/>
      </w:pPr>
      <w:r>
        <w:t xml:space="preserve">1.5.6.2 </w:t>
      </w:r>
      <w:r>
        <w:rPr>
          <w:rFonts w:hint="eastAsia"/>
        </w:rPr>
        <w:t>与资源利用上线的对照分析</w:t>
      </w:r>
    </w:p>
    <w:p w14:paraId="4031B05E">
      <w:pPr>
        <w:spacing w:line="480" w:lineRule="exact"/>
        <w:ind w:firstLine="480" w:firstLineChars="200"/>
      </w:pPr>
      <w:r>
        <w:rPr>
          <w:rFonts w:hint="eastAsia"/>
        </w:rPr>
        <w:t>本项目为肉鸡养殖项目，项目用水来自乡镇供水管网，合理利用水资源，项目采用干清粪工艺，减少了水的用量；项目用电由市政供电管网提供，不会达到资源利用上线；项目用地为一般设施农用地，已取得土地租用协议，土地资源可得到保障，项目</w:t>
      </w:r>
      <w:r>
        <w:rPr>
          <w:rFonts w:hint="eastAsia"/>
          <w:lang w:val="en-US" w:eastAsia="zh-CN"/>
        </w:rPr>
        <w:t>冬季</w:t>
      </w:r>
      <w:r>
        <w:rPr>
          <w:rFonts w:hint="eastAsia"/>
        </w:rPr>
        <w:t>供热</w:t>
      </w:r>
      <w:r>
        <w:t>采</w:t>
      </w:r>
      <w:r>
        <w:rPr>
          <w:color w:val="000000" w:themeColor="text1"/>
          <w14:textFill>
            <w14:solidFill>
              <w14:schemeClr w14:val="tx1"/>
            </w14:solidFill>
          </w14:textFill>
        </w:rPr>
        <w:t>用</w:t>
      </w:r>
      <w:r>
        <w:rPr>
          <w:rFonts w:hint="eastAsia"/>
          <w:color w:val="000000" w:themeColor="text1"/>
          <w:lang w:val="en-US" w:eastAsia="zh-CN"/>
          <w14:textFill>
            <w14:solidFill>
              <w14:schemeClr w14:val="tx1"/>
            </w14:solidFill>
          </w14:textFill>
        </w:rPr>
        <w:t>电热水锅炉提供</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不会达到资源利用上线。因此，项目与资源利用上线相符。</w:t>
      </w:r>
    </w:p>
    <w:p w14:paraId="0708AF1B">
      <w:pPr>
        <w:pStyle w:val="8"/>
        <w:spacing w:line="500" w:lineRule="exact"/>
      </w:pPr>
      <w:r>
        <w:rPr>
          <w:rFonts w:hint="eastAsia"/>
        </w:rPr>
        <w:t>1</w:t>
      </w:r>
      <w:r>
        <w:t xml:space="preserve">.5.6.3 </w:t>
      </w:r>
      <w:r>
        <w:rPr>
          <w:rFonts w:hint="eastAsia"/>
        </w:rPr>
        <w:t>与生态保护红线的相符性分析</w:t>
      </w:r>
    </w:p>
    <w:p w14:paraId="43BE1CD2">
      <w:pPr>
        <w:pStyle w:val="82"/>
        <w:spacing w:line="500" w:lineRule="exact"/>
        <w:rPr>
          <w:color w:val="auto"/>
        </w:rPr>
      </w:pPr>
      <w:r>
        <w:rPr>
          <w:color w:val="auto"/>
        </w:rPr>
        <w:t>根据《江苏省生态空间管控区域规划》（苏政发[2020]1号）、《江苏省国家级生态保护红线规划》（苏政发[2018]74号），</w:t>
      </w:r>
      <w:r>
        <w:rPr>
          <w:rFonts w:hint="eastAsia"/>
          <w:color w:val="auto"/>
        </w:rPr>
        <w:t>与</w:t>
      </w:r>
      <w:r>
        <w:rPr>
          <w:color w:val="auto"/>
        </w:rPr>
        <w:t>本项目距离</w:t>
      </w:r>
      <w:r>
        <w:rPr>
          <w:rFonts w:hint="eastAsia"/>
          <w:color w:val="auto"/>
        </w:rPr>
        <w:t>较</w:t>
      </w:r>
      <w:r>
        <w:rPr>
          <w:color w:val="auto"/>
        </w:rPr>
        <w:t>近的生态空间管控区</w:t>
      </w:r>
      <w:r>
        <w:rPr>
          <w:rFonts w:hint="eastAsia"/>
          <w:color w:val="auto"/>
        </w:rPr>
        <w:t>分别</w:t>
      </w:r>
      <w:r>
        <w:rPr>
          <w:color w:val="auto"/>
        </w:rPr>
        <w:t>为</w:t>
      </w:r>
      <w:r>
        <w:rPr>
          <w:rFonts w:hint="eastAsia"/>
          <w:color w:val="auto"/>
        </w:rPr>
        <w:t>淮沭新河（泗阳县）清水通道维护区及</w:t>
      </w:r>
      <w:r>
        <w:rPr>
          <w:rFonts w:hAnsi="宋体"/>
          <w:color w:val="000000" w:themeColor="text1"/>
          <w14:textFill>
            <w14:solidFill>
              <w14:schemeClr w14:val="tx1"/>
            </w14:solidFill>
          </w14:textFill>
        </w:rPr>
        <w:t>六塘河（泗阳县）洪水调蓄区</w:t>
      </w:r>
      <w:r>
        <w:rPr>
          <w:color w:val="000000" w:themeColor="text1"/>
          <w14:textFill>
            <w14:solidFill>
              <w14:schemeClr w14:val="tx1"/>
            </w14:solidFill>
          </w14:textFill>
        </w:rPr>
        <w:t>，与本项目最近距离</w:t>
      </w:r>
      <w:r>
        <w:rPr>
          <w:rFonts w:hint="eastAsia"/>
          <w:color w:val="000000" w:themeColor="text1"/>
          <w14:textFill>
            <w14:solidFill>
              <w14:schemeClr w14:val="tx1"/>
            </w14:solidFill>
          </w14:textFill>
        </w:rPr>
        <w:t>分别</w:t>
      </w:r>
      <w:r>
        <w:rPr>
          <w:color w:val="000000" w:themeColor="text1"/>
          <w14:textFill>
            <w14:solidFill>
              <w14:schemeClr w14:val="tx1"/>
            </w14:solidFill>
          </w14:textFill>
        </w:rPr>
        <w:t>为</w:t>
      </w:r>
      <w:r>
        <w:rPr>
          <w:rFonts w:hint="eastAsia"/>
          <w:color w:val="000000" w:themeColor="text1"/>
          <w14:textFill>
            <w14:solidFill>
              <w14:schemeClr w14:val="tx1"/>
            </w14:solidFill>
          </w14:textFill>
        </w:rPr>
        <w:t>9.7km及10.3k</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，分别位于项目东侧及南侧</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生态</w:t>
      </w:r>
      <w:r>
        <w:rPr>
          <w:rFonts w:hint="eastAsia"/>
          <w:color w:val="000000" w:themeColor="text1"/>
          <w14:textFill>
            <w14:solidFill>
              <w14:schemeClr w14:val="tx1"/>
            </w14:solidFill>
          </w14:textFill>
        </w:rPr>
        <w:t>红线区域</w:t>
      </w:r>
      <w:r>
        <w:rPr>
          <w:color w:val="000000" w:themeColor="text1"/>
          <w14:textFill>
            <w14:solidFill>
              <w14:schemeClr w14:val="tx1"/>
            </w14:solidFill>
          </w14:textFill>
        </w:rPr>
        <w:t>保护规划如表1.</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所示</w:t>
      </w:r>
      <w:r>
        <w:rPr>
          <w:rFonts w:hint="eastAsia"/>
          <w:color w:val="000000" w:themeColor="text1"/>
          <w14:textFill>
            <w14:solidFill>
              <w14:schemeClr w14:val="tx1"/>
            </w14:solidFill>
          </w14:textFill>
        </w:rPr>
        <w:t>，项目所在地</w:t>
      </w:r>
      <w:r>
        <w:rPr>
          <w:color w:val="000000" w:themeColor="text1"/>
          <w14:textFill>
            <w14:solidFill>
              <w14:schemeClr w14:val="tx1"/>
            </w14:solidFill>
          </w14:textFill>
        </w:rPr>
        <w:t>生态保护红线分布见</w:t>
      </w:r>
      <w:r>
        <w:rPr>
          <w:b/>
          <w:bCs/>
          <w:color w:val="000000" w:themeColor="text1"/>
          <w14:textFill>
            <w14:solidFill>
              <w14:schemeClr w14:val="tx1"/>
            </w14:solidFill>
          </w14:textFill>
        </w:rPr>
        <w:t>图1.</w:t>
      </w:r>
      <w:r>
        <w:rPr>
          <w:rFonts w:hint="eastAsia"/>
          <w:b/>
          <w:bCs/>
          <w:color w:val="000000" w:themeColor="text1"/>
          <w14:textFill>
            <w14:solidFill>
              <w14:schemeClr w14:val="tx1"/>
            </w14:solidFill>
          </w14:textFill>
        </w:rPr>
        <w:t>5</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1</w:t>
      </w:r>
      <w:r>
        <w:rPr>
          <w:color w:val="000000" w:themeColor="text1"/>
          <w14:textFill>
            <w14:solidFill>
              <w14:schemeClr w14:val="tx1"/>
            </w14:solidFill>
          </w14:textFill>
        </w:rPr>
        <w:t>。</w:t>
      </w:r>
    </w:p>
    <w:p w14:paraId="6A6876A1">
      <w:pPr>
        <w:pStyle w:val="83"/>
        <w:spacing w:line="480" w:lineRule="exact"/>
        <w:rPr>
          <w:rFonts w:hint="default"/>
          <w:szCs w:val="24"/>
        </w:rPr>
      </w:pPr>
      <w:r>
        <w:rPr>
          <w:rFonts w:hint="default"/>
          <w:szCs w:val="24"/>
        </w:rPr>
        <w:t>表1</w:t>
      </w:r>
      <w:r>
        <w:rPr>
          <w:szCs w:val="24"/>
        </w:rPr>
        <w:t>.5</w:t>
      </w:r>
      <w:r>
        <w:rPr>
          <w:rFonts w:hint="default"/>
          <w:szCs w:val="24"/>
        </w:rPr>
        <w:t>-</w:t>
      </w:r>
      <w:r>
        <w:rPr>
          <w:szCs w:val="24"/>
        </w:rPr>
        <w:t>2</w:t>
      </w:r>
      <w:r>
        <w:rPr>
          <w:rFonts w:hint="default"/>
          <w:szCs w:val="24"/>
        </w:rPr>
        <w:t xml:space="preserve">  项目周边生态红线区域保护规划</w:t>
      </w:r>
    </w:p>
    <w:tbl>
      <w:tblPr>
        <w:tblStyle w:val="4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755"/>
        <w:gridCol w:w="1107"/>
        <w:gridCol w:w="2370"/>
        <w:gridCol w:w="1083"/>
        <w:gridCol w:w="1023"/>
        <w:gridCol w:w="741"/>
        <w:gridCol w:w="901"/>
      </w:tblGrid>
      <w:tr w14:paraId="4ACB4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pct"/>
            <w:vMerge w:val="restart"/>
            <w:vAlign w:val="center"/>
          </w:tcPr>
          <w:p w14:paraId="375903CB">
            <w:pPr>
              <w:pStyle w:val="84"/>
              <w:spacing w:line="300" w:lineRule="exact"/>
              <w:rPr>
                <w:b w:val="0"/>
                <w:bCs w:val="0"/>
                <w:color w:val="auto"/>
              </w:rPr>
            </w:pPr>
            <w:r>
              <w:rPr>
                <w:b w:val="0"/>
                <w:bCs w:val="0"/>
                <w:color w:val="auto"/>
              </w:rPr>
              <w:t>红线区域名称</w:t>
            </w:r>
          </w:p>
        </w:tc>
        <w:tc>
          <w:tcPr>
            <w:tcW w:w="407" w:type="pct"/>
            <w:vMerge w:val="restart"/>
            <w:vAlign w:val="center"/>
          </w:tcPr>
          <w:p w14:paraId="22D9136F">
            <w:pPr>
              <w:pStyle w:val="84"/>
              <w:spacing w:line="300" w:lineRule="exact"/>
              <w:rPr>
                <w:b w:val="0"/>
                <w:bCs w:val="0"/>
                <w:color w:val="auto"/>
              </w:rPr>
            </w:pPr>
            <w:r>
              <w:rPr>
                <w:b w:val="0"/>
                <w:bCs w:val="0"/>
                <w:color w:val="auto"/>
              </w:rPr>
              <w:t>主导生态功能</w:t>
            </w:r>
          </w:p>
        </w:tc>
        <w:tc>
          <w:tcPr>
            <w:tcW w:w="1872" w:type="pct"/>
            <w:gridSpan w:val="2"/>
            <w:vAlign w:val="center"/>
          </w:tcPr>
          <w:p w14:paraId="1572E4B0">
            <w:pPr>
              <w:pStyle w:val="84"/>
              <w:spacing w:line="300" w:lineRule="exact"/>
              <w:rPr>
                <w:b w:val="0"/>
                <w:bCs w:val="0"/>
                <w:color w:val="auto"/>
              </w:rPr>
            </w:pPr>
            <w:r>
              <w:rPr>
                <w:b w:val="0"/>
                <w:bCs w:val="0"/>
                <w:color w:val="auto"/>
              </w:rPr>
              <w:t>红线区域范围</w:t>
            </w:r>
          </w:p>
        </w:tc>
        <w:tc>
          <w:tcPr>
            <w:tcW w:w="1533" w:type="pct"/>
            <w:gridSpan w:val="3"/>
            <w:tcMar>
              <w:top w:w="0" w:type="dxa"/>
              <w:left w:w="28" w:type="dxa"/>
              <w:bottom w:w="0" w:type="dxa"/>
              <w:right w:w="28" w:type="dxa"/>
            </w:tcMar>
            <w:vAlign w:val="center"/>
          </w:tcPr>
          <w:p w14:paraId="4032DF7D">
            <w:pPr>
              <w:pStyle w:val="84"/>
              <w:spacing w:line="300" w:lineRule="exact"/>
              <w:rPr>
                <w:b w:val="0"/>
                <w:bCs w:val="0"/>
                <w:color w:val="auto"/>
              </w:rPr>
            </w:pPr>
            <w:r>
              <w:rPr>
                <w:b w:val="0"/>
                <w:bCs w:val="0"/>
                <w:color w:val="auto"/>
              </w:rPr>
              <w:t>面积（平方公里）</w:t>
            </w:r>
          </w:p>
        </w:tc>
        <w:tc>
          <w:tcPr>
            <w:tcW w:w="485" w:type="pct"/>
            <w:vMerge w:val="restart"/>
            <w:vAlign w:val="center"/>
          </w:tcPr>
          <w:p w14:paraId="2B59682E">
            <w:pPr>
              <w:pStyle w:val="84"/>
              <w:spacing w:line="300" w:lineRule="exact"/>
              <w:rPr>
                <w:b w:val="0"/>
                <w:bCs w:val="0"/>
                <w:color w:val="auto"/>
              </w:rPr>
            </w:pPr>
            <w:r>
              <w:rPr>
                <w:b w:val="0"/>
                <w:bCs w:val="0"/>
                <w:color w:val="auto"/>
              </w:rPr>
              <w:t>方位距离m</w:t>
            </w:r>
          </w:p>
        </w:tc>
      </w:tr>
      <w:tr w14:paraId="6D841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pct"/>
            <w:vMerge w:val="continue"/>
            <w:vAlign w:val="center"/>
          </w:tcPr>
          <w:p w14:paraId="4FFB07BB">
            <w:pPr>
              <w:pStyle w:val="84"/>
              <w:spacing w:line="300" w:lineRule="exact"/>
              <w:rPr>
                <w:b w:val="0"/>
                <w:bCs w:val="0"/>
                <w:color w:val="auto"/>
              </w:rPr>
            </w:pPr>
          </w:p>
        </w:tc>
        <w:tc>
          <w:tcPr>
            <w:tcW w:w="407" w:type="pct"/>
            <w:vMerge w:val="continue"/>
            <w:vAlign w:val="center"/>
          </w:tcPr>
          <w:p w14:paraId="200B105F">
            <w:pPr>
              <w:pStyle w:val="84"/>
              <w:spacing w:line="300" w:lineRule="exact"/>
              <w:rPr>
                <w:b w:val="0"/>
                <w:bCs w:val="0"/>
                <w:color w:val="auto"/>
              </w:rPr>
            </w:pPr>
          </w:p>
        </w:tc>
        <w:tc>
          <w:tcPr>
            <w:tcW w:w="596" w:type="pct"/>
            <w:vAlign w:val="center"/>
          </w:tcPr>
          <w:p w14:paraId="7147E58B">
            <w:pPr>
              <w:pStyle w:val="84"/>
              <w:spacing w:line="300" w:lineRule="exact"/>
              <w:rPr>
                <w:b w:val="0"/>
                <w:bCs w:val="0"/>
                <w:color w:val="auto"/>
              </w:rPr>
            </w:pPr>
            <w:r>
              <w:rPr>
                <w:b w:val="0"/>
                <w:bCs w:val="0"/>
                <w:color w:val="auto"/>
              </w:rPr>
              <w:t>国家级生态保护红线范围</w:t>
            </w:r>
          </w:p>
        </w:tc>
        <w:tc>
          <w:tcPr>
            <w:tcW w:w="1275" w:type="pct"/>
            <w:vAlign w:val="center"/>
          </w:tcPr>
          <w:p w14:paraId="49F580B8">
            <w:pPr>
              <w:pStyle w:val="84"/>
              <w:spacing w:line="300" w:lineRule="exact"/>
              <w:rPr>
                <w:b w:val="0"/>
                <w:bCs w:val="0"/>
                <w:color w:val="auto"/>
              </w:rPr>
            </w:pPr>
            <w:r>
              <w:rPr>
                <w:b w:val="0"/>
                <w:bCs w:val="0"/>
                <w:color w:val="auto"/>
              </w:rPr>
              <w:t>生态空间管控区域范围</w:t>
            </w:r>
          </w:p>
        </w:tc>
        <w:tc>
          <w:tcPr>
            <w:tcW w:w="583" w:type="pct"/>
            <w:tcMar>
              <w:top w:w="0" w:type="dxa"/>
              <w:left w:w="28" w:type="dxa"/>
              <w:bottom w:w="0" w:type="dxa"/>
              <w:right w:w="28" w:type="dxa"/>
            </w:tcMar>
            <w:vAlign w:val="center"/>
          </w:tcPr>
          <w:p w14:paraId="4D4308D6">
            <w:pPr>
              <w:pStyle w:val="84"/>
              <w:spacing w:line="300" w:lineRule="exact"/>
              <w:rPr>
                <w:b w:val="0"/>
                <w:bCs w:val="0"/>
                <w:color w:val="auto"/>
              </w:rPr>
            </w:pPr>
            <w:r>
              <w:rPr>
                <w:b w:val="0"/>
                <w:bCs w:val="0"/>
                <w:color w:val="auto"/>
              </w:rPr>
              <w:t>国家级生态保护红线面积</w:t>
            </w:r>
          </w:p>
        </w:tc>
        <w:tc>
          <w:tcPr>
            <w:tcW w:w="551" w:type="pct"/>
            <w:tcMar>
              <w:top w:w="0" w:type="dxa"/>
              <w:left w:w="28" w:type="dxa"/>
              <w:bottom w:w="0" w:type="dxa"/>
              <w:right w:w="28" w:type="dxa"/>
            </w:tcMar>
            <w:vAlign w:val="center"/>
          </w:tcPr>
          <w:p w14:paraId="72EEDFAD">
            <w:pPr>
              <w:pStyle w:val="84"/>
              <w:spacing w:line="300" w:lineRule="exact"/>
              <w:rPr>
                <w:b w:val="0"/>
                <w:bCs w:val="0"/>
                <w:color w:val="auto"/>
              </w:rPr>
            </w:pPr>
            <w:r>
              <w:rPr>
                <w:b w:val="0"/>
                <w:bCs w:val="0"/>
                <w:color w:val="auto"/>
              </w:rPr>
              <w:t>生态空间管控区域面积</w:t>
            </w:r>
          </w:p>
        </w:tc>
        <w:tc>
          <w:tcPr>
            <w:tcW w:w="399" w:type="pct"/>
            <w:vAlign w:val="center"/>
          </w:tcPr>
          <w:p w14:paraId="49944017">
            <w:pPr>
              <w:pStyle w:val="84"/>
              <w:spacing w:line="300" w:lineRule="exact"/>
              <w:rPr>
                <w:b w:val="0"/>
                <w:bCs w:val="0"/>
                <w:color w:val="auto"/>
              </w:rPr>
            </w:pPr>
            <w:r>
              <w:rPr>
                <w:b w:val="0"/>
                <w:bCs w:val="0"/>
                <w:color w:val="auto"/>
              </w:rPr>
              <w:t>总面积</w:t>
            </w:r>
          </w:p>
        </w:tc>
        <w:tc>
          <w:tcPr>
            <w:tcW w:w="485" w:type="pct"/>
            <w:vMerge w:val="continue"/>
            <w:vAlign w:val="center"/>
          </w:tcPr>
          <w:p w14:paraId="2F6DD6C9">
            <w:pPr>
              <w:pStyle w:val="84"/>
              <w:spacing w:line="300" w:lineRule="exact"/>
              <w:rPr>
                <w:b w:val="0"/>
                <w:bCs w:val="0"/>
                <w:color w:val="auto"/>
              </w:rPr>
            </w:pPr>
          </w:p>
        </w:tc>
      </w:tr>
      <w:tr w14:paraId="4F025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pct"/>
            <w:vAlign w:val="center"/>
          </w:tcPr>
          <w:p w14:paraId="6614A00D">
            <w:pPr>
              <w:pStyle w:val="85"/>
              <w:spacing w:line="300" w:lineRule="exact"/>
              <w:rPr>
                <w:rFonts w:hint="default"/>
                <w:color w:val="auto"/>
              </w:rPr>
            </w:pPr>
            <w:r>
              <w:rPr>
                <w:color w:val="auto"/>
              </w:rPr>
              <w:t>淮沭新河（泗阳县）清水通道维护区</w:t>
            </w:r>
          </w:p>
        </w:tc>
        <w:tc>
          <w:tcPr>
            <w:tcW w:w="407" w:type="pct"/>
            <w:vAlign w:val="center"/>
          </w:tcPr>
          <w:p w14:paraId="7232AB29">
            <w:pPr>
              <w:pStyle w:val="85"/>
              <w:spacing w:line="300" w:lineRule="exact"/>
              <w:rPr>
                <w:rFonts w:hint="default"/>
                <w:color w:val="auto"/>
              </w:rPr>
            </w:pPr>
            <w:r>
              <w:rPr>
                <w:color w:val="auto"/>
              </w:rPr>
              <w:t>水源水质保护</w:t>
            </w:r>
          </w:p>
        </w:tc>
        <w:tc>
          <w:tcPr>
            <w:tcW w:w="596" w:type="pct"/>
            <w:vAlign w:val="center"/>
          </w:tcPr>
          <w:p w14:paraId="17C6FD5C">
            <w:pPr>
              <w:pStyle w:val="85"/>
              <w:spacing w:line="300" w:lineRule="exact"/>
              <w:rPr>
                <w:rFonts w:hint="default"/>
                <w:color w:val="auto"/>
              </w:rPr>
            </w:pPr>
            <w:r>
              <w:rPr>
                <w:color w:val="auto"/>
              </w:rPr>
              <w:t>/</w:t>
            </w:r>
          </w:p>
        </w:tc>
        <w:tc>
          <w:tcPr>
            <w:tcW w:w="1275" w:type="pct"/>
            <w:vAlign w:val="center"/>
          </w:tcPr>
          <w:p w14:paraId="5E16ABB4">
            <w:pPr>
              <w:pStyle w:val="85"/>
              <w:spacing w:line="300" w:lineRule="exact"/>
              <w:rPr>
                <w:rFonts w:hint="default"/>
                <w:color w:val="auto"/>
              </w:rPr>
            </w:pPr>
            <w:r>
              <w:rPr>
                <w:color w:val="auto"/>
              </w:rPr>
              <w:t>淮沭新河泗阳段全长约12.4公里，含西自爱园镇洪园村、东至魏圩镇方塘村淮沭新河水域及两侧背水坡堤脚外各100米的陆域范围</w:t>
            </w:r>
          </w:p>
        </w:tc>
        <w:tc>
          <w:tcPr>
            <w:tcW w:w="583" w:type="pct"/>
            <w:tcMar>
              <w:top w:w="0" w:type="dxa"/>
              <w:left w:w="28" w:type="dxa"/>
              <w:bottom w:w="0" w:type="dxa"/>
              <w:right w:w="28" w:type="dxa"/>
            </w:tcMar>
            <w:vAlign w:val="center"/>
          </w:tcPr>
          <w:p w14:paraId="6AC753E3">
            <w:pPr>
              <w:pStyle w:val="85"/>
              <w:spacing w:line="300" w:lineRule="exact"/>
              <w:rPr>
                <w:rFonts w:hint="default"/>
                <w:color w:val="auto"/>
              </w:rPr>
            </w:pPr>
            <w:r>
              <w:rPr>
                <w:color w:val="auto"/>
              </w:rPr>
              <w:t>/</w:t>
            </w:r>
          </w:p>
        </w:tc>
        <w:tc>
          <w:tcPr>
            <w:tcW w:w="551" w:type="pct"/>
            <w:tcMar>
              <w:top w:w="0" w:type="dxa"/>
              <w:left w:w="28" w:type="dxa"/>
              <w:bottom w:w="0" w:type="dxa"/>
              <w:right w:w="28" w:type="dxa"/>
            </w:tcMar>
            <w:vAlign w:val="center"/>
          </w:tcPr>
          <w:p w14:paraId="5B4934BE">
            <w:pPr>
              <w:pStyle w:val="85"/>
              <w:spacing w:line="300" w:lineRule="exact"/>
              <w:rPr>
                <w:rFonts w:hint="default"/>
                <w:color w:val="auto"/>
              </w:rPr>
            </w:pPr>
            <w:r>
              <w:rPr>
                <w:color w:val="auto"/>
              </w:rPr>
              <w:t>17.92</w:t>
            </w:r>
          </w:p>
        </w:tc>
        <w:tc>
          <w:tcPr>
            <w:tcW w:w="399" w:type="pct"/>
            <w:vAlign w:val="center"/>
          </w:tcPr>
          <w:p w14:paraId="38ADB160">
            <w:pPr>
              <w:pStyle w:val="85"/>
              <w:spacing w:line="300" w:lineRule="exact"/>
              <w:rPr>
                <w:rFonts w:hint="default"/>
                <w:color w:val="auto"/>
              </w:rPr>
            </w:pPr>
            <w:r>
              <w:rPr>
                <w:color w:val="auto"/>
              </w:rPr>
              <w:t>17.92</w:t>
            </w:r>
          </w:p>
        </w:tc>
        <w:tc>
          <w:tcPr>
            <w:tcW w:w="485" w:type="pct"/>
            <w:vAlign w:val="center"/>
          </w:tcPr>
          <w:p w14:paraId="0833CC2E">
            <w:pPr>
              <w:pStyle w:val="85"/>
              <w:spacing w:line="300" w:lineRule="exact"/>
              <w:rPr>
                <w:rFonts w:hint="default"/>
                <w:color w:val="auto"/>
              </w:rPr>
            </w:pPr>
            <w:r>
              <w:rPr>
                <w:color w:val="auto"/>
              </w:rPr>
              <w:t>E，9700</w:t>
            </w:r>
          </w:p>
        </w:tc>
      </w:tr>
      <w:tr w14:paraId="279B0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pct"/>
            <w:vAlign w:val="center"/>
          </w:tcPr>
          <w:p w14:paraId="29134053">
            <w:pPr>
              <w:pStyle w:val="85"/>
              <w:spacing w:line="300" w:lineRule="exact"/>
              <w:rPr>
                <w:rFonts w:hint="default"/>
                <w:color w:val="auto"/>
              </w:rPr>
            </w:pPr>
            <w:r>
              <w:rPr>
                <w:color w:val="auto"/>
              </w:rPr>
              <w:t>六塘河（泗阳县）洪水调蓄区</w:t>
            </w:r>
          </w:p>
        </w:tc>
        <w:tc>
          <w:tcPr>
            <w:tcW w:w="407" w:type="pct"/>
            <w:vAlign w:val="center"/>
          </w:tcPr>
          <w:p w14:paraId="12AA7F90">
            <w:pPr>
              <w:pStyle w:val="85"/>
              <w:spacing w:line="300" w:lineRule="exact"/>
              <w:rPr>
                <w:rFonts w:hint="default"/>
                <w:color w:val="auto"/>
              </w:rPr>
            </w:pPr>
            <w:r>
              <w:rPr>
                <w:color w:val="auto"/>
              </w:rPr>
              <w:t>洪水调蓄</w:t>
            </w:r>
          </w:p>
        </w:tc>
        <w:tc>
          <w:tcPr>
            <w:tcW w:w="596" w:type="pct"/>
            <w:vAlign w:val="center"/>
          </w:tcPr>
          <w:p w14:paraId="79F311E3">
            <w:pPr>
              <w:pStyle w:val="85"/>
              <w:spacing w:line="300" w:lineRule="exact"/>
              <w:rPr>
                <w:rFonts w:hint="default"/>
                <w:color w:val="auto"/>
              </w:rPr>
            </w:pPr>
            <w:r>
              <w:rPr>
                <w:color w:val="auto"/>
              </w:rPr>
              <w:t>/</w:t>
            </w:r>
          </w:p>
        </w:tc>
        <w:tc>
          <w:tcPr>
            <w:tcW w:w="1275" w:type="pct"/>
            <w:vAlign w:val="center"/>
          </w:tcPr>
          <w:p w14:paraId="50575D05">
            <w:pPr>
              <w:pStyle w:val="85"/>
              <w:spacing w:line="300" w:lineRule="exact"/>
              <w:rPr>
                <w:rFonts w:hint="default"/>
                <w:color w:val="auto"/>
              </w:rPr>
            </w:pPr>
            <w:r>
              <w:rPr>
                <w:color w:val="auto"/>
              </w:rPr>
              <w:t>六塘河两岸河堤之间以及两岸河堤 外100米陆域的范围</w:t>
            </w:r>
          </w:p>
        </w:tc>
        <w:tc>
          <w:tcPr>
            <w:tcW w:w="583" w:type="pct"/>
            <w:tcMar>
              <w:top w:w="0" w:type="dxa"/>
              <w:left w:w="28" w:type="dxa"/>
              <w:bottom w:w="0" w:type="dxa"/>
              <w:right w:w="28" w:type="dxa"/>
            </w:tcMar>
            <w:vAlign w:val="center"/>
          </w:tcPr>
          <w:p w14:paraId="774BAAFF">
            <w:pPr>
              <w:pStyle w:val="85"/>
              <w:spacing w:line="300" w:lineRule="exact"/>
              <w:rPr>
                <w:rFonts w:hint="default"/>
                <w:color w:val="auto"/>
              </w:rPr>
            </w:pPr>
            <w:r>
              <w:rPr>
                <w:color w:val="auto"/>
              </w:rPr>
              <w:t>/</w:t>
            </w:r>
          </w:p>
        </w:tc>
        <w:tc>
          <w:tcPr>
            <w:tcW w:w="551" w:type="pct"/>
            <w:tcMar>
              <w:top w:w="0" w:type="dxa"/>
              <w:left w:w="28" w:type="dxa"/>
              <w:bottom w:w="0" w:type="dxa"/>
              <w:right w:w="28" w:type="dxa"/>
            </w:tcMar>
            <w:vAlign w:val="center"/>
          </w:tcPr>
          <w:p w14:paraId="47AE95BF">
            <w:pPr>
              <w:pStyle w:val="85"/>
              <w:spacing w:line="300" w:lineRule="exact"/>
              <w:rPr>
                <w:rFonts w:hint="default"/>
                <w:color w:val="auto"/>
              </w:rPr>
            </w:pPr>
            <w:r>
              <w:rPr>
                <w:color w:val="auto"/>
              </w:rPr>
              <w:t>14.74</w:t>
            </w:r>
          </w:p>
        </w:tc>
        <w:tc>
          <w:tcPr>
            <w:tcW w:w="399" w:type="pct"/>
            <w:vAlign w:val="center"/>
          </w:tcPr>
          <w:p w14:paraId="1D31829F">
            <w:pPr>
              <w:pStyle w:val="85"/>
              <w:spacing w:line="300" w:lineRule="exact"/>
              <w:rPr>
                <w:rFonts w:hint="default"/>
                <w:color w:val="auto"/>
              </w:rPr>
            </w:pPr>
            <w:r>
              <w:rPr>
                <w:color w:val="auto"/>
              </w:rPr>
              <w:t>14.74</w:t>
            </w:r>
          </w:p>
        </w:tc>
        <w:tc>
          <w:tcPr>
            <w:tcW w:w="485" w:type="pct"/>
            <w:vAlign w:val="center"/>
          </w:tcPr>
          <w:p w14:paraId="08F087A6">
            <w:pPr>
              <w:pStyle w:val="85"/>
              <w:spacing w:line="300" w:lineRule="exact"/>
              <w:rPr>
                <w:rFonts w:hint="default"/>
                <w:color w:val="auto"/>
              </w:rPr>
            </w:pPr>
            <w:r>
              <w:rPr>
                <w:color w:val="auto"/>
              </w:rPr>
              <w:t>S，10300</w:t>
            </w:r>
          </w:p>
        </w:tc>
      </w:tr>
    </w:tbl>
    <w:p w14:paraId="2F8A1B57">
      <w:pPr>
        <w:pStyle w:val="82"/>
        <w:snapToGrid/>
        <w:spacing w:line="44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对照表1.5-2，本项目建设区域与国家级生态保护红线范围及江苏省生态空间管控区域范围均无交集，不涉及泗阳县内的生态红线区域，不会导致泗阳县辖区内生态红线区域服务功能下降，故本项目的建设符合《江苏省生态空间管控区域规划》（苏政发[2020]1号）和《江苏省国家级生态保护红线规划》（苏政发[2018]74号）相关要求。</w:t>
      </w:r>
    </w:p>
    <w:p w14:paraId="5B5E2FA2">
      <w:pPr>
        <w:pStyle w:val="8"/>
        <w:spacing w:line="440" w:lineRule="exact"/>
      </w:pPr>
      <w:r>
        <w:rPr>
          <w:rFonts w:hint="eastAsia"/>
        </w:rPr>
        <w:t>1</w:t>
      </w:r>
      <w:r>
        <w:t>.5.6.</w:t>
      </w:r>
      <w:r>
        <w:rPr>
          <w:rFonts w:hint="eastAsia"/>
        </w:rPr>
        <w:t>4与生态环境准入清单的相符性分析</w:t>
      </w:r>
    </w:p>
    <w:p w14:paraId="40271098">
      <w:pPr>
        <w:spacing w:line="440" w:lineRule="exact"/>
        <w:ind w:firstLine="480" w:firstLineChars="200"/>
      </w:pPr>
      <w:r>
        <w:rPr>
          <w:rFonts w:hint="eastAsia"/>
        </w:rPr>
        <w:t>本项目位于宿迁市泗阳县穿城镇向阳村，根据《宿迁市“三线一单”生态环境分区管控实施方案》，穿城镇属于一般管控单元。本项目与《宿迁市“三线一单”生态环境分区管控实施方案》（宿环发</w:t>
      </w:r>
      <w:r>
        <w:rPr>
          <w:rFonts w:hint="eastAsia" w:ascii="宋体" w:hAnsi="宋体"/>
        </w:rPr>
        <w:t>〔</w:t>
      </w:r>
      <w:r>
        <w:rPr>
          <w:rFonts w:hint="eastAsia"/>
        </w:rPr>
        <w:t>202</w:t>
      </w:r>
      <w:r>
        <w:t>0</w:t>
      </w:r>
      <w:r>
        <w:rPr>
          <w:rFonts w:hint="eastAsia" w:ascii="宋体" w:hAnsi="宋体"/>
        </w:rPr>
        <w:t>〕</w:t>
      </w:r>
      <w:r>
        <w:t>78</w:t>
      </w:r>
      <w:r>
        <w:rPr>
          <w:rFonts w:hint="eastAsia"/>
        </w:rPr>
        <w:t>号）相符性情况如下表</w:t>
      </w:r>
      <w:r>
        <w:t>1.5</w:t>
      </w:r>
      <w:r>
        <w:rPr>
          <w:rFonts w:hint="eastAsia"/>
        </w:rPr>
        <w:t>-</w:t>
      </w:r>
      <w:r>
        <w:t>3</w:t>
      </w:r>
      <w:r>
        <w:rPr>
          <w:rFonts w:hint="eastAsia"/>
        </w:rPr>
        <w:t>所示。</w:t>
      </w:r>
    </w:p>
    <w:p w14:paraId="72A81E24">
      <w:pPr>
        <w:pStyle w:val="31"/>
        <w:spacing w:before="0" w:line="440" w:lineRule="exact"/>
      </w:pPr>
      <w:r>
        <w:rPr>
          <w:rFonts w:hint="eastAsia"/>
        </w:rPr>
        <w:t>表</w:t>
      </w:r>
      <w:r>
        <w:t xml:space="preserve">1.5-3  </w:t>
      </w:r>
      <w:r>
        <w:rPr>
          <w:rFonts w:hint="eastAsia"/>
        </w:rPr>
        <w:t>与《宿迁市“三线一单”生态环境分区管控实施方案》相符性分析</w:t>
      </w:r>
    </w:p>
    <w:tbl>
      <w:tblPr>
        <w:tblStyle w:val="4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650"/>
        <w:gridCol w:w="946"/>
        <w:gridCol w:w="3004"/>
        <w:gridCol w:w="2718"/>
        <w:gridCol w:w="862"/>
      </w:tblGrid>
      <w:tr w14:paraId="737644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vAlign w:val="center"/>
          </w:tcPr>
          <w:p w14:paraId="41CFB599">
            <w:pPr>
              <w:pStyle w:val="57"/>
              <w:spacing w:line="270" w:lineRule="exact"/>
            </w:pPr>
            <w:r>
              <w:rPr>
                <w:rFonts w:hint="eastAsia"/>
              </w:rPr>
              <w:t>管控单元</w:t>
            </w:r>
          </w:p>
        </w:tc>
        <w:tc>
          <w:tcPr>
            <w:tcW w:w="350" w:type="pct"/>
            <w:vAlign w:val="center"/>
          </w:tcPr>
          <w:p w14:paraId="52DCA091">
            <w:pPr>
              <w:pStyle w:val="57"/>
              <w:spacing w:line="270" w:lineRule="exact"/>
            </w:pPr>
            <w:r>
              <w:rPr>
                <w:rFonts w:hint="eastAsia"/>
              </w:rPr>
              <w:t>要求</w:t>
            </w:r>
          </w:p>
        </w:tc>
        <w:tc>
          <w:tcPr>
            <w:tcW w:w="509" w:type="pct"/>
            <w:vAlign w:val="center"/>
          </w:tcPr>
          <w:p w14:paraId="797989F9">
            <w:pPr>
              <w:pStyle w:val="57"/>
              <w:spacing w:line="270" w:lineRule="exact"/>
            </w:pPr>
            <w:r>
              <w:rPr>
                <w:rFonts w:hint="eastAsia"/>
              </w:rPr>
              <w:t>分类</w:t>
            </w:r>
          </w:p>
        </w:tc>
        <w:tc>
          <w:tcPr>
            <w:tcW w:w="1617" w:type="pct"/>
            <w:vAlign w:val="center"/>
          </w:tcPr>
          <w:p w14:paraId="6FFBF561">
            <w:pPr>
              <w:pStyle w:val="57"/>
              <w:spacing w:line="270" w:lineRule="exact"/>
            </w:pPr>
            <w:r>
              <w:rPr>
                <w:rFonts w:hint="eastAsia"/>
              </w:rPr>
              <w:t>内容</w:t>
            </w:r>
          </w:p>
        </w:tc>
        <w:tc>
          <w:tcPr>
            <w:tcW w:w="1463" w:type="pct"/>
            <w:vAlign w:val="center"/>
          </w:tcPr>
          <w:p w14:paraId="7271D16F">
            <w:pPr>
              <w:pStyle w:val="57"/>
              <w:spacing w:line="270" w:lineRule="exact"/>
            </w:pPr>
            <w:r>
              <w:rPr>
                <w:rFonts w:hint="eastAsia"/>
              </w:rPr>
              <w:t>本次规划情况</w:t>
            </w:r>
          </w:p>
        </w:tc>
        <w:tc>
          <w:tcPr>
            <w:tcW w:w="464" w:type="pct"/>
            <w:vAlign w:val="center"/>
          </w:tcPr>
          <w:p w14:paraId="5EB37DA8">
            <w:pPr>
              <w:pStyle w:val="57"/>
              <w:spacing w:line="270" w:lineRule="exact"/>
            </w:pPr>
            <w:r>
              <w:rPr>
                <w:rFonts w:hint="eastAsia"/>
              </w:rPr>
              <w:t>相符性</w:t>
            </w:r>
          </w:p>
        </w:tc>
      </w:tr>
      <w:tr w14:paraId="283D6E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vMerge w:val="restart"/>
            <w:vAlign w:val="center"/>
          </w:tcPr>
          <w:p w14:paraId="6888F6A1">
            <w:pPr>
              <w:pStyle w:val="57"/>
              <w:spacing w:line="270" w:lineRule="exact"/>
            </w:pPr>
            <w:r>
              <w:rPr>
                <w:rFonts w:hint="eastAsia"/>
              </w:rPr>
              <w:t>穿城镇</w:t>
            </w:r>
          </w:p>
        </w:tc>
        <w:tc>
          <w:tcPr>
            <w:tcW w:w="350" w:type="pct"/>
            <w:vMerge w:val="restart"/>
            <w:vAlign w:val="center"/>
          </w:tcPr>
          <w:p w14:paraId="37E3EF8E">
            <w:pPr>
              <w:pStyle w:val="57"/>
              <w:spacing w:line="270" w:lineRule="exact"/>
            </w:pPr>
            <w:r>
              <w:rPr>
                <w:rFonts w:hint="eastAsia"/>
              </w:rPr>
              <w:t>一般管控单元准入</w:t>
            </w:r>
          </w:p>
        </w:tc>
        <w:tc>
          <w:tcPr>
            <w:tcW w:w="509" w:type="pct"/>
            <w:vAlign w:val="center"/>
          </w:tcPr>
          <w:p w14:paraId="73ACC450">
            <w:pPr>
              <w:pStyle w:val="57"/>
              <w:spacing w:line="270" w:lineRule="exact"/>
            </w:pPr>
            <w:r>
              <w:rPr>
                <w:rFonts w:hint="eastAsia"/>
              </w:rPr>
              <w:t>空间布局约束</w:t>
            </w:r>
          </w:p>
        </w:tc>
        <w:tc>
          <w:tcPr>
            <w:tcW w:w="1617" w:type="pct"/>
            <w:vAlign w:val="center"/>
          </w:tcPr>
          <w:p w14:paraId="17F7F594">
            <w:pPr>
              <w:pStyle w:val="57"/>
              <w:spacing w:line="270" w:lineRule="exact"/>
            </w:pPr>
            <w:r>
              <w:rPr>
                <w:rFonts w:hint="eastAsia"/>
              </w:rPr>
              <w:t>引入项目符合宿迁市总体准入要求。</w:t>
            </w:r>
          </w:p>
        </w:tc>
        <w:tc>
          <w:tcPr>
            <w:tcW w:w="1463" w:type="pct"/>
            <w:vAlign w:val="center"/>
          </w:tcPr>
          <w:p w14:paraId="15976068">
            <w:pPr>
              <w:pStyle w:val="57"/>
              <w:spacing w:line="270" w:lineRule="exact"/>
            </w:pPr>
            <w:r>
              <w:rPr>
                <w:rFonts w:hint="eastAsia"/>
              </w:rPr>
              <w:t>本项目属于肉鸡养殖项目，符合宿迁市总体准入要求。</w:t>
            </w:r>
          </w:p>
        </w:tc>
        <w:tc>
          <w:tcPr>
            <w:tcW w:w="464" w:type="pct"/>
            <w:vAlign w:val="center"/>
          </w:tcPr>
          <w:p w14:paraId="0681F560">
            <w:pPr>
              <w:pStyle w:val="57"/>
              <w:spacing w:line="270" w:lineRule="exact"/>
            </w:pPr>
            <w:r>
              <w:rPr>
                <w:rFonts w:hint="eastAsia"/>
              </w:rPr>
              <w:t>相符</w:t>
            </w:r>
          </w:p>
        </w:tc>
      </w:tr>
      <w:tr w14:paraId="3AAB3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vMerge w:val="continue"/>
            <w:vAlign w:val="center"/>
          </w:tcPr>
          <w:p w14:paraId="22ED3F4C">
            <w:pPr>
              <w:pStyle w:val="57"/>
              <w:spacing w:line="270" w:lineRule="exact"/>
            </w:pPr>
          </w:p>
        </w:tc>
        <w:tc>
          <w:tcPr>
            <w:tcW w:w="350" w:type="pct"/>
            <w:vMerge w:val="continue"/>
            <w:vAlign w:val="center"/>
          </w:tcPr>
          <w:p w14:paraId="56A22E98">
            <w:pPr>
              <w:pStyle w:val="57"/>
              <w:spacing w:line="270" w:lineRule="exact"/>
            </w:pPr>
          </w:p>
        </w:tc>
        <w:tc>
          <w:tcPr>
            <w:tcW w:w="509" w:type="pct"/>
            <w:vAlign w:val="center"/>
          </w:tcPr>
          <w:p w14:paraId="42FCAF2E">
            <w:pPr>
              <w:pStyle w:val="57"/>
              <w:spacing w:line="270" w:lineRule="exact"/>
            </w:pPr>
            <w:r>
              <w:rPr>
                <w:rFonts w:hint="eastAsia"/>
              </w:rPr>
              <w:t>污染物排放管控</w:t>
            </w:r>
          </w:p>
        </w:tc>
        <w:tc>
          <w:tcPr>
            <w:tcW w:w="1617" w:type="pct"/>
            <w:vAlign w:val="center"/>
          </w:tcPr>
          <w:p w14:paraId="4084D46B">
            <w:pPr>
              <w:pStyle w:val="57"/>
              <w:spacing w:line="270" w:lineRule="exact"/>
            </w:pPr>
            <w:r>
              <w:rPr>
                <w:rFonts w:hint="eastAsia" w:ascii="Times New Roman" w:hAnsi="Times New Roman" w:eastAsia="宋体"/>
              </w:rPr>
              <w:t>不得在居民居住区露天烧烤。建筑内外墙装饰全面使用低（无）VOCs含量的涂料。推广农业清洁化生产，加强化肥、农药、农膜、饵料、饲料添加剂等农业投入品监管，控减化肥农药施用量，实施有机肥代替化肥行动。</w:t>
            </w:r>
          </w:p>
        </w:tc>
        <w:tc>
          <w:tcPr>
            <w:tcW w:w="1463" w:type="pct"/>
            <w:vAlign w:val="center"/>
          </w:tcPr>
          <w:p w14:paraId="016F5B50">
            <w:pPr>
              <w:pStyle w:val="57"/>
              <w:spacing w:line="270" w:lineRule="exact"/>
            </w:pPr>
            <w:r>
              <w:rPr>
                <w:rFonts w:hint="eastAsia"/>
              </w:rPr>
              <w:t>本项目不在居民居住区，建设过程建筑内外墙装饰全面使用低（无）VOCs含量的涂料。</w:t>
            </w:r>
          </w:p>
        </w:tc>
        <w:tc>
          <w:tcPr>
            <w:tcW w:w="464" w:type="pct"/>
            <w:vAlign w:val="center"/>
          </w:tcPr>
          <w:p w14:paraId="6C3B242B">
            <w:pPr>
              <w:pStyle w:val="57"/>
              <w:spacing w:line="270" w:lineRule="exact"/>
            </w:pPr>
            <w:r>
              <w:rPr>
                <w:rFonts w:hint="eastAsia"/>
              </w:rPr>
              <w:t>相符</w:t>
            </w:r>
          </w:p>
        </w:tc>
      </w:tr>
      <w:tr w14:paraId="1D83AE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vMerge w:val="continue"/>
            <w:vAlign w:val="center"/>
          </w:tcPr>
          <w:p w14:paraId="13D95402">
            <w:pPr>
              <w:pStyle w:val="57"/>
              <w:spacing w:line="270" w:lineRule="exact"/>
            </w:pPr>
          </w:p>
        </w:tc>
        <w:tc>
          <w:tcPr>
            <w:tcW w:w="350" w:type="pct"/>
            <w:vMerge w:val="continue"/>
            <w:vAlign w:val="center"/>
          </w:tcPr>
          <w:p w14:paraId="4F5DDE87">
            <w:pPr>
              <w:pStyle w:val="57"/>
              <w:spacing w:line="270" w:lineRule="exact"/>
            </w:pPr>
          </w:p>
        </w:tc>
        <w:tc>
          <w:tcPr>
            <w:tcW w:w="509" w:type="pct"/>
            <w:vAlign w:val="center"/>
          </w:tcPr>
          <w:p w14:paraId="28ACA94C">
            <w:pPr>
              <w:pStyle w:val="57"/>
              <w:spacing w:line="270" w:lineRule="exact"/>
            </w:pPr>
            <w:r>
              <w:rPr>
                <w:rFonts w:hint="eastAsia"/>
              </w:rPr>
              <w:t>环境风险防控</w:t>
            </w:r>
          </w:p>
        </w:tc>
        <w:tc>
          <w:tcPr>
            <w:tcW w:w="1617" w:type="pct"/>
            <w:vAlign w:val="center"/>
          </w:tcPr>
          <w:p w14:paraId="2AE7FF3E">
            <w:pPr>
              <w:pStyle w:val="57"/>
              <w:spacing w:line="270" w:lineRule="exact"/>
            </w:pPr>
            <w:r>
              <w:rPr>
                <w:rFonts w:hint="eastAsia"/>
              </w:rPr>
              <w:t>/</w:t>
            </w:r>
          </w:p>
        </w:tc>
        <w:tc>
          <w:tcPr>
            <w:tcW w:w="1463" w:type="pct"/>
            <w:vAlign w:val="center"/>
          </w:tcPr>
          <w:p w14:paraId="474E2CB5">
            <w:pPr>
              <w:pStyle w:val="57"/>
              <w:spacing w:line="270" w:lineRule="exact"/>
            </w:pPr>
            <w:r>
              <w:rPr>
                <w:rFonts w:hint="eastAsia"/>
              </w:rPr>
              <w:t>要求企业制定并落实环境风险防范措施和事故应急预案，并定期演练。</w:t>
            </w:r>
          </w:p>
        </w:tc>
        <w:tc>
          <w:tcPr>
            <w:tcW w:w="464" w:type="pct"/>
            <w:vAlign w:val="center"/>
          </w:tcPr>
          <w:p w14:paraId="76B29160">
            <w:pPr>
              <w:pStyle w:val="57"/>
              <w:spacing w:line="270" w:lineRule="exact"/>
            </w:pPr>
            <w:r>
              <w:rPr>
                <w:rFonts w:hint="eastAsia"/>
              </w:rPr>
              <w:t>相符</w:t>
            </w:r>
          </w:p>
        </w:tc>
      </w:tr>
      <w:tr w14:paraId="17F9F2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vMerge w:val="continue"/>
            <w:vAlign w:val="center"/>
          </w:tcPr>
          <w:p w14:paraId="05A66B85">
            <w:pPr>
              <w:pStyle w:val="57"/>
              <w:spacing w:line="270" w:lineRule="exact"/>
            </w:pPr>
          </w:p>
        </w:tc>
        <w:tc>
          <w:tcPr>
            <w:tcW w:w="350" w:type="pct"/>
            <w:vMerge w:val="continue"/>
            <w:vAlign w:val="center"/>
          </w:tcPr>
          <w:p w14:paraId="47C5572F">
            <w:pPr>
              <w:pStyle w:val="57"/>
              <w:spacing w:line="270" w:lineRule="exact"/>
            </w:pPr>
          </w:p>
        </w:tc>
        <w:tc>
          <w:tcPr>
            <w:tcW w:w="509" w:type="pct"/>
            <w:vAlign w:val="center"/>
          </w:tcPr>
          <w:p w14:paraId="38D477E7">
            <w:pPr>
              <w:pStyle w:val="57"/>
              <w:spacing w:line="270" w:lineRule="exact"/>
            </w:pPr>
            <w:r>
              <w:rPr>
                <w:rFonts w:hint="eastAsia"/>
              </w:rPr>
              <w:t>资源利用效率要求</w:t>
            </w:r>
          </w:p>
        </w:tc>
        <w:tc>
          <w:tcPr>
            <w:tcW w:w="1617" w:type="pct"/>
            <w:vAlign w:val="center"/>
          </w:tcPr>
          <w:p w14:paraId="05252A9E">
            <w:pPr>
              <w:pStyle w:val="57"/>
              <w:spacing w:line="270" w:lineRule="exact"/>
            </w:pPr>
            <w:r>
              <w:rPr>
                <w:rFonts w:hint="eastAsia" w:ascii="Times New Roman" w:hAnsi="Times New Roman" w:eastAsia="宋体"/>
              </w:rPr>
              <w:t>推进畜禽养殖废弃物、农作物秸秆等资源化利用，及时回收和科学处置农业投入品包装物。</w:t>
            </w:r>
          </w:p>
        </w:tc>
        <w:tc>
          <w:tcPr>
            <w:tcW w:w="1463" w:type="pct"/>
            <w:vAlign w:val="center"/>
          </w:tcPr>
          <w:p w14:paraId="1BBCF0E6">
            <w:pPr>
              <w:pStyle w:val="57"/>
              <w:spacing w:line="27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本项目为肉鸡</w:t>
            </w:r>
            <w:r>
              <w:rPr>
                <w:color w:val="000000" w:themeColor="text1"/>
                <w14:textFill>
                  <w14:solidFill>
                    <w14:schemeClr w14:val="tx1"/>
                  </w14:solidFill>
                </w14:textFill>
              </w:rPr>
              <w:t>养殖，</w:t>
            </w:r>
            <w:r>
              <w:rPr>
                <w:rFonts w:hint="eastAsia"/>
                <w:color w:val="000000" w:themeColor="text1"/>
                <w14:textFill>
                  <w14:solidFill>
                    <w14:schemeClr w14:val="tx1"/>
                  </w14:solidFill>
                </w14:textFill>
              </w:rPr>
              <w:t>项目鸡粪与</w:t>
            </w:r>
            <w:r>
              <w:rPr>
                <w:color w:val="000000" w:themeColor="text1"/>
                <w14:textFill>
                  <w14:solidFill>
                    <w14:schemeClr w14:val="tx1"/>
                  </w14:solidFill>
                </w14:textFill>
              </w:rPr>
              <w:t>养殖过程中饲料包装物等均通过外售</w:t>
            </w:r>
            <w:r>
              <w:rPr>
                <w:rFonts w:hint="eastAsia"/>
                <w:color w:val="000000" w:themeColor="text1"/>
                <w14:textFill>
                  <w14:solidFill>
                    <w14:schemeClr w14:val="tx1"/>
                  </w14:solidFill>
                </w14:textFill>
              </w:rPr>
              <w:t>综合</w:t>
            </w:r>
            <w:r>
              <w:rPr>
                <w:color w:val="000000" w:themeColor="text1"/>
                <w14:textFill>
                  <w14:solidFill>
                    <w14:schemeClr w14:val="tx1"/>
                  </w14:solidFill>
                </w14:textFill>
              </w:rPr>
              <w:t>利用，</w:t>
            </w:r>
            <w:r>
              <w:rPr>
                <w:rFonts w:hint="eastAsia"/>
                <w:color w:val="000000" w:themeColor="text1"/>
                <w14:textFill>
                  <w14:solidFill>
                    <w14:schemeClr w14:val="tx1"/>
                  </w14:solidFill>
                </w14:textFill>
              </w:rPr>
              <w:t>提高</w:t>
            </w:r>
            <w:r>
              <w:rPr>
                <w:color w:val="000000" w:themeColor="text1"/>
                <w14:textFill>
                  <w14:solidFill>
                    <w14:schemeClr w14:val="tx1"/>
                  </w14:solidFill>
                </w14:textFill>
              </w:rPr>
              <w:t>资源利用率</w:t>
            </w:r>
          </w:p>
        </w:tc>
        <w:tc>
          <w:tcPr>
            <w:tcW w:w="464" w:type="pct"/>
            <w:vAlign w:val="center"/>
          </w:tcPr>
          <w:p w14:paraId="5C03E803">
            <w:pPr>
              <w:pStyle w:val="57"/>
              <w:spacing w:line="27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相符</w:t>
            </w:r>
          </w:p>
        </w:tc>
      </w:tr>
    </w:tbl>
    <w:p w14:paraId="0A7F2C63">
      <w:pPr>
        <w:spacing w:line="480" w:lineRule="exact"/>
        <w:ind w:firstLine="480" w:firstLineChars="200"/>
      </w:pPr>
      <w:r>
        <w:rPr>
          <w:rFonts w:hint="eastAsia"/>
        </w:rPr>
        <w:t>根据表1.</w:t>
      </w:r>
      <w:r>
        <w:t>5</w:t>
      </w:r>
      <w:r>
        <w:rPr>
          <w:rFonts w:hint="eastAsia"/>
        </w:rPr>
        <w:t>-</w:t>
      </w:r>
      <w:r>
        <w:t>3</w:t>
      </w:r>
      <w:r>
        <w:rPr>
          <w:rFonts w:hint="eastAsia"/>
        </w:rPr>
        <w:t>可知，本项目符合《宿迁市“三线一单”生态环境分区管控实施方案》（宿环发</w:t>
      </w:r>
      <w:r>
        <w:rPr>
          <w:rFonts w:hint="eastAsia" w:ascii="宋体" w:hAnsi="宋体"/>
        </w:rPr>
        <w:t>〔</w:t>
      </w:r>
      <w:r>
        <w:rPr>
          <w:rFonts w:hint="eastAsia"/>
        </w:rPr>
        <w:t>202</w:t>
      </w:r>
      <w:r>
        <w:t>0</w:t>
      </w:r>
      <w:r>
        <w:rPr>
          <w:rFonts w:hint="eastAsia" w:ascii="宋体" w:hAnsi="宋体"/>
        </w:rPr>
        <w:t>〕</w:t>
      </w:r>
      <w:r>
        <w:t>78</w:t>
      </w:r>
      <w:r>
        <w:rPr>
          <w:rFonts w:hint="eastAsia"/>
        </w:rPr>
        <w:t>号）要求。</w:t>
      </w:r>
    </w:p>
    <w:p w14:paraId="16E6F583">
      <w:pPr>
        <w:pStyle w:val="8"/>
        <w:spacing w:line="480" w:lineRule="exact"/>
      </w:pPr>
      <w:r>
        <w:t>1.5.6.</w:t>
      </w:r>
      <w:r>
        <w:rPr>
          <w:rFonts w:hint="eastAsia"/>
        </w:rPr>
        <w:t>5</w:t>
      </w:r>
      <w:r>
        <w:t xml:space="preserve"> </w:t>
      </w:r>
      <w:r>
        <w:rPr>
          <w:rFonts w:hint="eastAsia"/>
        </w:rPr>
        <w:t>环境准入负面清单</w:t>
      </w:r>
    </w:p>
    <w:p w14:paraId="34EF153F">
      <w:pPr>
        <w:spacing w:line="480" w:lineRule="exact"/>
        <w:ind w:firstLine="480" w:firstLineChars="200"/>
      </w:pPr>
      <w:r>
        <w:rPr>
          <w:rFonts w:hint="eastAsia"/>
        </w:rPr>
        <w:t>项目选址不在自然保护区、风景名胜区、饮用水源保护区、重要水源涵养区、重要湿地管控区、清水通道维护区等保护区范围内，项目的建设符合《关于发布宿迁市生态红线区域环保准入和环保负面清单的通知》（宿环委发﹝2015﹞19号）。本项目不在环境准入负面清单内。</w:t>
      </w:r>
    </w:p>
    <w:p w14:paraId="4146FF44">
      <w:pPr>
        <w:pageBreakBefore w:val="0"/>
        <w:widowControl w:val="0"/>
        <w:kinsoku/>
        <w:wordWrap/>
        <w:overflowPunct/>
        <w:topLinePunct w:val="0"/>
        <w:autoSpaceDE/>
        <w:autoSpaceDN/>
        <w:bidi w:val="0"/>
        <w:adjustRightInd/>
        <w:snapToGrid/>
        <w:spacing w:line="480" w:lineRule="exact"/>
        <w:ind w:firstLine="480" w:firstLineChars="200"/>
        <w:textAlignment w:val="auto"/>
      </w:pPr>
      <w:r>
        <w:rPr>
          <w:rFonts w:hint="eastAsia"/>
        </w:rPr>
        <w:t>通过初步筛查，本项目符合国家和地方产业政策，厂址符合区域总体规划、用地规划及环保规划，满足生态保护要求。在此基础上，委托检测单位组织实施了环境监测，编制完成本环境影响报告书，报请当地环保行政主管部门审批，为建设项目的设计、施工和项目建成后的环境管理提供依据。</w:t>
      </w:r>
    </w:p>
    <w:p w14:paraId="3CD74AC2">
      <w:pPr>
        <w:pStyle w:val="7"/>
        <w:pageBreakBefore w:val="0"/>
        <w:widowControl w:val="0"/>
        <w:kinsoku/>
        <w:wordWrap/>
        <w:overflowPunct/>
        <w:topLinePunct w:val="0"/>
        <w:autoSpaceDE/>
        <w:autoSpaceDN/>
        <w:bidi w:val="0"/>
        <w:adjustRightInd/>
        <w:snapToGrid/>
        <w:spacing w:line="480" w:lineRule="exact"/>
        <w:textAlignment w:val="auto"/>
        <w:rPr>
          <w:rFonts w:hint="eastAsia"/>
          <w:lang w:val="en-US" w:eastAsia="zh-CN"/>
        </w:rPr>
      </w:pPr>
      <w:bookmarkStart w:id="14" w:name="_Toc2969"/>
      <w:r>
        <w:rPr>
          <w:rFonts w:hint="eastAsia"/>
        </w:rPr>
        <w:t>1</w:t>
      </w:r>
      <w:r>
        <w:t>.5.</w:t>
      </w:r>
      <w:r>
        <w:rPr>
          <w:rFonts w:hint="eastAsia"/>
          <w:lang w:val="en-US" w:eastAsia="zh-CN"/>
        </w:rPr>
        <w:t>7</w:t>
      </w:r>
      <w:r>
        <w:t xml:space="preserve"> </w:t>
      </w:r>
      <w:r>
        <w:rPr>
          <w:rFonts w:hint="eastAsia"/>
          <w:lang w:val="en-US" w:eastAsia="zh-CN"/>
        </w:rPr>
        <w:t>宿迁市国土空间总体规划（2021-2035年）</w:t>
      </w:r>
    </w:p>
    <w:p w14:paraId="7C6AF372">
      <w:pPr>
        <w:widowControl/>
        <w:spacing w:line="480" w:lineRule="exact"/>
        <w:ind w:firstLine="480" w:firstLineChars="200"/>
        <w:rPr>
          <w:rFonts w:hint="default"/>
          <w:lang w:val="en-US" w:eastAsia="zh-CN"/>
        </w:rPr>
      </w:pPr>
      <w:r>
        <w:rPr>
          <w:rFonts w:hint="eastAsia"/>
          <w:lang w:val="en-US" w:eastAsia="zh-CN"/>
        </w:rPr>
        <w:t>根据宿迁市国土空间总体规划（2021-2035 年）要求：</w:t>
      </w:r>
    </w:p>
    <w:p w14:paraId="1CD58C33">
      <w:pPr>
        <w:widowControl/>
        <w:spacing w:line="480" w:lineRule="exact"/>
        <w:ind w:firstLine="480" w:firstLineChars="200"/>
        <w:rPr>
          <w:rFonts w:hint="eastAsia"/>
          <w:lang w:eastAsia="zh-CN"/>
        </w:rPr>
      </w:pPr>
      <w:r>
        <w:rPr>
          <w:rFonts w:hint="eastAsia"/>
          <w:lang w:eastAsia="zh-CN"/>
        </w:rPr>
        <w:t>“</w:t>
      </w:r>
      <w:r>
        <w:rPr>
          <w:rFonts w:hint="eastAsia"/>
          <w:lang w:val="en-US" w:eastAsia="zh-CN"/>
        </w:rPr>
        <w:t>三区三线</w:t>
      </w:r>
      <w:r>
        <w:rPr>
          <w:rFonts w:hint="eastAsia"/>
          <w:lang w:eastAsia="zh-CN"/>
        </w:rPr>
        <w:t>”</w:t>
      </w:r>
      <w:r>
        <w:rPr>
          <w:rFonts w:hint="eastAsia"/>
          <w:lang w:val="en-US" w:eastAsia="zh-CN"/>
        </w:rPr>
        <w:t>划定：</w:t>
      </w:r>
      <w:r>
        <w:rPr>
          <w:rFonts w:hint="default"/>
        </w:rPr>
        <w:t>至2035年，全市耕地保有量不低于4014.7333平方千米（602.2100万亩），实际划定4014.7642平方千米（602.2146万亩）。全市永久基本农田保护任务不低于3586.7400平方千米（538.0110万亩），加上易地代保永久基本农田面积后为3620.1400平方千米（543.0210万亩），与苏州市签署协议易地调剂33.4000平方千米（5.0100万亩）</w:t>
      </w:r>
      <w:r>
        <w:rPr>
          <w:rFonts w:hint="eastAsia"/>
          <w:lang w:eastAsia="zh-CN"/>
        </w:rPr>
        <w:t>；全市划定生态保护红线面积1070.9720平方千米，占市域面积的12.56%，涉及自然保护地、饮用水水源保护区以及其他具有潜在重要生态价值的区域；全市在优先划定耕地和永久基本农田、生态保护红线的基础上划定城镇开发边界</w:t>
      </w:r>
      <w:r>
        <w:rPr>
          <w:rFonts w:hint="eastAsia"/>
          <w:lang w:val="en-US" w:eastAsia="zh-CN"/>
        </w:rPr>
        <w:t>面积为857.5472平方千米，占市域面积的10.06%</w:t>
      </w:r>
      <w:r>
        <w:rPr>
          <w:rFonts w:hint="eastAsia"/>
          <w:lang w:eastAsia="zh-CN"/>
        </w:rPr>
        <w:t>，城镇开发边界扩展倍数为1.3856。</w:t>
      </w:r>
    </w:p>
    <w:p w14:paraId="073A1116">
      <w:pPr>
        <w:widowControl/>
        <w:spacing w:line="480" w:lineRule="exact"/>
        <w:ind w:firstLine="480" w:firstLineChars="200"/>
        <w:rPr>
          <w:rFonts w:hint="default"/>
        </w:rPr>
      </w:pPr>
      <w:r>
        <w:rPr>
          <w:rFonts w:hint="default"/>
        </w:rPr>
        <w:t>强化“长牙齿”的硬措施，坚决落实最严格的耕地保护制度，严格耕地用途管制、加大耕地保护建设力度，全面加强耕地数量、质量、生态“三位一体”保护。</w:t>
      </w:r>
    </w:p>
    <w:p w14:paraId="3B67523A">
      <w:pPr>
        <w:widowControl/>
        <w:spacing w:line="480" w:lineRule="exact"/>
        <w:ind w:firstLine="480" w:firstLineChars="200"/>
        <w:rPr>
          <w:rFonts w:hint="default"/>
        </w:rPr>
      </w:pPr>
      <w:r>
        <w:rPr>
          <w:rFonts w:hint="default"/>
        </w:rPr>
        <w:t>严格耕地用途管制。耕地主要用于粮食和棉、油、糖、蔬菜等农产品及饲草饲料生产。高标准农田原则上全部用于粮食生产。</w:t>
      </w:r>
    </w:p>
    <w:p w14:paraId="3530E327">
      <w:pPr>
        <w:widowControl/>
        <w:spacing w:line="480" w:lineRule="exact"/>
        <w:ind w:firstLine="480" w:firstLineChars="200"/>
        <w:rPr>
          <w:rFonts w:hint="default"/>
        </w:rPr>
      </w:pPr>
      <w:r>
        <w:rPr>
          <w:rFonts w:hint="default"/>
        </w:rPr>
        <w:t>严格控制耕地转为非农业建设用地，强化建设项目可行性研究，规范实施占补平衡。严格执行先补后占和“占一补一、占优补优、占水田补水田”。严格控制耕地转为其他农用地，稳妥实施耕地年度“进出平衡”。对耕地转为林地、草地、园地等其他农用地及农业设施建设用地的，必须在年度内补足同等数量、质量的可以长期稳定利用的耕地；将造林绿化空间落实到国土空间规划“一张图”，带位置下达造林绿化任务，防止绿化造林随意占用耕地。引导和规范土地经营权有序流转，流转出的耕地要坚持农地农用，以生产粮棉油糖菜为主，不得非农化。健全监管和风险防范机制、加强乡镇农村经营管理体系建设，推动土地流转有序进行。</w:t>
      </w:r>
    </w:p>
    <w:p w14:paraId="51732AE8">
      <w:pPr>
        <w:widowControl/>
        <w:spacing w:line="480" w:lineRule="exact"/>
        <w:ind w:firstLine="480" w:firstLineChars="200"/>
        <w:rPr>
          <w:rFonts w:hint="default"/>
          <w:lang w:val="en-US"/>
        </w:rPr>
      </w:pPr>
      <w:r>
        <w:rPr>
          <w:rFonts w:hint="eastAsia"/>
          <w:lang w:eastAsia="zh-CN"/>
        </w:rPr>
        <w:t>根据企业提供的《江苏省宿迁市</w:t>
      </w:r>
      <w:r>
        <w:rPr>
          <w:rFonts w:hint="eastAsia"/>
          <w:lang w:val="en-US" w:eastAsia="zh-CN"/>
        </w:rPr>
        <w:t>泗阳县</w:t>
      </w:r>
      <w:r>
        <w:rPr>
          <w:rFonts w:hint="eastAsia"/>
          <w:lang w:eastAsia="zh-CN"/>
        </w:rPr>
        <w:t>设施农用地备案申报表》，本项目用地为设施农用地，</w:t>
      </w:r>
      <w:r>
        <w:rPr>
          <w:rFonts w:hint="eastAsia"/>
          <w:lang w:val="en-US" w:eastAsia="zh-CN"/>
        </w:rPr>
        <w:t>不占用永久基本农田，且本项目已与泗阳县穿城镇向阳村签订了土地流转合同，根据企业提供的《江苏省设施农业用地复垦承诺书》，企业已向穿城镇人民政府缴纳土地复垦保证金，由穿城镇人民政府代为复垦，保证耕地数量不减少。</w:t>
      </w:r>
    </w:p>
    <w:p w14:paraId="04924815">
      <w:pPr>
        <w:widowControl/>
        <w:spacing w:line="480" w:lineRule="exact"/>
        <w:ind w:firstLine="482" w:firstLineChars="200"/>
        <w:rPr>
          <w:rFonts w:hint="default"/>
          <w:b/>
          <w:bCs/>
          <w:lang w:val="en-US" w:eastAsia="zh-CN"/>
        </w:rPr>
      </w:pPr>
      <w:r>
        <w:rPr>
          <w:rFonts w:hint="eastAsia"/>
          <w:b/>
          <w:bCs/>
          <w:lang w:val="en-US" w:eastAsia="zh-CN"/>
        </w:rPr>
        <w:t>综上，本项目</w:t>
      </w:r>
      <w:r>
        <w:rPr>
          <w:rFonts w:hint="eastAsia"/>
          <w:b/>
          <w:bCs/>
          <w:lang w:eastAsia="zh-CN"/>
        </w:rPr>
        <w:t>符合</w:t>
      </w:r>
      <w:r>
        <w:rPr>
          <w:rFonts w:hint="eastAsia"/>
          <w:b/>
          <w:bCs/>
          <w:lang w:val="en-US" w:eastAsia="zh-CN"/>
        </w:rPr>
        <w:t>泗阳县及穿城镇</w:t>
      </w:r>
      <w:r>
        <w:rPr>
          <w:rFonts w:hint="eastAsia"/>
          <w:b/>
          <w:bCs/>
          <w:lang w:eastAsia="zh-CN"/>
        </w:rPr>
        <w:t>用地规划要求，</w:t>
      </w:r>
      <w:r>
        <w:rPr>
          <w:rFonts w:hint="eastAsia"/>
          <w:b/>
          <w:bCs/>
          <w:lang w:val="en-US" w:eastAsia="zh-CN"/>
        </w:rPr>
        <w:t>符合宿迁市国土空间总体规划（2021-2035 年）要求，项目在</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江苏省生态空间管控综合服务系统准入分析信息查询结果</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见图1.5-2</w:t>
      </w:r>
      <w:r>
        <w:rPr>
          <w:rFonts w:hint="eastAsia"/>
          <w:b/>
          <w:bCs/>
          <w:lang w:val="en-US" w:eastAsia="zh-CN"/>
        </w:rPr>
        <w:t>。</w:t>
      </w:r>
    </w:p>
    <w:p w14:paraId="1AD80901">
      <w:pPr>
        <w:pStyle w:val="4"/>
        <w:spacing w:after="0" w:line="480" w:lineRule="exact"/>
        <w:jc w:val="both"/>
      </w:pPr>
      <w:r>
        <w:rPr>
          <w:rFonts w:hint="eastAsia"/>
        </w:rPr>
        <w:t>1</w:t>
      </w:r>
      <w:r>
        <w:t xml:space="preserve">.6 </w:t>
      </w:r>
      <w:r>
        <w:rPr>
          <w:rFonts w:hint="eastAsia"/>
        </w:rPr>
        <w:t>环境影响评价结论</w:t>
      </w:r>
      <w:bookmarkEnd w:id="14"/>
    </w:p>
    <w:p w14:paraId="2064E59C">
      <w:pPr>
        <w:widowControl/>
        <w:spacing w:line="480" w:lineRule="exact"/>
        <w:ind w:firstLine="480" w:firstLineChars="200"/>
      </w:pPr>
      <w:bookmarkStart w:id="15" w:name="_Hlk110602750"/>
      <w:r>
        <w:rPr>
          <w:rFonts w:hint="eastAsia"/>
        </w:rPr>
        <w:t>项目为肉鸡养殖项目，符合国家及地方产业政策要求，也符合地方环保政策要求；项目选址符合相关技术规范及环保规划要求；项目肉鸡养殖工艺及设施设备处于国内先进水平，属清洁生产工艺；项目各项污染治理得当，经有效处理后可保证污染物稳定达到相关排放标准要求，对外环境影响不大，不会降低区域功能类别，社会效益、经济效益较好。经采取有效的事故防范、减缓措施后，项目环境风险水平处于可防控水平。如能严格落实建设单位既定的污染控制措施和本报告中提出的各项环境保护对策建议，本报告书认为，从环保角度项目建设是可行的。</w:t>
      </w:r>
      <w:bookmarkEnd w:id="15"/>
      <w:r>
        <w:br w:type="page"/>
      </w:r>
    </w:p>
    <w:p w14:paraId="796C7711">
      <w:pPr>
        <w:pStyle w:val="3"/>
        <w:spacing w:line="480" w:lineRule="exact"/>
        <w:rPr>
          <w:color w:val="000000" w:themeColor="text1"/>
          <w14:textFill>
            <w14:solidFill>
              <w14:schemeClr w14:val="tx1"/>
            </w14:solidFill>
          </w14:textFill>
        </w:rPr>
      </w:pPr>
      <w:bookmarkStart w:id="16" w:name="_Toc15096"/>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总则</w:t>
      </w:r>
      <w:bookmarkEnd w:id="16"/>
    </w:p>
    <w:p w14:paraId="3DF068B8">
      <w:pPr>
        <w:pStyle w:val="4"/>
        <w:spacing w:after="0" w:line="480" w:lineRule="exact"/>
        <w:jc w:val="both"/>
        <w:rPr>
          <w:color w:val="000000" w:themeColor="text1"/>
          <w14:textFill>
            <w14:solidFill>
              <w14:schemeClr w14:val="tx1"/>
            </w14:solidFill>
          </w14:textFill>
        </w:rPr>
      </w:pPr>
      <w:bookmarkStart w:id="17" w:name="_Toc18355"/>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编制依据</w:t>
      </w:r>
      <w:bookmarkEnd w:id="17"/>
    </w:p>
    <w:p w14:paraId="1351C2BC">
      <w:pPr>
        <w:pStyle w:val="7"/>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国家法律、法规、规章及规范性文件</w:t>
      </w:r>
    </w:p>
    <w:p w14:paraId="614443EE">
      <w:pPr>
        <w:pStyle w:val="86"/>
        <w:spacing w:line="480" w:lineRule="exac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（1）《中华人民共和国环境保护法》（国家主席[2014]9号令，2015年1月1日起施行）；</w:t>
      </w:r>
    </w:p>
    <w:p w14:paraId="3988C79A">
      <w:pPr>
        <w:pStyle w:val="86"/>
        <w:spacing w:line="480" w:lineRule="exac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（2）《中华人民共和国环境影响评价法》（2018修正版）；</w:t>
      </w:r>
    </w:p>
    <w:p w14:paraId="5B9C01B9">
      <w:pPr>
        <w:pStyle w:val="86"/>
        <w:spacing w:line="480" w:lineRule="exac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（3）《中华人民共和国大气污染防治法》（2018年10月26日修订并施行）；</w:t>
      </w:r>
    </w:p>
    <w:p w14:paraId="67BF5B9E">
      <w:pPr>
        <w:pStyle w:val="86"/>
        <w:spacing w:line="480" w:lineRule="exac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（4）《中华人民共和国水污染防治法》（2018年1月1日起施行）；</w:t>
      </w:r>
    </w:p>
    <w:p w14:paraId="4D00D934">
      <w:pPr>
        <w:pStyle w:val="86"/>
        <w:spacing w:line="480" w:lineRule="exac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（5）《中华人民共和国环境噪声污染防治法》（2022年6月5日起施行）；</w:t>
      </w:r>
    </w:p>
    <w:p w14:paraId="7D640DE9">
      <w:pPr>
        <w:pStyle w:val="86"/>
        <w:spacing w:line="480" w:lineRule="exac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（6）《中华人民共和国固体废物污染环境防治法》（2020年9月1日起施行）；</w:t>
      </w:r>
    </w:p>
    <w:p w14:paraId="5E5B1410">
      <w:pPr>
        <w:pStyle w:val="86"/>
        <w:spacing w:line="480" w:lineRule="exac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（7）《中华人民共和国土壤污染防治法》（2019年1月1日起施行）；</w:t>
      </w:r>
    </w:p>
    <w:p w14:paraId="7864737A">
      <w:pPr>
        <w:pStyle w:val="86"/>
        <w:spacing w:line="480" w:lineRule="exac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（8）《中华人民共和国清洁生产促进法》（国家主席[2012]54号令，2012年7月1日起施行）；</w:t>
      </w:r>
    </w:p>
    <w:p w14:paraId="3E957A98">
      <w:pPr>
        <w:pStyle w:val="86"/>
        <w:spacing w:line="480" w:lineRule="exact"/>
        <w:rPr>
          <w:rFonts w:ascii="Times New Roman" w:hAnsi="Times New Roman" w:eastAsia="宋体" w:cs="Times New Roman"/>
        </w:rPr>
      </w:pPr>
      <w:r>
        <w:rPr>
          <w:rFonts w:ascii="Times New Roman" w:hAnsi="Times New Roman" w:eastAsia="宋体" w:cs="Times New Roman"/>
        </w:rPr>
        <w:t>（9）《中华人民共和国畜牧法》（2022年10月30日修订）；</w:t>
      </w:r>
    </w:p>
    <w:p w14:paraId="1593E29E">
      <w:pPr>
        <w:pStyle w:val="86"/>
        <w:spacing w:line="480" w:lineRule="exact"/>
        <w:rPr>
          <w:rFonts w:ascii="Times New Roman" w:hAnsi="Times New Roman" w:eastAsia="宋体" w:cs="Times New Roman"/>
        </w:rPr>
      </w:pPr>
      <w:r>
        <w:rPr>
          <w:rFonts w:ascii="Times New Roman" w:hAnsi="Times New Roman" w:eastAsia="宋体" w:cs="Times New Roman"/>
        </w:rPr>
        <w:t>（10）《中华人民共和国动物防疫法》（2021年5月1日起施行）；</w:t>
      </w:r>
    </w:p>
    <w:p w14:paraId="56E6CDB0">
      <w:pPr>
        <w:pStyle w:val="86"/>
        <w:spacing w:line="480" w:lineRule="exact"/>
        <w:rPr>
          <w:rFonts w:ascii="Times New Roman" w:hAnsi="Times New Roman" w:eastAsia="宋体" w:cs="Times New Roman"/>
        </w:rPr>
      </w:pPr>
      <w:r>
        <w:rPr>
          <w:rFonts w:ascii="Times New Roman" w:hAnsi="Times New Roman" w:eastAsia="宋体" w:cs="Times New Roman"/>
        </w:rPr>
        <w:t>（11）《建设项目环境影响评价分类管理名录》（2021版）；</w:t>
      </w:r>
    </w:p>
    <w:p w14:paraId="2F242869">
      <w:pPr>
        <w:pStyle w:val="86"/>
        <w:spacing w:line="480" w:lineRule="exact"/>
        <w:rPr>
          <w:rFonts w:ascii="Times New Roman" w:hAnsi="Times New Roman" w:eastAsia="宋体" w:cs="Times New Roman"/>
        </w:rPr>
      </w:pPr>
      <w:r>
        <w:rPr>
          <w:rFonts w:ascii="Times New Roman" w:hAnsi="Times New Roman" w:eastAsia="宋体" w:cs="Times New Roman"/>
        </w:rPr>
        <w:t>（12）《建设项目环境保护管理条例》（2017年修订），2017年10月1日实施；</w:t>
      </w:r>
    </w:p>
    <w:p w14:paraId="2DC3EEBE">
      <w:pPr>
        <w:pStyle w:val="86"/>
        <w:spacing w:line="480" w:lineRule="exact"/>
        <w:rPr>
          <w:rFonts w:ascii="Times New Roman" w:hAnsi="Times New Roman" w:eastAsia="宋体" w:cs="Times New Roman"/>
        </w:rPr>
      </w:pPr>
      <w:r>
        <w:rPr>
          <w:rFonts w:ascii="Times New Roman" w:hAnsi="Times New Roman" w:eastAsia="宋体" w:cs="Times New Roman"/>
        </w:rPr>
        <w:t>（13）《关于发布实施〈限制用地项目目录（2012年本）〉和〈禁止用地项目目录（2012年本）〉的通知》（国土资发[2012]98号）；</w:t>
      </w:r>
    </w:p>
    <w:p w14:paraId="63C747D8">
      <w:pPr>
        <w:pStyle w:val="86"/>
        <w:spacing w:line="480" w:lineRule="exact"/>
        <w:rPr>
          <w:rFonts w:ascii="Times New Roman" w:hAnsi="Times New Roman" w:eastAsia="宋体" w:cs="Times New Roman"/>
        </w:rPr>
      </w:pPr>
      <w:r>
        <w:rPr>
          <w:rFonts w:ascii="Times New Roman" w:hAnsi="Times New Roman" w:eastAsia="宋体" w:cs="Times New Roman"/>
        </w:rPr>
        <w:t>（14）《土壤污染防治行动计划》（国发[2016]31号）；</w:t>
      </w:r>
    </w:p>
    <w:p w14:paraId="2FB898CC">
      <w:pPr>
        <w:pStyle w:val="86"/>
        <w:spacing w:line="480" w:lineRule="exact"/>
        <w:rPr>
          <w:rFonts w:ascii="Times New Roman" w:hAnsi="Times New Roman" w:eastAsia="宋体" w:cs="Times New Roman"/>
        </w:rPr>
      </w:pPr>
      <w:r>
        <w:rPr>
          <w:rFonts w:ascii="Times New Roman" w:hAnsi="Times New Roman" w:eastAsia="宋体" w:cs="Times New Roman"/>
        </w:rPr>
        <w:t>（15）《中华人民共和国循环经济促进法》（2018年10月26日修订并施行）；</w:t>
      </w:r>
    </w:p>
    <w:p w14:paraId="22C84BCE">
      <w:pPr>
        <w:pStyle w:val="86"/>
        <w:spacing w:line="480" w:lineRule="exact"/>
        <w:rPr>
          <w:rFonts w:ascii="Times New Roman" w:hAnsi="Times New Roman" w:eastAsia="宋体" w:cs="Times New Roman"/>
        </w:rPr>
      </w:pPr>
      <w:r>
        <w:rPr>
          <w:rFonts w:ascii="Times New Roman" w:hAnsi="Times New Roman" w:eastAsia="宋体" w:cs="Times New Roman"/>
        </w:rPr>
        <w:t>（16）《中华人民共和国节约能源法》，2018年10月26日修订并施行；</w:t>
      </w:r>
    </w:p>
    <w:p w14:paraId="3709EAD2">
      <w:pPr>
        <w:pStyle w:val="86"/>
        <w:spacing w:line="480" w:lineRule="exact"/>
        <w:rPr>
          <w:rFonts w:ascii="Times New Roman" w:hAnsi="Times New Roman" w:eastAsia="宋体" w:cs="Times New Roman"/>
        </w:rPr>
      </w:pPr>
      <w:r>
        <w:rPr>
          <w:rFonts w:ascii="Times New Roman" w:hAnsi="Times New Roman" w:eastAsia="宋体" w:cs="Times New Roman"/>
        </w:rPr>
        <w:t>（17）《关于进一步加强环境影响评价管理防范环境风险的通知》（环发[2012]77号）；</w:t>
      </w:r>
    </w:p>
    <w:p w14:paraId="2C5998B0">
      <w:pPr>
        <w:pStyle w:val="86"/>
        <w:spacing w:line="480" w:lineRule="exact"/>
        <w:rPr>
          <w:rFonts w:ascii="Times New Roman" w:hAnsi="Times New Roman" w:eastAsia="宋体" w:cs="Times New Roman"/>
        </w:rPr>
      </w:pPr>
      <w:r>
        <w:rPr>
          <w:rFonts w:ascii="Times New Roman" w:hAnsi="Times New Roman" w:eastAsia="宋体" w:cs="Times New Roman"/>
        </w:rPr>
        <w:t>（18）《环境影响评价公众参与办法》（生态环境部令第4号，2019年1月1日施行）；</w:t>
      </w:r>
    </w:p>
    <w:p w14:paraId="2C79EB12">
      <w:pPr>
        <w:pStyle w:val="86"/>
        <w:spacing w:line="480" w:lineRule="exact"/>
        <w:rPr>
          <w:rFonts w:ascii="Times New Roman" w:hAnsi="Times New Roman" w:eastAsia="宋体" w:cs="Times New Roman"/>
        </w:rPr>
      </w:pPr>
      <w:r>
        <w:rPr>
          <w:rFonts w:ascii="Times New Roman" w:hAnsi="Times New Roman" w:eastAsia="宋体" w:cs="Times New Roman"/>
        </w:rPr>
        <w:t>（19）《国家危险废物名录（202</w:t>
      </w:r>
      <w:r>
        <w:rPr>
          <w:rFonts w:hint="eastAsia" w:ascii="Times New Roman" w:hAnsi="Times New Roman" w:eastAsia="宋体" w:cs="Times New Roman"/>
          <w:lang w:val="en-US" w:eastAsia="zh-CN"/>
        </w:rPr>
        <w:t>5年</w:t>
      </w:r>
      <w:r>
        <w:rPr>
          <w:rFonts w:ascii="Times New Roman" w:hAnsi="Times New Roman" w:eastAsia="宋体" w:cs="Times New Roman"/>
        </w:rPr>
        <w:t>版）》（202</w:t>
      </w:r>
      <w:r>
        <w:rPr>
          <w:rFonts w:hint="eastAsia" w:ascii="Times New Roman" w:hAnsi="Times New Roman" w:eastAsia="宋体" w:cs="Times New Roman"/>
          <w:lang w:val="en-US" w:eastAsia="zh-CN"/>
        </w:rPr>
        <w:t>5年1月1日</w:t>
      </w:r>
      <w:r>
        <w:rPr>
          <w:rFonts w:ascii="Times New Roman" w:hAnsi="Times New Roman" w:eastAsia="宋体" w:cs="Times New Roman"/>
        </w:rPr>
        <w:t>起施行）；</w:t>
      </w:r>
    </w:p>
    <w:p w14:paraId="2F3B052C">
      <w:pPr>
        <w:pStyle w:val="86"/>
        <w:spacing w:line="480" w:lineRule="exact"/>
        <w:rPr>
          <w:rFonts w:ascii="Times New Roman" w:hAnsi="Times New Roman" w:eastAsia="宋体" w:cs="Times New Roman"/>
        </w:rPr>
      </w:pPr>
      <w:r>
        <w:rPr>
          <w:rFonts w:ascii="Times New Roman" w:hAnsi="Times New Roman" w:eastAsia="宋体" w:cs="Times New Roman"/>
        </w:rPr>
        <w:t>（20）《畜禽养殖禁养区划定技术指南》（环办水体[2016]99号）；</w:t>
      </w:r>
    </w:p>
    <w:p w14:paraId="59C017E6">
      <w:pPr>
        <w:pStyle w:val="86"/>
        <w:spacing w:line="480" w:lineRule="exact"/>
        <w:rPr>
          <w:rFonts w:ascii="Times New Roman" w:hAnsi="Times New Roman" w:eastAsia="宋体" w:cs="Times New Roman"/>
        </w:rPr>
      </w:pPr>
      <w:r>
        <w:rPr>
          <w:rFonts w:ascii="Times New Roman" w:hAnsi="Times New Roman" w:eastAsia="宋体" w:cs="Times New Roman"/>
        </w:rPr>
        <w:t>（21）《关于切实加强风险防范严格环境影响评价管理的通知》（环发[2012]98号）；</w:t>
      </w:r>
    </w:p>
    <w:p w14:paraId="694F73F7">
      <w:pPr>
        <w:pStyle w:val="86"/>
        <w:spacing w:line="480" w:lineRule="exact"/>
        <w:rPr>
          <w:rFonts w:ascii="Times New Roman" w:hAnsi="Times New Roman" w:eastAsia="宋体" w:cs="Times New Roman"/>
        </w:rPr>
      </w:pPr>
      <w:r>
        <w:rPr>
          <w:rFonts w:ascii="Times New Roman" w:hAnsi="Times New Roman" w:eastAsia="宋体" w:cs="Times New Roman"/>
        </w:rPr>
        <w:t>（22）</w:t>
      </w:r>
      <w:r>
        <w:rPr>
          <w:rFonts w:ascii="Times New Roman" w:hAnsi="Times New Roman" w:eastAsia="宋体" w:cs="Times New Roman"/>
          <w:szCs w:val="24"/>
        </w:rPr>
        <w:t>《关于做好环境影响评价制度与排污许可制衔接相关工作的通知》（环办环评</w:t>
      </w:r>
      <w:r>
        <w:rPr>
          <w:rFonts w:ascii="Times New Roman" w:hAnsi="Times New Roman" w:eastAsia="宋体" w:cs="Times New Roman"/>
        </w:rPr>
        <w:t>〔</w:t>
      </w:r>
      <w:r>
        <w:rPr>
          <w:rFonts w:ascii="Times New Roman" w:hAnsi="Times New Roman" w:eastAsia="宋体" w:cs="Times New Roman"/>
          <w:szCs w:val="24"/>
        </w:rPr>
        <w:t>2017</w:t>
      </w:r>
      <w:r>
        <w:rPr>
          <w:rFonts w:ascii="Times New Roman" w:hAnsi="Times New Roman" w:eastAsia="宋体" w:cs="Times New Roman"/>
        </w:rPr>
        <w:t>〕</w:t>
      </w:r>
      <w:r>
        <w:rPr>
          <w:rFonts w:ascii="Times New Roman" w:hAnsi="Times New Roman" w:eastAsia="宋体" w:cs="Times New Roman"/>
          <w:szCs w:val="24"/>
        </w:rPr>
        <w:t>84号）</w:t>
      </w:r>
      <w:r>
        <w:rPr>
          <w:rFonts w:ascii="Times New Roman" w:hAnsi="Times New Roman" w:eastAsia="宋体" w:cs="Times New Roman"/>
        </w:rPr>
        <w:t>；</w:t>
      </w:r>
    </w:p>
    <w:p w14:paraId="4CA38735">
      <w:pPr>
        <w:pStyle w:val="86"/>
        <w:spacing w:line="480" w:lineRule="exact"/>
        <w:rPr>
          <w:rFonts w:ascii="Times New Roman" w:hAnsi="Times New Roman" w:eastAsia="宋体" w:cs="Times New Roman"/>
        </w:rPr>
      </w:pPr>
      <w:r>
        <w:rPr>
          <w:rFonts w:ascii="Times New Roman" w:hAnsi="Times New Roman" w:eastAsia="宋体" w:cs="Times New Roman"/>
        </w:rPr>
        <w:t>（23）《产业结构调整指导目录（2024年本）》；</w:t>
      </w:r>
    </w:p>
    <w:p w14:paraId="43654DBC">
      <w:pPr>
        <w:pStyle w:val="86"/>
        <w:spacing w:line="480" w:lineRule="exact"/>
        <w:rPr>
          <w:rFonts w:ascii="Times New Roman" w:hAnsi="Times New Roman" w:eastAsia="宋体" w:cs="Times New Roman"/>
        </w:rPr>
      </w:pPr>
      <w:r>
        <w:rPr>
          <w:rFonts w:ascii="Times New Roman" w:hAnsi="Times New Roman" w:eastAsia="宋体" w:cs="Times New Roman"/>
        </w:rPr>
        <w:t>（24）《畜禽规模养殖污染防治条例》（中华人民共和国国务院令第643号，2014年1月1日起施行）；</w:t>
      </w:r>
    </w:p>
    <w:p w14:paraId="463D4298">
      <w:pPr>
        <w:pStyle w:val="86"/>
        <w:spacing w:line="480" w:lineRule="exact"/>
        <w:rPr>
          <w:rFonts w:ascii="Times New Roman" w:hAnsi="Times New Roman" w:eastAsia="宋体" w:cs="Times New Roman"/>
        </w:rPr>
      </w:pPr>
      <w:r>
        <w:rPr>
          <w:rFonts w:ascii="Times New Roman" w:hAnsi="Times New Roman" w:eastAsia="宋体" w:cs="Times New Roman"/>
        </w:rPr>
        <w:t>（25）《关于做好畜禽规模养殖项目环境影响评价管理工作的通知》（环办环评[2018]31号）；</w:t>
      </w:r>
    </w:p>
    <w:p w14:paraId="52228E9A">
      <w:pPr>
        <w:pStyle w:val="86"/>
        <w:spacing w:line="480" w:lineRule="exact"/>
        <w:rPr>
          <w:rFonts w:ascii="Times New Roman" w:hAnsi="Times New Roman" w:eastAsia="宋体" w:cs="Times New Roman"/>
        </w:rPr>
      </w:pPr>
      <w:r>
        <w:rPr>
          <w:rFonts w:ascii="Times New Roman" w:hAnsi="Times New Roman" w:eastAsia="宋体" w:cs="Times New Roman"/>
        </w:rPr>
        <w:t>（26）《关于进一步加强畜禽养殖污染防治工作的通知》（环水体[2016]144号）；</w:t>
      </w:r>
    </w:p>
    <w:p w14:paraId="2BFD391B">
      <w:pPr>
        <w:pStyle w:val="86"/>
        <w:spacing w:line="480" w:lineRule="exact"/>
        <w:rPr>
          <w:rFonts w:ascii="Times New Roman" w:hAnsi="Times New Roman" w:eastAsia="宋体" w:cs="Times New Roman"/>
        </w:rPr>
      </w:pPr>
      <w:r>
        <w:rPr>
          <w:rFonts w:ascii="Times New Roman" w:hAnsi="Times New Roman" w:eastAsia="宋体" w:cs="Times New Roman"/>
        </w:rPr>
        <w:t>（27）《国务院关于印发水污染防治行动计划的通知》（国发[2015]17号）；</w:t>
      </w:r>
    </w:p>
    <w:p w14:paraId="578D49B8">
      <w:pPr>
        <w:pStyle w:val="86"/>
        <w:spacing w:line="480" w:lineRule="exact"/>
        <w:rPr>
          <w:rFonts w:ascii="Times New Roman" w:hAnsi="Times New Roman" w:eastAsia="宋体" w:cs="Times New Roman"/>
        </w:rPr>
      </w:pPr>
      <w:r>
        <w:rPr>
          <w:rFonts w:ascii="Times New Roman" w:hAnsi="Times New Roman" w:eastAsia="宋体" w:cs="Times New Roman"/>
        </w:rPr>
        <w:t>（28）《关于印发&lt;企业事业单位突发环境事件应急预案备案管理办法（试行）&gt;的通知》（环发[2015]4号）；</w:t>
      </w:r>
    </w:p>
    <w:p w14:paraId="50F307CC">
      <w:pPr>
        <w:pStyle w:val="86"/>
        <w:spacing w:line="480" w:lineRule="exact"/>
        <w:rPr>
          <w:rFonts w:ascii="Times New Roman" w:hAnsi="Times New Roman" w:eastAsia="宋体" w:cs="Times New Roman"/>
        </w:rPr>
      </w:pPr>
      <w:r>
        <w:rPr>
          <w:rFonts w:ascii="Times New Roman" w:hAnsi="Times New Roman" w:eastAsia="宋体" w:cs="Times New Roman"/>
        </w:rPr>
        <w:t>（29）《关于进一步明确畜禽粪污还田利用要求强化养殖污染监管的通知》（农办牧〔2020〕23号）；</w:t>
      </w:r>
    </w:p>
    <w:p w14:paraId="48C371FE">
      <w:pPr>
        <w:pStyle w:val="86"/>
        <w:spacing w:line="480" w:lineRule="exact"/>
        <w:rPr>
          <w:rFonts w:ascii="Times New Roman" w:hAnsi="Times New Roman" w:eastAsia="宋体" w:cs="Times New Roman"/>
        </w:rPr>
      </w:pPr>
      <w:r>
        <w:rPr>
          <w:rFonts w:ascii="Times New Roman" w:hAnsi="Times New Roman" w:eastAsia="宋体" w:cs="Times New Roman"/>
        </w:rPr>
        <w:t>（30）《</w:t>
      </w:r>
      <w:r>
        <w:rPr>
          <w:rFonts w:ascii="Times New Roman" w:hAnsi="Times New Roman" w:eastAsia="宋体" w:cs="Times New Roman"/>
          <w:szCs w:val="24"/>
        </w:rPr>
        <w:t>关于促进规模化畜禽养殖有关用地政策的通知》（国土资发[2007]220号）；</w:t>
      </w:r>
    </w:p>
    <w:p w14:paraId="2537F56C">
      <w:pPr>
        <w:pStyle w:val="86"/>
        <w:spacing w:line="480" w:lineRule="exact"/>
        <w:rPr>
          <w:rFonts w:ascii="Times New Roman" w:hAnsi="Times New Roman" w:eastAsia="宋体" w:cs="Times New Roman"/>
        </w:rPr>
      </w:pPr>
      <w:r>
        <w:rPr>
          <w:rFonts w:ascii="Times New Roman" w:hAnsi="Times New Roman" w:eastAsia="宋体" w:cs="Times New Roman"/>
        </w:rPr>
        <w:t>（31）《关于以改善环境质量为核心加强环境影响评价管理的通知》（环环评[2016]150号）；</w:t>
      </w:r>
    </w:p>
    <w:p w14:paraId="0833DE07">
      <w:pPr>
        <w:pStyle w:val="86"/>
        <w:spacing w:line="480" w:lineRule="exact"/>
        <w:rPr>
          <w:rFonts w:ascii="Times New Roman" w:hAnsi="Times New Roman" w:eastAsia="宋体" w:cs="Times New Roman"/>
        </w:rPr>
      </w:pPr>
      <w:r>
        <w:rPr>
          <w:rFonts w:ascii="Times New Roman" w:hAnsi="Times New Roman" w:eastAsia="宋体" w:cs="Times New Roman"/>
        </w:rPr>
        <w:t>（32）《国务院办公厅关于印发控制污染物排放许可制实施方案的通知》（国办发[2016]81号，2016年11月10日）；</w:t>
      </w:r>
    </w:p>
    <w:p w14:paraId="0559B7B9">
      <w:pPr>
        <w:pStyle w:val="86"/>
        <w:spacing w:line="480" w:lineRule="exact"/>
        <w:rPr>
          <w:rFonts w:ascii="Times New Roman" w:hAnsi="Times New Roman" w:eastAsia="宋体" w:cs="Times New Roman"/>
        </w:rPr>
      </w:pPr>
      <w:r>
        <w:rPr>
          <w:rFonts w:ascii="Times New Roman" w:hAnsi="Times New Roman" w:eastAsia="宋体" w:cs="Times New Roman"/>
        </w:rPr>
        <w:t>（33）《关于印发&lt;排污许可证管理暂行规定&gt;的通知》（环境保护部文件，环水体[2016]186号，2016年12月23日）；</w:t>
      </w:r>
    </w:p>
    <w:p w14:paraId="51B8780E">
      <w:pPr>
        <w:pStyle w:val="86"/>
        <w:spacing w:line="480" w:lineRule="exact"/>
        <w:rPr>
          <w:rFonts w:ascii="Times New Roman" w:hAnsi="Times New Roman" w:eastAsia="宋体" w:cs="Times New Roman"/>
        </w:rPr>
      </w:pPr>
      <w:r>
        <w:rPr>
          <w:rFonts w:ascii="Times New Roman" w:hAnsi="Times New Roman" w:eastAsia="宋体" w:cs="Times New Roman"/>
        </w:rPr>
        <w:t>（34）《关于发布&lt;建设项目危险废物环境影响评价指南&gt;的公告》（环境保护部公告，公告2017年第43号）；</w:t>
      </w:r>
    </w:p>
    <w:p w14:paraId="6EF87A02">
      <w:pPr>
        <w:pStyle w:val="86"/>
        <w:spacing w:line="480" w:lineRule="exact"/>
        <w:rPr>
          <w:rFonts w:ascii="Times New Roman" w:hAnsi="Times New Roman" w:eastAsia="宋体" w:cs="Times New Roman"/>
        </w:rPr>
      </w:pPr>
      <w:r>
        <w:rPr>
          <w:rFonts w:ascii="Times New Roman" w:hAnsi="Times New Roman" w:eastAsia="宋体" w:cs="Times New Roman"/>
        </w:rPr>
        <w:t>（35）《国务院办公厅关于加快推进畜禽养殖废弃物资源化利用的意见》（国办发[2017]48号）；</w:t>
      </w:r>
    </w:p>
    <w:p w14:paraId="45485F36">
      <w:pPr>
        <w:pStyle w:val="86"/>
        <w:spacing w:line="480" w:lineRule="exact"/>
        <w:rPr>
          <w:rFonts w:ascii="Times New Roman" w:hAnsi="Times New Roman" w:eastAsia="宋体" w:cs="Times New Roman"/>
        </w:rPr>
      </w:pPr>
      <w:r>
        <w:rPr>
          <w:rFonts w:ascii="Times New Roman" w:hAnsi="Times New Roman" w:eastAsia="宋体" w:cs="Times New Roman"/>
        </w:rPr>
        <w:t>（36）《关于进一步加强病死动物无害化处理监管工作的通知》（农医发[2012]12号）；</w:t>
      </w:r>
    </w:p>
    <w:p w14:paraId="695F8136">
      <w:pPr>
        <w:pStyle w:val="86"/>
        <w:spacing w:line="480" w:lineRule="exact"/>
        <w:rPr>
          <w:rFonts w:ascii="Times New Roman" w:hAnsi="Times New Roman" w:eastAsia="宋体" w:cs="Times New Roman"/>
        </w:rPr>
      </w:pPr>
      <w:r>
        <w:rPr>
          <w:rFonts w:ascii="Times New Roman" w:hAnsi="Times New Roman" w:eastAsia="宋体" w:cs="Times New Roman"/>
        </w:rPr>
        <w:t>（37）《病害动物和病害动物产品生物安全处理规程》（GB16548-2006）；</w:t>
      </w:r>
    </w:p>
    <w:p w14:paraId="276F0F54">
      <w:pPr>
        <w:pStyle w:val="86"/>
        <w:spacing w:line="480" w:lineRule="exact"/>
        <w:rPr>
          <w:rFonts w:ascii="Times New Roman" w:hAnsi="Times New Roman" w:eastAsia="宋体" w:cs="Times New Roman"/>
        </w:rPr>
      </w:pPr>
      <w:r>
        <w:rPr>
          <w:rFonts w:ascii="Times New Roman" w:hAnsi="Times New Roman" w:eastAsia="宋体" w:cs="Times New Roman"/>
        </w:rPr>
        <w:t>（38）</w:t>
      </w:r>
      <w:r>
        <w:rPr>
          <w:rFonts w:ascii="Times New Roman" w:hAnsi="Times New Roman" w:eastAsia="宋体" w:cs="Times New Roman"/>
          <w:bCs/>
          <w:snapToGrid w:val="0"/>
          <w:szCs w:val="24"/>
        </w:rPr>
        <w:t>《排污许可管理办法》（生态环境部令第32号）</w:t>
      </w:r>
    </w:p>
    <w:p w14:paraId="39C0FF58">
      <w:pPr>
        <w:pStyle w:val="86"/>
        <w:spacing w:line="480" w:lineRule="exact"/>
        <w:rPr>
          <w:rFonts w:ascii="Times New Roman" w:hAnsi="Times New Roman" w:eastAsia="宋体" w:cs="Times New Roman"/>
        </w:rPr>
      </w:pPr>
      <w:r>
        <w:rPr>
          <w:rFonts w:ascii="Times New Roman" w:hAnsi="Times New Roman" w:eastAsia="宋体" w:cs="Times New Roman"/>
        </w:rPr>
        <w:t>（39）《农业农村部关于调整动物防疫条件审查有关规定的通知》（农牧发〔2019〕42号）</w:t>
      </w:r>
      <w:r>
        <w:rPr>
          <w:rFonts w:hint="eastAsia" w:ascii="Times New Roman" w:hAnsi="Times New Roman" w:eastAsia="宋体" w:cs="Times New Roman"/>
        </w:rPr>
        <w:t>。</w:t>
      </w:r>
    </w:p>
    <w:p w14:paraId="42C052D5">
      <w:pPr>
        <w:pStyle w:val="7"/>
        <w:spacing w:line="480" w:lineRule="exact"/>
      </w:pPr>
      <w:r>
        <w:rPr>
          <w:rFonts w:hint="eastAsia"/>
        </w:rPr>
        <w:t>2</w:t>
      </w:r>
      <w:r>
        <w:t xml:space="preserve">.1.2 </w:t>
      </w:r>
      <w:r>
        <w:rPr>
          <w:rFonts w:hint="eastAsia"/>
        </w:rPr>
        <w:t>地方法规、规章及规范性文件</w:t>
      </w:r>
    </w:p>
    <w:p w14:paraId="442B5177">
      <w:pPr>
        <w:pStyle w:val="86"/>
        <w:spacing w:line="480" w:lineRule="exact"/>
        <w:rPr>
          <w:rFonts w:ascii="Times New Roman" w:hAnsi="Times New Roman" w:eastAsia="宋体" w:cs="Times New Roman"/>
          <w:szCs w:val="24"/>
        </w:rPr>
      </w:pPr>
      <w:r>
        <w:rPr>
          <w:rFonts w:ascii="Times New Roman" w:hAnsi="Times New Roman" w:eastAsia="宋体" w:cs="Times New Roman"/>
          <w:szCs w:val="24"/>
        </w:rPr>
        <w:t>（1）《江苏省大气污染防治条例》，</w:t>
      </w:r>
      <w:r>
        <w:rPr>
          <w:rFonts w:ascii="Times New Roman" w:hAnsi="Times New Roman" w:eastAsia="宋体" w:cs="Times New Roman"/>
          <w:szCs w:val="21"/>
        </w:rPr>
        <w:t>江苏省第十三届人民代表大会常务委员会第六次会议通过，2018年11月23日</w:t>
      </w:r>
      <w:r>
        <w:rPr>
          <w:rFonts w:ascii="Times New Roman" w:hAnsi="Times New Roman" w:eastAsia="宋体" w:cs="Times New Roman"/>
          <w:szCs w:val="24"/>
        </w:rPr>
        <w:t>修订；</w:t>
      </w:r>
    </w:p>
    <w:p w14:paraId="51453CE2">
      <w:pPr>
        <w:pStyle w:val="86"/>
        <w:spacing w:line="480" w:lineRule="exact"/>
        <w:rPr>
          <w:rFonts w:ascii="Times New Roman" w:hAnsi="Times New Roman" w:eastAsia="宋体" w:cs="Times New Roman"/>
          <w:szCs w:val="24"/>
        </w:rPr>
      </w:pPr>
      <w:r>
        <w:rPr>
          <w:rFonts w:ascii="Times New Roman" w:hAnsi="Times New Roman" w:eastAsia="宋体" w:cs="Times New Roman"/>
          <w:szCs w:val="24"/>
        </w:rPr>
        <w:t>（2）《江苏省固体废物污染环境防治条例》，江苏省第十二届人民代表大会常务委员会，2018年3月28日修订；</w:t>
      </w:r>
    </w:p>
    <w:p w14:paraId="54B291D3">
      <w:pPr>
        <w:pStyle w:val="86"/>
        <w:spacing w:line="480" w:lineRule="exact"/>
        <w:rPr>
          <w:rFonts w:ascii="Times New Roman" w:hAnsi="Times New Roman" w:eastAsia="宋体" w:cs="Times New Roman"/>
          <w:szCs w:val="24"/>
        </w:rPr>
      </w:pPr>
      <w:r>
        <w:rPr>
          <w:rFonts w:ascii="Times New Roman" w:hAnsi="Times New Roman" w:eastAsia="宋体" w:cs="Times New Roman"/>
          <w:szCs w:val="24"/>
        </w:rPr>
        <w:t>（3）《江苏省水污染防治条例》，江苏省第十三届人民代表大会常务委员会，2021年9月29日修订；</w:t>
      </w:r>
    </w:p>
    <w:p w14:paraId="3DC869C6">
      <w:pPr>
        <w:pStyle w:val="86"/>
        <w:spacing w:line="480" w:lineRule="exact"/>
        <w:rPr>
          <w:rFonts w:ascii="Times New Roman" w:hAnsi="Times New Roman" w:eastAsia="宋体" w:cs="Times New Roman"/>
          <w:szCs w:val="24"/>
        </w:rPr>
      </w:pPr>
      <w:r>
        <w:rPr>
          <w:rFonts w:ascii="Times New Roman" w:hAnsi="Times New Roman" w:eastAsia="宋体" w:cs="Times New Roman"/>
          <w:szCs w:val="24"/>
        </w:rPr>
        <w:t>（4）《江苏省环境噪声污染防治条例》，江苏省第十二届人民代表大会常务委员会，2018年3月28日修订；</w:t>
      </w:r>
    </w:p>
    <w:p w14:paraId="75D37682">
      <w:pPr>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（5）</w:t>
      </w:r>
      <w:r>
        <w:rPr>
          <w:rFonts w:ascii="Times New Roman" w:hAnsi="Times New Roman" w:eastAsia="宋体" w:cs="Times New Roman"/>
          <w:kern w:val="0"/>
        </w:rPr>
        <w:t>《江苏省地表水（环境）功能区划（2021-2030年）》（苏政复〔2022〕13号）</w:t>
      </w:r>
      <w:r>
        <w:rPr>
          <w:rFonts w:hint="eastAsia" w:ascii="Times New Roman" w:hAnsi="Times New Roman" w:eastAsia="宋体" w:cs="Times New Roman"/>
          <w:kern w:val="0"/>
        </w:rPr>
        <w:t>；</w:t>
      </w:r>
    </w:p>
    <w:p w14:paraId="775E7052">
      <w:pPr>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（6）《江苏省“三线一单”生态环境分区管控方案》（苏政发〔2020〕49号）；</w:t>
      </w:r>
    </w:p>
    <w:p w14:paraId="3BF49C3A">
      <w:pPr>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（7）《省政府关于印发江苏省生态空间管控区域规划的通知》（苏政发[2020]1号）；</w:t>
      </w:r>
    </w:p>
    <w:p w14:paraId="55E101D1">
      <w:pPr>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（8）《省生态环境厅关于印发江苏省环境影响评价文件环境应急相关内容编制要点的通知》（苏环办〔2022〕338号）；</w:t>
      </w:r>
    </w:p>
    <w:p w14:paraId="7D3F44BC">
      <w:pPr>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（9）《江苏省排污口设置及规范化整治管理办法》（苏环控[1997]122号）；</w:t>
      </w:r>
    </w:p>
    <w:p w14:paraId="4857C934">
      <w:pPr>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（10）《关于切实加强建设项目环境保护公众参与的意见》（苏环规〔2012〕4号），2012年12月1日；</w:t>
      </w:r>
    </w:p>
    <w:p w14:paraId="41B1D91F">
      <w:pPr>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（11）《省环保厅转发环保部关于进一步加强环境影响评价管理防范环境风险的通知》（苏环办[2012]255号）；</w:t>
      </w:r>
    </w:p>
    <w:p w14:paraId="063C675C">
      <w:pPr>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（12）关于印发《宿迁市“十四五”畜禽养殖污染防治规划》的通知（宿环发〔2022〕77号）；</w:t>
      </w:r>
    </w:p>
    <w:p w14:paraId="57998EBC">
      <w:pPr>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（13）《宿迁市“三线一单”生态环境分区管控方案》（宿环发〔2020〕78号）</w:t>
      </w:r>
    </w:p>
    <w:p w14:paraId="5967A06D">
      <w:pPr>
        <w:widowControl/>
        <w:adjustRightInd w:val="0"/>
        <w:snapToGrid w:val="0"/>
        <w:spacing w:line="480" w:lineRule="exact"/>
        <w:ind w:firstLine="480" w:firstLineChars="200"/>
      </w:pPr>
      <w:r>
        <w:t>（1</w:t>
      </w:r>
      <w:r>
        <w:rPr>
          <w:rFonts w:hint="eastAsia"/>
        </w:rPr>
        <w:t>4</w:t>
      </w:r>
      <w:r>
        <w:t>）《关于做好生态环境和应急管理部门联动工作的意见》(苏环办〔2020〕101号);</w:t>
      </w:r>
    </w:p>
    <w:p w14:paraId="7C06EA36">
      <w:pPr>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（1</w:t>
      </w:r>
      <w:r>
        <w:rPr>
          <w:rFonts w:hint="eastAsia" w:ascii="Times New Roman" w:hAnsi="Times New Roman" w:eastAsia="宋体" w:cs="Times New Roman"/>
          <w:szCs w:val="24"/>
        </w:rPr>
        <w:t>5</w:t>
      </w:r>
      <w:r>
        <w:rPr>
          <w:rFonts w:ascii="Times New Roman" w:hAnsi="Times New Roman" w:eastAsia="宋体" w:cs="Times New Roman"/>
          <w:szCs w:val="24"/>
        </w:rPr>
        <w:t>）《关于做好生态环境部门和应急管理部门联动工作的通知》（宿环发〔2020〕38号）；</w:t>
      </w:r>
    </w:p>
    <w:p w14:paraId="47C0C2E8">
      <w:pPr>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（1</w:t>
      </w:r>
      <w:r>
        <w:rPr>
          <w:rFonts w:hint="eastAsia" w:ascii="Times New Roman" w:hAnsi="Times New Roman" w:eastAsia="宋体" w:cs="Times New Roman"/>
          <w:szCs w:val="24"/>
        </w:rPr>
        <w:t>6</w:t>
      </w:r>
      <w:r>
        <w:rPr>
          <w:rFonts w:ascii="Times New Roman" w:hAnsi="Times New Roman" w:eastAsia="宋体" w:cs="Times New Roman"/>
          <w:szCs w:val="24"/>
        </w:rPr>
        <w:t>）《关于加强环境影响评价现状监测管理的通知》（苏环办（2016）185号）；</w:t>
      </w:r>
    </w:p>
    <w:p w14:paraId="441072F6">
      <w:pPr>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（1</w:t>
      </w:r>
      <w:r>
        <w:rPr>
          <w:rFonts w:hint="eastAsia" w:ascii="Times New Roman" w:hAnsi="Times New Roman" w:eastAsia="宋体" w:cs="Times New Roman"/>
          <w:szCs w:val="24"/>
        </w:rPr>
        <w:t>7</w:t>
      </w:r>
      <w:r>
        <w:rPr>
          <w:rFonts w:ascii="Times New Roman" w:hAnsi="Times New Roman" w:eastAsia="宋体" w:cs="Times New Roman"/>
          <w:szCs w:val="24"/>
        </w:rPr>
        <w:t>）《江苏省推进进畜禽粪污还田利用依法加强养殖污染监管工作方案》（苏农牧[2020]31号）；</w:t>
      </w:r>
    </w:p>
    <w:p w14:paraId="47C42FE2">
      <w:pPr>
        <w:pStyle w:val="14"/>
        <w:spacing w:line="480" w:lineRule="exact"/>
        <w:ind w:firstLine="480" w:firstLineChars="200"/>
        <w:jc w:val="both"/>
        <w:rPr>
          <w:rFonts w:ascii="Times New Roman" w:hAnsi="Times New Roman" w:eastAsia="宋体" w:cs="Times New Roman"/>
          <w:szCs w:val="24"/>
        </w:rPr>
      </w:pPr>
      <w:r>
        <w:rPr>
          <w:rFonts w:ascii="Times New Roman" w:hAnsi="Times New Roman" w:eastAsia="宋体" w:cs="Times New Roman"/>
          <w:szCs w:val="24"/>
        </w:rPr>
        <w:t>（1</w:t>
      </w:r>
      <w:r>
        <w:rPr>
          <w:rFonts w:hint="eastAsia" w:ascii="Times New Roman" w:hAnsi="Times New Roman" w:eastAsia="宋体" w:cs="Times New Roman"/>
          <w:szCs w:val="24"/>
        </w:rPr>
        <w:t>8</w:t>
      </w:r>
      <w:r>
        <w:rPr>
          <w:rFonts w:ascii="Times New Roman" w:hAnsi="Times New Roman" w:eastAsia="宋体" w:cs="Times New Roman"/>
          <w:szCs w:val="24"/>
        </w:rPr>
        <w:t>）</w:t>
      </w:r>
      <w:r>
        <w:rPr>
          <w:rFonts w:ascii="Times New Roman" w:hAnsi="Times New Roman" w:eastAsia="宋体" w:cs="Times New Roman"/>
          <w:bCs/>
          <w:szCs w:val="24"/>
        </w:rPr>
        <w:t>《江苏省政府办公厅关于推进生态保护引领区和生态保护特区建设的指导意见》（苏政办发〔2017〕73号）；</w:t>
      </w:r>
    </w:p>
    <w:p w14:paraId="2A7138C8">
      <w:pPr>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（1</w:t>
      </w:r>
      <w:r>
        <w:rPr>
          <w:rFonts w:hint="eastAsia" w:ascii="Times New Roman" w:hAnsi="Times New Roman" w:eastAsia="宋体" w:cs="Times New Roman"/>
          <w:szCs w:val="24"/>
        </w:rPr>
        <w:t>9</w:t>
      </w:r>
      <w:r>
        <w:rPr>
          <w:rFonts w:ascii="Times New Roman" w:hAnsi="Times New Roman" w:eastAsia="宋体" w:cs="Times New Roman"/>
          <w:szCs w:val="24"/>
        </w:rPr>
        <w:t>）《江苏省国家级生态保护红线规划》（苏政发[2018]74号）；</w:t>
      </w:r>
    </w:p>
    <w:p w14:paraId="148C08FF">
      <w:pPr>
        <w:spacing w:line="480" w:lineRule="exact"/>
        <w:ind w:firstLine="480" w:firstLineChars="200"/>
        <w:rPr>
          <w:rFonts w:ascii="Times New Roman" w:hAnsi="Times New Roman" w:eastAsia="宋体" w:cs="Times New Roman"/>
          <w:bCs/>
          <w:szCs w:val="24"/>
        </w:rPr>
      </w:pPr>
      <w:r>
        <w:rPr>
          <w:rFonts w:ascii="Times New Roman" w:hAnsi="Times New Roman" w:eastAsia="宋体" w:cs="Times New Roman"/>
          <w:szCs w:val="24"/>
        </w:rPr>
        <w:t>（</w:t>
      </w:r>
      <w:r>
        <w:rPr>
          <w:rFonts w:hint="eastAsia" w:ascii="Times New Roman" w:hAnsi="Times New Roman" w:eastAsia="宋体" w:cs="Times New Roman"/>
          <w:szCs w:val="24"/>
        </w:rPr>
        <w:t>20</w:t>
      </w:r>
      <w:r>
        <w:rPr>
          <w:rFonts w:ascii="Times New Roman" w:hAnsi="Times New Roman" w:eastAsia="宋体" w:cs="Times New Roman"/>
          <w:szCs w:val="24"/>
        </w:rPr>
        <w:t>）《关于推广使用污染治理设施配用电监测与管理系统的通知》（宿环发[2017]62号）；</w:t>
      </w:r>
    </w:p>
    <w:p w14:paraId="2589FB32">
      <w:pPr>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（2</w:t>
      </w:r>
      <w:r>
        <w:rPr>
          <w:rFonts w:hint="eastAsia" w:ascii="Times New Roman" w:hAnsi="Times New Roman" w:eastAsia="宋体" w:cs="Times New Roman"/>
          <w:szCs w:val="24"/>
        </w:rPr>
        <w:t>1</w:t>
      </w:r>
      <w:r>
        <w:rPr>
          <w:rFonts w:ascii="Times New Roman" w:hAnsi="Times New Roman" w:eastAsia="宋体" w:cs="Times New Roman"/>
          <w:szCs w:val="24"/>
        </w:rPr>
        <w:t>）《宿迁市畜禽养殖禁养区划定方案》（2016）；</w:t>
      </w:r>
    </w:p>
    <w:p w14:paraId="357A0EC9">
      <w:pPr>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（2</w:t>
      </w:r>
      <w:r>
        <w:rPr>
          <w:rFonts w:hint="eastAsia" w:ascii="Times New Roman" w:hAnsi="Times New Roman" w:eastAsia="宋体" w:cs="Times New Roman"/>
          <w:szCs w:val="24"/>
        </w:rPr>
        <w:t>2</w:t>
      </w:r>
      <w:r>
        <w:rPr>
          <w:rFonts w:ascii="Times New Roman" w:hAnsi="Times New Roman" w:eastAsia="宋体" w:cs="Times New Roman"/>
          <w:szCs w:val="24"/>
        </w:rPr>
        <w:t>）《关于发布宿迁市生态红线区域环保准入和环保负面清单的通知》（宿环委发[2015]19号）；</w:t>
      </w:r>
    </w:p>
    <w:p w14:paraId="16CB01CF">
      <w:pPr>
        <w:pStyle w:val="87"/>
        <w:adjustRightInd/>
        <w:spacing w:before="0" w:line="480" w:lineRule="exact"/>
        <w:ind w:firstLine="480" w:firstLineChars="200"/>
        <w:textAlignment w:val="auto"/>
        <w:rPr>
          <w:rFonts w:ascii="Times New Roman" w:hAnsi="Times New Roman" w:eastAsia="宋体" w:cs="Times New Roman"/>
          <w:szCs w:val="24"/>
        </w:rPr>
      </w:pPr>
      <w:r>
        <w:rPr>
          <w:rFonts w:ascii="Times New Roman" w:hAnsi="Times New Roman" w:eastAsia="宋体" w:cs="Times New Roman"/>
          <w:szCs w:val="24"/>
        </w:rPr>
        <w:t>（2</w:t>
      </w:r>
      <w:r>
        <w:rPr>
          <w:rFonts w:hint="eastAsia" w:ascii="Times New Roman" w:hAnsi="Times New Roman" w:eastAsia="宋体" w:cs="Times New Roman"/>
          <w:szCs w:val="24"/>
        </w:rPr>
        <w:t>3</w:t>
      </w:r>
      <w:r>
        <w:rPr>
          <w:rFonts w:ascii="Times New Roman" w:hAnsi="Times New Roman" w:eastAsia="宋体" w:cs="Times New Roman"/>
          <w:szCs w:val="24"/>
        </w:rPr>
        <w:t>）《关于下发宿迁市病死畜禽无害化处理中心建设的指导意见》（宿农牧[2013]18号）；</w:t>
      </w:r>
    </w:p>
    <w:p w14:paraId="6E0197B2">
      <w:pPr>
        <w:pStyle w:val="87"/>
        <w:adjustRightInd/>
        <w:spacing w:before="0" w:line="480" w:lineRule="exact"/>
        <w:ind w:firstLine="480" w:firstLineChars="200"/>
        <w:textAlignment w:val="auto"/>
        <w:rPr>
          <w:rFonts w:ascii="Times New Roman" w:hAnsi="Times New Roman" w:eastAsia="宋体" w:cs="Times New Roman"/>
          <w:szCs w:val="24"/>
        </w:rPr>
      </w:pPr>
      <w:r>
        <w:rPr>
          <w:rFonts w:ascii="Times New Roman" w:hAnsi="Times New Roman" w:eastAsia="宋体" w:cs="Times New Roman"/>
          <w:szCs w:val="24"/>
        </w:rPr>
        <w:t>（2</w:t>
      </w:r>
      <w:r>
        <w:rPr>
          <w:rFonts w:hint="eastAsia" w:ascii="Times New Roman" w:hAnsi="Times New Roman" w:eastAsia="宋体" w:cs="Times New Roman"/>
          <w:szCs w:val="24"/>
        </w:rPr>
        <w:t>4</w:t>
      </w:r>
      <w:r>
        <w:rPr>
          <w:rFonts w:ascii="Times New Roman" w:hAnsi="Times New Roman" w:eastAsia="宋体" w:cs="Times New Roman"/>
          <w:szCs w:val="24"/>
        </w:rPr>
        <w:t>）《市政府关于印发宿迁市大气污染防治行动计划实施细则的通知》（宿政发[2014]86号）；</w:t>
      </w:r>
    </w:p>
    <w:p w14:paraId="21A63187">
      <w:pPr>
        <w:autoSpaceDE w:val="0"/>
        <w:autoSpaceDN w:val="0"/>
        <w:spacing w:line="480" w:lineRule="exact"/>
        <w:ind w:firstLine="480" w:firstLineChars="200"/>
        <w:rPr>
          <w:rFonts w:ascii="Times New Roman" w:hAnsi="Times New Roman" w:cs="Times New Roman"/>
          <w:szCs w:val="24"/>
        </w:rPr>
      </w:pPr>
      <w:r>
        <w:rPr>
          <w:rFonts w:ascii="Times New Roman" w:hAnsi="Times New Roman" w:eastAsia="宋体" w:cs="Times New Roman"/>
          <w:szCs w:val="24"/>
        </w:rPr>
        <w:t>（2</w:t>
      </w:r>
      <w:r>
        <w:rPr>
          <w:rFonts w:hint="eastAsia" w:ascii="Times New Roman" w:hAnsi="Times New Roman" w:eastAsia="宋体" w:cs="Times New Roman"/>
          <w:szCs w:val="24"/>
        </w:rPr>
        <w:t>5</w:t>
      </w:r>
      <w:r>
        <w:rPr>
          <w:rFonts w:ascii="Times New Roman" w:hAnsi="Times New Roman" w:eastAsia="宋体" w:cs="Times New Roman"/>
          <w:szCs w:val="24"/>
        </w:rPr>
        <w:t>）</w:t>
      </w:r>
      <w:r>
        <w:rPr>
          <w:color w:val="000000"/>
          <w:szCs w:val="24"/>
        </w:rPr>
        <w:t>《</w:t>
      </w:r>
      <w:r>
        <w:rPr>
          <w:rFonts w:hint="eastAsia"/>
          <w:color w:val="000000"/>
          <w:szCs w:val="24"/>
        </w:rPr>
        <w:t>关于泗阳县</w:t>
      </w:r>
      <w:r>
        <w:rPr>
          <w:color w:val="000000"/>
          <w:szCs w:val="24"/>
        </w:rPr>
        <w:t>畜禽养殖禁养区</w:t>
      </w:r>
      <w:r>
        <w:rPr>
          <w:rFonts w:hint="eastAsia"/>
          <w:color w:val="000000"/>
          <w:szCs w:val="24"/>
        </w:rPr>
        <w:t>调整化定方案的通知</w:t>
      </w:r>
      <w:r>
        <w:rPr>
          <w:color w:val="000000"/>
          <w:szCs w:val="24"/>
        </w:rPr>
        <w:t>》</w:t>
      </w:r>
      <w:r>
        <w:rPr>
          <w:rFonts w:hint="eastAsia"/>
          <w:color w:val="000000"/>
          <w:szCs w:val="24"/>
        </w:rPr>
        <w:t>泗政办发[2019]98号；</w:t>
      </w:r>
    </w:p>
    <w:p w14:paraId="267AD010">
      <w:pPr>
        <w:autoSpaceDE w:val="0"/>
        <w:autoSpaceDN w:val="0"/>
        <w:spacing w:line="480" w:lineRule="exact"/>
        <w:ind w:firstLine="480" w:firstLineChars="200"/>
        <w:rPr>
          <w:rFonts w:ascii="Times New Roman" w:hAnsi="Times New Roman" w:cs="Times New Roman"/>
          <w:szCs w:val="24"/>
        </w:rPr>
      </w:pPr>
      <w:r>
        <w:rPr>
          <w:rFonts w:ascii="Times New Roman" w:hAnsi="Times New Roman" w:eastAsia="宋体" w:cs="Times New Roman"/>
          <w:szCs w:val="24"/>
        </w:rPr>
        <w:t>（2</w:t>
      </w:r>
      <w:r>
        <w:rPr>
          <w:rFonts w:hint="eastAsia" w:ascii="Times New Roman" w:hAnsi="Times New Roman" w:eastAsia="宋体" w:cs="Times New Roman"/>
          <w:szCs w:val="24"/>
        </w:rPr>
        <w:t>6</w:t>
      </w:r>
      <w:r>
        <w:rPr>
          <w:rFonts w:ascii="Times New Roman" w:hAnsi="Times New Roman" w:eastAsia="宋体" w:cs="Times New Roman"/>
          <w:szCs w:val="24"/>
        </w:rPr>
        <w:t>）《关于贯彻落实建设项目危险废物环境影响评价指南要求的通知》（苏环办[2018]18号）；</w:t>
      </w:r>
    </w:p>
    <w:p w14:paraId="68B35757">
      <w:pPr>
        <w:autoSpaceDE w:val="0"/>
        <w:autoSpaceDN w:val="0"/>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（2</w:t>
      </w:r>
      <w:r>
        <w:rPr>
          <w:rFonts w:hint="eastAsia" w:ascii="Times New Roman" w:hAnsi="Times New Roman" w:eastAsia="宋体" w:cs="Times New Roman"/>
          <w:szCs w:val="24"/>
        </w:rPr>
        <w:t>7</w:t>
      </w:r>
      <w:r>
        <w:rPr>
          <w:rFonts w:ascii="Times New Roman" w:hAnsi="Times New Roman" w:eastAsia="宋体" w:cs="Times New Roman"/>
          <w:szCs w:val="24"/>
        </w:rPr>
        <w:t>）《关于加强畜禽养殖污染防治工作的函》（苏环函[2018]215号，江苏省环保厅、江苏省农业委员会，2018年9月18日）；</w:t>
      </w:r>
    </w:p>
    <w:p w14:paraId="2FAF8DFB">
      <w:pPr>
        <w:autoSpaceDE w:val="0"/>
        <w:autoSpaceDN w:val="0"/>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（2</w:t>
      </w:r>
      <w:r>
        <w:rPr>
          <w:rFonts w:hint="eastAsia" w:ascii="Times New Roman" w:hAnsi="Times New Roman" w:eastAsia="宋体" w:cs="Times New Roman"/>
          <w:szCs w:val="24"/>
        </w:rPr>
        <w:t>8</w:t>
      </w:r>
      <w:r>
        <w:rPr>
          <w:rFonts w:ascii="Times New Roman" w:hAnsi="Times New Roman" w:eastAsia="宋体" w:cs="Times New Roman"/>
          <w:szCs w:val="24"/>
        </w:rPr>
        <w:t>）《江苏省畜禽养殖禁养区图集》（江苏省生态环境厅、江苏省农业农村厅，2019年1月31日）；</w:t>
      </w:r>
    </w:p>
    <w:p w14:paraId="7E7F308C">
      <w:pPr>
        <w:pStyle w:val="14"/>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（29）</w:t>
      </w:r>
      <w:r>
        <w:rPr>
          <w:color w:val="000000" w:themeColor="text1"/>
          <w14:textFill>
            <w14:solidFill>
              <w14:schemeClr w14:val="tx1"/>
            </w14:solidFill>
          </w14:textFill>
        </w:rPr>
        <w:t>《江苏省推进畜禽粪污还田利用依法加强养殖污染监管工作方案》（苏农牧[2020]31号）</w:t>
      </w:r>
      <w:r>
        <w:rPr>
          <w:rFonts w:hint="eastAsia"/>
          <w:color w:val="000000" w:themeColor="text1"/>
          <w14:textFill>
            <w14:solidFill>
              <w14:schemeClr w14:val="tx1"/>
            </w14:solidFill>
          </w14:textFill>
        </w:rPr>
        <w:t>；</w:t>
      </w:r>
    </w:p>
    <w:p w14:paraId="5C66F077">
      <w:pPr>
        <w:autoSpaceDE w:val="0"/>
        <w:autoSpaceDN w:val="0"/>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w:t>
      </w:r>
      <w:r>
        <w:rPr>
          <w:rFonts w:hint="eastAsia" w:ascii="Times New Roman" w:hAnsi="Times New Roman" w:eastAsia="宋体" w:cs="Times New Roman"/>
          <w:szCs w:val="24"/>
        </w:rPr>
        <w:t>30</w:t>
      </w:r>
      <w:r>
        <w:rPr>
          <w:rFonts w:ascii="Times New Roman" w:hAnsi="Times New Roman" w:eastAsia="宋体" w:cs="Times New Roman"/>
          <w:szCs w:val="24"/>
        </w:rPr>
        <w:t>）《江苏省突发环境事件应急预案管理办法》（苏环发[2023]7号）；</w:t>
      </w:r>
    </w:p>
    <w:p w14:paraId="164FAD06">
      <w:pPr>
        <w:autoSpaceDE w:val="0"/>
        <w:autoSpaceDN w:val="0"/>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w:t>
      </w:r>
      <w:r>
        <w:rPr>
          <w:rFonts w:hint="eastAsia" w:ascii="Times New Roman" w:hAnsi="Times New Roman" w:eastAsia="宋体" w:cs="Times New Roman"/>
          <w:szCs w:val="24"/>
        </w:rPr>
        <w:t>31</w:t>
      </w:r>
      <w:r>
        <w:rPr>
          <w:rFonts w:ascii="Times New Roman" w:hAnsi="Times New Roman" w:eastAsia="宋体" w:cs="Times New Roman"/>
          <w:szCs w:val="24"/>
        </w:rPr>
        <w:t>）《省生态环境厅关于做好《危险废物贮存污染控制标准》等标准规范实施后危险废物环境管理衔接工作的通知》（苏环办[2023]154</w:t>
      </w:r>
      <w:r>
        <w:rPr>
          <w:rFonts w:hint="eastAsia" w:ascii="Times New Roman" w:hAnsi="Times New Roman" w:eastAsia="宋体" w:cs="Times New Roman"/>
          <w:szCs w:val="24"/>
        </w:rPr>
        <w:t>号</w:t>
      </w:r>
      <w:r>
        <w:rPr>
          <w:rFonts w:ascii="Times New Roman" w:hAnsi="Times New Roman" w:eastAsia="宋体" w:cs="Times New Roman"/>
          <w:szCs w:val="24"/>
        </w:rPr>
        <w:t>）</w:t>
      </w:r>
      <w:r>
        <w:rPr>
          <w:rFonts w:hint="eastAsia" w:ascii="Times New Roman" w:hAnsi="Times New Roman" w:eastAsia="宋体" w:cs="Times New Roman"/>
          <w:szCs w:val="24"/>
        </w:rPr>
        <w:t>；</w:t>
      </w:r>
    </w:p>
    <w:p w14:paraId="313FDE14">
      <w:pPr>
        <w:pageBreakBefore w:val="0"/>
        <w:widowControl/>
        <w:kinsoku/>
        <w:wordWrap/>
        <w:overflowPunct/>
        <w:topLinePunct w:val="0"/>
        <w:bidi w:val="0"/>
        <w:adjustRightInd w:val="0"/>
        <w:snapToGrid w:val="0"/>
        <w:spacing w:line="440" w:lineRule="exact"/>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（32）</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省生态环境厅关于印发</w:t>
      </w:r>
      <w:r>
        <w:rPr>
          <w:rFonts w:hint="eastAsia" w:ascii="Times New Roman" w:hAnsi="Times New Roman" w:eastAsia="宋体" w:cs="Times New Roman"/>
          <w:color w:val="000000" w:themeColor="text1"/>
          <w:szCs w:val="24"/>
          <w:lang w:val="en-US" w:eastAsia="zh-CN"/>
          <w14:textFill>
            <w14:solidFill>
              <w14:schemeClr w14:val="tx1"/>
            </w14:solidFill>
          </w14:textFill>
        </w:rPr>
        <w:t>&lt;</w:t>
      </w:r>
      <w:r>
        <w:rPr>
          <w:rFonts w:hint="eastAsia" w:ascii="Times New Roman" w:hAnsi="Times New Roman" w:eastAsia="宋体" w:cs="Times New Roman"/>
          <w:color w:val="000000" w:themeColor="text1"/>
          <w:szCs w:val="24"/>
          <w14:textFill>
            <w14:solidFill>
              <w14:schemeClr w14:val="tx1"/>
            </w14:solidFill>
          </w14:textFill>
        </w:rPr>
        <w:t>江苏省固体废物全过程环境监管工作意见</w:t>
      </w:r>
      <w:r>
        <w:rPr>
          <w:rFonts w:hint="eastAsia" w:ascii="Times New Roman" w:hAnsi="Times New Roman" w:eastAsia="宋体" w:cs="Times New Roman"/>
          <w:color w:val="000000" w:themeColor="text1"/>
          <w:szCs w:val="24"/>
          <w:lang w:val="en-US" w:eastAsia="zh-CN"/>
          <w14:textFill>
            <w14:solidFill>
              <w14:schemeClr w14:val="tx1"/>
            </w14:solidFill>
          </w14:textFill>
        </w:rPr>
        <w:t>&gt;</w:t>
      </w:r>
      <w:r>
        <w:rPr>
          <w:rFonts w:hint="eastAsia" w:ascii="Times New Roman" w:hAnsi="Times New Roman" w:eastAsia="宋体" w:cs="Times New Roman"/>
          <w:color w:val="000000" w:themeColor="text1"/>
          <w:szCs w:val="24"/>
          <w14:textFill>
            <w14:solidFill>
              <w14:schemeClr w14:val="tx1"/>
            </w14:solidFill>
          </w14:textFill>
        </w:rPr>
        <w:t>的通知</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（苏环办〔2024〕16号）</w:t>
      </w:r>
      <w:r>
        <w:rPr>
          <w:rFonts w:hint="eastAsia"/>
          <w:color w:val="000000" w:themeColor="text1"/>
          <w14:textFill>
            <w14:solidFill>
              <w14:schemeClr w14:val="tx1"/>
            </w14:solidFill>
          </w14:textFill>
        </w:rPr>
        <w:t>；</w:t>
      </w:r>
    </w:p>
    <w:p w14:paraId="28348B8D">
      <w:pPr>
        <w:pageBreakBefore w:val="0"/>
        <w:widowControl/>
        <w:kinsoku/>
        <w:wordWrap/>
        <w:overflowPunct/>
        <w:topLinePunct w:val="0"/>
        <w:bidi w:val="0"/>
        <w:adjustRightInd w:val="0"/>
        <w:snapToGrid w:val="0"/>
        <w:spacing w:line="440" w:lineRule="exact"/>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（33）《江苏省生态环境保护条例》（2024年6月5日实施）；</w:t>
      </w:r>
    </w:p>
    <w:p w14:paraId="2F286260">
      <w:pPr>
        <w:pageBreakBefore w:val="0"/>
        <w:widowControl/>
        <w:kinsoku/>
        <w:wordWrap/>
        <w:overflowPunct/>
        <w:topLinePunct w:val="0"/>
        <w:bidi w:val="0"/>
        <w:adjustRightInd w:val="0"/>
        <w:snapToGrid w:val="0"/>
        <w:spacing w:line="440" w:lineRule="exact"/>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34</w:t>
      </w:r>
      <w:r>
        <w:rPr>
          <w:color w:val="000000" w:themeColor="text1"/>
          <w14:textFill>
            <w14:solidFill>
              <w14:schemeClr w14:val="tx1"/>
            </w14:solidFill>
          </w14:textFill>
        </w:rPr>
        <w:t>）《省政府办公厅关于印发江苏省强化危险废物监管和利用处置能力改革实施方案的通知》（江苏省人民政府办公厅，苏政办发〔2022〕11号）；</w:t>
      </w:r>
    </w:p>
    <w:p w14:paraId="6749DCCE">
      <w:pPr>
        <w:pageBreakBefore w:val="0"/>
        <w:widowControl/>
        <w:kinsoku/>
        <w:wordWrap/>
        <w:overflowPunct/>
        <w:topLinePunct w:val="0"/>
        <w:bidi w:val="0"/>
        <w:adjustRightInd w:val="0"/>
        <w:snapToGrid w:val="0"/>
        <w:spacing w:line="440" w:lineRule="exact"/>
        <w:ind w:firstLine="480" w:firstLineChars="20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（35）《宿迁市工业固体废物污染环境防治条例》（宿迁市第六届人大常委会公告 第11号）；</w:t>
      </w:r>
    </w:p>
    <w:p w14:paraId="7B209E69">
      <w:pPr>
        <w:pageBreakBefore w:val="0"/>
        <w:widowControl/>
        <w:kinsoku/>
        <w:wordWrap/>
        <w:overflowPunct/>
        <w:topLinePunct w:val="0"/>
        <w:bidi w:val="0"/>
        <w:adjustRightInd w:val="0"/>
        <w:snapToGrid w:val="0"/>
        <w:spacing w:line="440" w:lineRule="exact"/>
        <w:ind w:firstLine="480" w:firstLineChars="20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宿迁市扬尘污染防治条例</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2020年3月1日实施</w:t>
      </w:r>
      <w:r>
        <w:rPr>
          <w:rFonts w:hint="eastAsia"/>
          <w:color w:val="000000" w:themeColor="text1"/>
          <w14:textFill>
            <w14:solidFill>
              <w14:schemeClr w14:val="tx1"/>
            </w14:solidFill>
          </w14:textFill>
        </w:rPr>
        <w:t>）；</w:t>
      </w:r>
    </w:p>
    <w:p w14:paraId="031EC012">
      <w:pPr>
        <w:pageBreakBefore w:val="0"/>
        <w:widowControl/>
        <w:kinsoku/>
        <w:wordWrap/>
        <w:overflowPunct/>
        <w:topLinePunct w:val="0"/>
        <w:bidi w:val="0"/>
        <w:adjustRightInd w:val="0"/>
        <w:snapToGrid w:val="0"/>
        <w:spacing w:line="440" w:lineRule="exact"/>
        <w:ind w:firstLine="480" w:firstLineChars="20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 市政府关于印发</w:t>
      </w:r>
      <w:r>
        <w:rPr>
          <w:rFonts w:hint="eastAsia"/>
          <w:color w:val="000000" w:themeColor="text1"/>
          <w:lang w:val="en-US" w:eastAsia="zh-CN"/>
          <w14:textFill>
            <w14:solidFill>
              <w14:schemeClr w14:val="tx1"/>
            </w14:solidFill>
          </w14:textFill>
        </w:rPr>
        <w:t>&lt;</w:t>
      </w:r>
      <w:r>
        <w:rPr>
          <w:rFonts w:hint="eastAsia"/>
          <w:color w:val="000000" w:themeColor="text1"/>
          <w14:textFill>
            <w14:solidFill>
              <w14:schemeClr w14:val="tx1"/>
            </w14:solidFill>
          </w14:textFill>
        </w:rPr>
        <w:t>宿迁市空气质量持续改善行动计划实施方案</w:t>
      </w:r>
      <w:r>
        <w:rPr>
          <w:rFonts w:hint="eastAsia"/>
          <w:color w:val="000000" w:themeColor="text1"/>
          <w:lang w:val="en-US" w:eastAsia="zh-CN"/>
          <w14:textFill>
            <w14:solidFill>
              <w14:schemeClr w14:val="tx1"/>
            </w14:solidFill>
          </w14:textFill>
        </w:rPr>
        <w:t>&gt;</w:t>
      </w:r>
      <w:r>
        <w:rPr>
          <w:rFonts w:hint="eastAsia"/>
          <w:color w:val="000000" w:themeColor="text1"/>
          <w14:textFill>
            <w14:solidFill>
              <w14:schemeClr w14:val="tx1"/>
            </w14:solidFill>
          </w14:textFill>
        </w:rPr>
        <w:t>的通知》（宿政发〔2024〕97号 ）；</w:t>
      </w:r>
    </w:p>
    <w:p w14:paraId="7B998575">
      <w:pPr>
        <w:pageBreakBefore w:val="0"/>
        <w:widowControl/>
        <w:kinsoku/>
        <w:wordWrap/>
        <w:overflowPunct/>
        <w:topLinePunct w:val="0"/>
        <w:bidi w:val="0"/>
        <w:adjustRightInd w:val="0"/>
        <w:snapToGrid w:val="0"/>
        <w:spacing w:line="440" w:lineRule="exact"/>
        <w:ind w:firstLine="480" w:firstLineChars="200"/>
        <w:textAlignment w:val="auto"/>
        <w:rPr>
          <w:rFonts w:hint="eastAsia" w:eastAsiaTheme="minor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 xml:space="preserve">）《 </w:t>
      </w:r>
      <w:r>
        <w:rPr>
          <w:rFonts w:hint="default"/>
          <w:color w:val="000000" w:themeColor="text1"/>
          <w:lang w:val="en-US" w:eastAsia="zh-CN"/>
          <w14:textFill>
            <w14:solidFill>
              <w14:schemeClr w14:val="tx1"/>
            </w14:solidFill>
          </w14:textFill>
        </w:rPr>
        <w:t>关于印发泗阳县2024年大气、水污染防治工作计划的通知</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泗</w:t>
      </w:r>
      <w:r>
        <w:rPr>
          <w:rFonts w:hint="default"/>
          <w:color w:val="000000" w:themeColor="text1"/>
          <w:lang w:val="en-US" w:eastAsia="zh-CN"/>
          <w14:textFill>
            <w14:solidFill>
              <w14:schemeClr w14:val="tx1"/>
            </w14:solidFill>
          </w14:textFill>
        </w:rPr>
        <w:t>污防</w:t>
      </w:r>
      <w:r>
        <w:rPr>
          <w:rFonts w:hint="eastAsia"/>
          <w:color w:val="000000" w:themeColor="text1"/>
          <w:lang w:val="en-US" w:eastAsia="zh-CN"/>
          <w14:textFill>
            <w14:solidFill>
              <w14:schemeClr w14:val="tx1"/>
            </w14:solidFill>
          </w14:textFill>
        </w:rPr>
        <w:t>攻坚</w:t>
      </w:r>
      <w:r>
        <w:rPr>
          <w:rFonts w:hint="default"/>
          <w:color w:val="000000" w:themeColor="text1"/>
          <w:lang w:val="en-US" w:eastAsia="zh-CN"/>
          <w14:textFill>
            <w14:solidFill>
              <w14:schemeClr w14:val="tx1"/>
            </w14:solidFill>
          </w14:textFill>
        </w:rPr>
        <w:t>指办</w:t>
      </w:r>
      <w:r>
        <w:rPr>
          <w:rFonts w:hint="default"/>
          <w:color w:val="000000" w:themeColor="text1"/>
          <w14:textFill>
            <w14:solidFill>
              <w14:schemeClr w14:val="tx1"/>
            </w14:solidFill>
          </w14:textFill>
        </w:rPr>
        <w:t>〔20</w:t>
      </w:r>
      <w:r>
        <w:rPr>
          <w:rFonts w:hint="default"/>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4</w:t>
      </w: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15</w:t>
      </w:r>
      <w:r>
        <w:rPr>
          <w:rFonts w:hint="default"/>
          <w:color w:val="000000" w:themeColor="text1"/>
          <w14:textFill>
            <w14:solidFill>
              <w14:schemeClr w14:val="tx1"/>
            </w14:solidFill>
          </w14:textFill>
        </w:rPr>
        <w:t>号</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p>
    <w:p w14:paraId="6F8581C6">
      <w:pPr>
        <w:pStyle w:val="7"/>
        <w:pageBreakBefore w:val="0"/>
        <w:kinsoku/>
        <w:wordWrap/>
        <w:overflowPunct/>
        <w:topLinePunct w:val="0"/>
        <w:bidi w:val="0"/>
        <w:spacing w:line="440" w:lineRule="exact"/>
        <w:textAlignment w:val="auto"/>
      </w:pPr>
      <w:r>
        <w:rPr>
          <w:rFonts w:hint="eastAsia"/>
        </w:rPr>
        <w:t>2</w:t>
      </w:r>
      <w:r>
        <w:t xml:space="preserve">.1.3 </w:t>
      </w:r>
      <w:r>
        <w:rPr>
          <w:rFonts w:hint="eastAsia"/>
        </w:rPr>
        <w:t>评价技术依据</w:t>
      </w:r>
    </w:p>
    <w:p w14:paraId="64BCEF06">
      <w:pPr>
        <w:pageBreakBefore w:val="0"/>
        <w:widowControl/>
        <w:kinsoku/>
        <w:wordWrap/>
        <w:overflowPunct/>
        <w:topLinePunct w:val="0"/>
        <w:bidi w:val="0"/>
        <w:spacing w:line="440" w:lineRule="exact"/>
        <w:ind w:firstLine="480" w:firstLineChars="200"/>
        <w:textAlignment w:val="auto"/>
      </w:pPr>
      <w:r>
        <w:rPr>
          <w:rFonts w:hint="eastAsia"/>
        </w:rPr>
        <w:t>（1）《建设项目环境影响评价技术导则  总纲》（HJ2.1-2016）；</w:t>
      </w:r>
    </w:p>
    <w:p w14:paraId="5F32B3F0">
      <w:pPr>
        <w:pageBreakBefore w:val="0"/>
        <w:widowControl/>
        <w:kinsoku/>
        <w:wordWrap/>
        <w:overflowPunct/>
        <w:topLinePunct w:val="0"/>
        <w:bidi w:val="0"/>
        <w:spacing w:line="440" w:lineRule="exact"/>
        <w:ind w:firstLine="480" w:firstLineChars="200"/>
        <w:textAlignment w:val="auto"/>
      </w:pPr>
      <w:r>
        <w:rPr>
          <w:rFonts w:hint="eastAsia"/>
        </w:rPr>
        <w:t>（2）《环境影响评价技术导则  大气环境》（HJ2.2-2018）；</w:t>
      </w:r>
    </w:p>
    <w:p w14:paraId="3C02ADAE">
      <w:pPr>
        <w:pageBreakBefore w:val="0"/>
        <w:widowControl/>
        <w:kinsoku/>
        <w:wordWrap/>
        <w:overflowPunct/>
        <w:topLinePunct w:val="0"/>
        <w:bidi w:val="0"/>
        <w:spacing w:line="440" w:lineRule="exact"/>
        <w:ind w:firstLine="480" w:firstLineChars="200"/>
        <w:textAlignment w:val="auto"/>
      </w:pPr>
      <w:r>
        <w:rPr>
          <w:rFonts w:hint="eastAsia"/>
        </w:rPr>
        <w:t>（3）《环境影响评价技术导则  地表水环境》（HJ2.3-2018）；</w:t>
      </w:r>
    </w:p>
    <w:p w14:paraId="102EC65A">
      <w:pPr>
        <w:pageBreakBefore w:val="0"/>
        <w:widowControl/>
        <w:kinsoku/>
        <w:wordWrap/>
        <w:overflowPunct/>
        <w:topLinePunct w:val="0"/>
        <w:bidi w:val="0"/>
        <w:spacing w:line="440" w:lineRule="exact"/>
        <w:ind w:firstLine="480" w:firstLineChars="200"/>
        <w:textAlignment w:val="auto"/>
      </w:pPr>
      <w:r>
        <w:rPr>
          <w:rFonts w:hint="eastAsia"/>
        </w:rPr>
        <w:t>（4）《环境影响评价技术导则  声环境》（HJ2.4-20</w:t>
      </w:r>
      <w:r>
        <w:t>21</w:t>
      </w:r>
      <w:r>
        <w:rPr>
          <w:rFonts w:hint="eastAsia"/>
        </w:rPr>
        <w:t>）；</w:t>
      </w:r>
    </w:p>
    <w:p w14:paraId="4986DD17">
      <w:pPr>
        <w:pageBreakBefore w:val="0"/>
        <w:widowControl/>
        <w:kinsoku/>
        <w:wordWrap/>
        <w:overflowPunct/>
        <w:topLinePunct w:val="0"/>
        <w:bidi w:val="0"/>
        <w:spacing w:line="440" w:lineRule="exact"/>
        <w:ind w:firstLine="480" w:firstLineChars="200"/>
        <w:textAlignment w:val="auto"/>
      </w:pPr>
      <w:r>
        <w:rPr>
          <w:rFonts w:hint="eastAsia"/>
        </w:rPr>
        <w:t>（5）《环境影响评价技术导则  地下水环境》（HJ610-2016）；</w:t>
      </w:r>
    </w:p>
    <w:p w14:paraId="6EDB88FB">
      <w:pPr>
        <w:pageBreakBefore w:val="0"/>
        <w:widowControl/>
        <w:kinsoku/>
        <w:wordWrap/>
        <w:overflowPunct/>
        <w:topLinePunct w:val="0"/>
        <w:bidi w:val="0"/>
        <w:spacing w:line="440" w:lineRule="exact"/>
        <w:ind w:firstLine="480" w:firstLineChars="200"/>
        <w:textAlignment w:val="auto"/>
      </w:pPr>
      <w:r>
        <w:rPr>
          <w:rFonts w:hint="eastAsia"/>
        </w:rPr>
        <w:t>（6）《建设项目环境风险评价技术导则》（HJ169-2018）；</w:t>
      </w:r>
    </w:p>
    <w:p w14:paraId="3CC3D9A2">
      <w:pPr>
        <w:pageBreakBefore w:val="0"/>
        <w:widowControl/>
        <w:kinsoku/>
        <w:wordWrap/>
        <w:overflowPunct/>
        <w:topLinePunct w:val="0"/>
        <w:bidi w:val="0"/>
        <w:spacing w:line="440" w:lineRule="exact"/>
        <w:ind w:firstLine="480" w:firstLineChars="200"/>
        <w:textAlignment w:val="auto"/>
      </w:pPr>
      <w:r>
        <w:rPr>
          <w:rFonts w:hint="eastAsia"/>
        </w:rPr>
        <w:t>（7）《环境影响评价技术导则  生态影响》（HJ19-20</w:t>
      </w:r>
      <w:r>
        <w:t>22</w:t>
      </w:r>
      <w:r>
        <w:rPr>
          <w:rFonts w:hint="eastAsia"/>
        </w:rPr>
        <w:t>）；</w:t>
      </w:r>
    </w:p>
    <w:p w14:paraId="0D4EAC47">
      <w:pPr>
        <w:pageBreakBefore w:val="0"/>
        <w:widowControl/>
        <w:kinsoku/>
        <w:wordWrap/>
        <w:overflowPunct/>
        <w:topLinePunct w:val="0"/>
        <w:bidi w:val="0"/>
        <w:spacing w:line="440" w:lineRule="exact"/>
        <w:ind w:firstLine="480" w:firstLineChars="200"/>
        <w:textAlignment w:val="auto"/>
      </w:pPr>
      <w:r>
        <w:rPr>
          <w:rFonts w:hint="eastAsia"/>
        </w:rPr>
        <w:t>（8）《环境影响评价技术导则  土壤环境（试行）》（HJ964-2018）；</w:t>
      </w:r>
    </w:p>
    <w:p w14:paraId="13DA4ABA">
      <w:pPr>
        <w:pageBreakBefore w:val="0"/>
        <w:widowControl/>
        <w:kinsoku/>
        <w:wordWrap/>
        <w:overflowPunct/>
        <w:topLinePunct w:val="0"/>
        <w:bidi w:val="0"/>
        <w:spacing w:line="440" w:lineRule="exact"/>
        <w:ind w:firstLine="480" w:firstLineChars="200"/>
        <w:textAlignment w:val="auto"/>
      </w:pPr>
      <w:r>
        <w:rPr>
          <w:rFonts w:hint="eastAsia"/>
        </w:rPr>
        <w:t>（9）《固体废物鉴别标准通则》（GB34330-2017）；</w:t>
      </w:r>
    </w:p>
    <w:p w14:paraId="4589C45C">
      <w:pPr>
        <w:pStyle w:val="86"/>
        <w:pageBreakBefore w:val="0"/>
        <w:kinsoku/>
        <w:wordWrap/>
        <w:overflowPunct/>
        <w:topLinePunct w:val="0"/>
        <w:bidi w:val="0"/>
        <w:spacing w:line="440" w:lineRule="exact"/>
        <w:textAlignment w:val="auto"/>
      </w:pPr>
      <w:r>
        <w:rPr>
          <w:rFonts w:hint="eastAsia"/>
        </w:rPr>
        <w:t>（10）《危险化学品重大危险源辨识》（GB18218-2018）；</w:t>
      </w:r>
    </w:p>
    <w:p w14:paraId="1D286308">
      <w:pPr>
        <w:pStyle w:val="86"/>
        <w:pageBreakBefore w:val="0"/>
        <w:kinsoku/>
        <w:wordWrap/>
        <w:overflowPunct/>
        <w:topLinePunct w:val="0"/>
        <w:bidi w:val="0"/>
        <w:spacing w:line="440" w:lineRule="exact"/>
        <w:textAlignment w:val="auto"/>
      </w:pPr>
      <w:r>
        <w:rPr>
          <w:rFonts w:hint="eastAsia"/>
        </w:rPr>
        <w:t>（11）《排污单位自行监测技术指南  总则》（HJ819-2017）；</w:t>
      </w:r>
    </w:p>
    <w:p w14:paraId="5D562CA9">
      <w:pPr>
        <w:pStyle w:val="86"/>
        <w:pageBreakBefore w:val="0"/>
        <w:kinsoku/>
        <w:wordWrap/>
        <w:overflowPunct/>
        <w:topLinePunct w:val="0"/>
        <w:bidi w:val="0"/>
        <w:spacing w:line="440" w:lineRule="exact"/>
        <w:textAlignment w:val="auto"/>
      </w:pPr>
      <w:r>
        <w:rPr>
          <w:rFonts w:hint="eastAsia"/>
        </w:rPr>
        <w:t>（12）《畜禽养殖业污染治理工程技术规范》（HJ497-2009）；</w:t>
      </w:r>
    </w:p>
    <w:p w14:paraId="629B5D68">
      <w:pPr>
        <w:pStyle w:val="86"/>
        <w:pageBreakBefore w:val="0"/>
        <w:kinsoku/>
        <w:wordWrap/>
        <w:overflowPunct/>
        <w:topLinePunct w:val="0"/>
        <w:bidi w:val="0"/>
        <w:spacing w:line="440" w:lineRule="exact"/>
        <w:textAlignment w:val="auto"/>
      </w:pPr>
      <w:r>
        <w:rPr>
          <w:rFonts w:hint="eastAsia"/>
        </w:rPr>
        <w:t>（13）《畜禽养殖产地环境评价规范》（HJ568-2010）；</w:t>
      </w:r>
    </w:p>
    <w:p w14:paraId="0B11B521">
      <w:pPr>
        <w:pStyle w:val="86"/>
        <w:pageBreakBefore w:val="0"/>
        <w:kinsoku/>
        <w:wordWrap/>
        <w:overflowPunct/>
        <w:topLinePunct w:val="0"/>
        <w:bidi w:val="0"/>
        <w:spacing w:line="440" w:lineRule="exact"/>
        <w:textAlignment w:val="auto"/>
      </w:pPr>
      <w:r>
        <w:rPr>
          <w:rFonts w:hint="eastAsia"/>
        </w:rPr>
        <w:t>（14）《畜禽粪便还田技术规范》（GB/T25246-2010）；</w:t>
      </w:r>
    </w:p>
    <w:p w14:paraId="31F1DFEE">
      <w:pPr>
        <w:pStyle w:val="86"/>
        <w:pageBreakBefore w:val="0"/>
        <w:kinsoku/>
        <w:wordWrap/>
        <w:overflowPunct/>
        <w:topLinePunct w:val="0"/>
        <w:bidi w:val="0"/>
        <w:spacing w:line="440" w:lineRule="exact"/>
        <w:textAlignment w:val="auto"/>
      </w:pPr>
      <w:r>
        <w:rPr>
          <w:rFonts w:hint="eastAsia"/>
        </w:rPr>
        <w:t>（15）《畜禽养殖场（小区）环境守法导则》（环办[2011]89号）；</w:t>
      </w:r>
    </w:p>
    <w:p w14:paraId="73FA8F29">
      <w:pPr>
        <w:pStyle w:val="86"/>
        <w:pageBreakBefore w:val="0"/>
        <w:kinsoku/>
        <w:wordWrap/>
        <w:overflowPunct/>
        <w:topLinePunct w:val="0"/>
        <w:bidi w:val="0"/>
        <w:spacing w:line="440" w:lineRule="exact"/>
        <w:textAlignment w:val="auto"/>
      </w:pPr>
      <w:r>
        <w:rPr>
          <w:rFonts w:hint="eastAsia"/>
        </w:rPr>
        <w:t>（16）《规模化畜禽养殖场沼气工程设计规范》（NY/T1222-2006）；</w:t>
      </w:r>
    </w:p>
    <w:p w14:paraId="5B9EEA12">
      <w:pPr>
        <w:pStyle w:val="86"/>
        <w:pageBreakBefore w:val="0"/>
        <w:kinsoku/>
        <w:wordWrap/>
        <w:overflowPunct/>
        <w:topLinePunct w:val="0"/>
        <w:bidi w:val="0"/>
        <w:spacing w:line="440" w:lineRule="exact"/>
        <w:textAlignment w:val="auto"/>
      </w:pPr>
      <w:r>
        <w:rPr>
          <w:rFonts w:hint="eastAsia"/>
        </w:rPr>
        <w:t>（17）《畜禽粪便无害化处理技术规范》（GB/T36195-2018）；</w:t>
      </w:r>
    </w:p>
    <w:p w14:paraId="31682D15">
      <w:pPr>
        <w:pStyle w:val="86"/>
        <w:pageBreakBefore w:val="0"/>
        <w:kinsoku/>
        <w:wordWrap/>
        <w:overflowPunct/>
        <w:topLinePunct w:val="0"/>
        <w:bidi w:val="0"/>
        <w:spacing w:line="440" w:lineRule="exact"/>
        <w:textAlignment w:val="auto"/>
      </w:pPr>
      <w:r>
        <w:rPr>
          <w:rFonts w:hint="eastAsia"/>
        </w:rPr>
        <w:t>（18）《病死及病害动物无害化处理技术规范》（农医发[2017]25号）；</w:t>
      </w:r>
    </w:p>
    <w:p w14:paraId="4D74AF9D">
      <w:pPr>
        <w:pStyle w:val="86"/>
        <w:pageBreakBefore w:val="0"/>
        <w:kinsoku/>
        <w:wordWrap/>
        <w:overflowPunct/>
        <w:topLinePunct w:val="0"/>
        <w:bidi w:val="0"/>
        <w:spacing w:line="440" w:lineRule="exact"/>
        <w:textAlignment w:val="auto"/>
      </w:pPr>
      <w:r>
        <w:rPr>
          <w:rFonts w:hint="eastAsia"/>
        </w:rPr>
        <w:t>（19）《畜禽粪便农田利用环境影响评价准则》（GB/T26622-2011）；</w:t>
      </w:r>
    </w:p>
    <w:p w14:paraId="145C4126">
      <w:pPr>
        <w:pStyle w:val="86"/>
        <w:pageBreakBefore w:val="0"/>
        <w:kinsoku/>
        <w:wordWrap/>
        <w:overflowPunct/>
        <w:topLinePunct w:val="0"/>
        <w:bidi w:val="0"/>
        <w:spacing w:line="440" w:lineRule="exact"/>
        <w:textAlignment w:val="auto"/>
      </w:pPr>
      <w:r>
        <w:rPr>
          <w:rFonts w:hint="eastAsia"/>
        </w:rPr>
        <w:t>（20）《畜禽粪便贮存设施设计要求》（GB/T27622-2011）；</w:t>
      </w:r>
    </w:p>
    <w:p w14:paraId="6714DB3E">
      <w:pPr>
        <w:pStyle w:val="86"/>
        <w:pageBreakBefore w:val="0"/>
        <w:kinsoku/>
        <w:wordWrap/>
        <w:overflowPunct/>
        <w:topLinePunct w:val="0"/>
        <w:bidi w:val="0"/>
        <w:spacing w:line="440" w:lineRule="exact"/>
        <w:textAlignment w:val="auto"/>
      </w:pPr>
      <w:r>
        <w:rPr>
          <w:rFonts w:hint="eastAsia"/>
        </w:rPr>
        <w:t>（21）《畜禽养殖污水贮存设施设计要求》（GB/T26624-2011）；</w:t>
      </w:r>
    </w:p>
    <w:p w14:paraId="116ABE6C">
      <w:pPr>
        <w:pStyle w:val="86"/>
        <w:pageBreakBefore w:val="0"/>
        <w:kinsoku/>
        <w:wordWrap/>
        <w:overflowPunct/>
        <w:topLinePunct w:val="0"/>
        <w:bidi w:val="0"/>
        <w:spacing w:line="440" w:lineRule="exact"/>
        <w:textAlignment w:val="auto"/>
      </w:pPr>
      <w:r>
        <w:rPr>
          <w:rFonts w:hint="eastAsia"/>
        </w:rPr>
        <w:t>（22）《畜禽养殖业污染防治技术规范》（HJ/T81-2001）；</w:t>
      </w:r>
    </w:p>
    <w:p w14:paraId="596DC180">
      <w:pPr>
        <w:pStyle w:val="86"/>
        <w:pageBreakBefore w:val="0"/>
        <w:kinsoku/>
        <w:wordWrap/>
        <w:overflowPunct/>
        <w:topLinePunct w:val="0"/>
        <w:bidi w:val="0"/>
        <w:spacing w:line="440" w:lineRule="exact"/>
        <w:textAlignment w:val="auto"/>
      </w:pPr>
      <w:r>
        <w:rPr>
          <w:rFonts w:hint="eastAsia"/>
        </w:rPr>
        <w:t>（23）《畜禽粪污土地承载力测算技术指南》（农办牧[2018]1号）；</w:t>
      </w:r>
    </w:p>
    <w:p w14:paraId="62FA1425">
      <w:pPr>
        <w:pStyle w:val="86"/>
        <w:pageBreakBefore w:val="0"/>
        <w:kinsoku/>
        <w:wordWrap/>
        <w:overflowPunct/>
        <w:topLinePunct w:val="0"/>
        <w:bidi w:val="0"/>
        <w:spacing w:line="440" w:lineRule="exact"/>
        <w:textAlignment w:val="auto"/>
        <w:rPr>
          <w:rFonts w:eastAsia="宋体"/>
        </w:rPr>
      </w:pPr>
      <w:r>
        <w:rPr>
          <w:rFonts w:hint="eastAsia"/>
        </w:rPr>
        <w:t>（24）《排污许可证申请与核发技术规范畜禽养殖行业》（HJ1029-2019）；</w:t>
      </w:r>
    </w:p>
    <w:p w14:paraId="62FEFCAE">
      <w:pPr>
        <w:pStyle w:val="48"/>
        <w:pageBreakBefore w:val="0"/>
        <w:kinsoku/>
        <w:wordWrap/>
        <w:overflowPunct/>
        <w:topLinePunct w:val="0"/>
        <w:bidi w:val="0"/>
        <w:adjustRightInd/>
        <w:snapToGrid/>
        <w:spacing w:line="440" w:lineRule="exact"/>
        <w:textAlignment w:val="auto"/>
      </w:pPr>
      <w:r>
        <w:rPr>
          <w:rFonts w:hint="eastAsia"/>
        </w:rPr>
        <w:t>（25）《一般固体废物分类与代码》（GB/T39198-2020）</w:t>
      </w:r>
      <w:r>
        <w:t>；</w:t>
      </w:r>
    </w:p>
    <w:p w14:paraId="2F331A23">
      <w:pPr>
        <w:pStyle w:val="48"/>
        <w:pageBreakBefore w:val="0"/>
        <w:kinsoku/>
        <w:wordWrap/>
        <w:overflowPunct/>
        <w:topLinePunct w:val="0"/>
        <w:bidi w:val="0"/>
        <w:adjustRightInd/>
        <w:snapToGrid/>
        <w:spacing w:line="440" w:lineRule="exact"/>
        <w:textAlignment w:val="auto"/>
      </w:pPr>
      <w:r>
        <w:t>（</w:t>
      </w:r>
      <w:r>
        <w:rPr>
          <w:rFonts w:hint="eastAsia"/>
        </w:rPr>
        <w:t>26</w:t>
      </w:r>
      <w:r>
        <w:t>）</w:t>
      </w:r>
      <w:r>
        <w:rPr>
          <w:rFonts w:hint="eastAsia"/>
        </w:rPr>
        <w:t>《畜禽养殖场（户）粪污处理设施建设技术指南》（农办牧〔2022〕19号）</w:t>
      </w:r>
      <w:r>
        <w:t>。</w:t>
      </w:r>
    </w:p>
    <w:p w14:paraId="241070BE">
      <w:pPr>
        <w:pStyle w:val="7"/>
        <w:pageBreakBefore w:val="0"/>
        <w:widowControl w:val="0"/>
        <w:kinsoku/>
        <w:wordWrap/>
        <w:overflowPunct/>
        <w:topLinePunct w:val="0"/>
        <w:autoSpaceDE/>
        <w:autoSpaceDN/>
        <w:bidi w:val="0"/>
        <w:adjustRightInd/>
        <w:snapToGrid/>
        <w:spacing w:line="450" w:lineRule="exact"/>
        <w:textAlignment w:val="auto"/>
      </w:pPr>
      <w:r>
        <w:rPr>
          <w:rFonts w:hint="eastAsia"/>
        </w:rPr>
        <w:t>2</w:t>
      </w:r>
      <w:r>
        <w:t xml:space="preserve">.1.4 </w:t>
      </w:r>
      <w:r>
        <w:rPr>
          <w:rFonts w:hint="eastAsia"/>
        </w:rPr>
        <w:t>项目有关文件、资料</w:t>
      </w:r>
    </w:p>
    <w:p w14:paraId="2BAAD1D1">
      <w:pPr>
        <w:pageBreakBefore w:val="0"/>
        <w:widowControl w:val="0"/>
        <w:kinsoku/>
        <w:wordWrap/>
        <w:overflowPunct/>
        <w:topLinePunct w:val="0"/>
        <w:autoSpaceDE/>
        <w:autoSpaceDN/>
        <w:bidi w:val="0"/>
        <w:adjustRightInd/>
        <w:snapToGrid/>
        <w:spacing w:line="450" w:lineRule="exact"/>
        <w:ind w:firstLine="480" w:firstLineChars="200"/>
        <w:textAlignment w:val="auto"/>
      </w:pPr>
      <w:r>
        <w:rPr>
          <w:rFonts w:hint="eastAsia"/>
        </w:rPr>
        <w:t>（1）建设项目投资备案证；</w:t>
      </w:r>
    </w:p>
    <w:p w14:paraId="033F4943">
      <w:pPr>
        <w:pageBreakBefore w:val="0"/>
        <w:widowControl w:val="0"/>
        <w:kinsoku/>
        <w:wordWrap/>
        <w:overflowPunct/>
        <w:topLinePunct w:val="0"/>
        <w:autoSpaceDE/>
        <w:autoSpaceDN/>
        <w:bidi w:val="0"/>
        <w:adjustRightInd/>
        <w:snapToGrid/>
        <w:spacing w:line="450" w:lineRule="exact"/>
        <w:ind w:firstLine="480" w:firstLineChars="200"/>
        <w:textAlignment w:val="auto"/>
      </w:pPr>
      <w:r>
        <w:rPr>
          <w:rFonts w:hint="eastAsia"/>
        </w:rPr>
        <w:t>（2）双方签订的技术服务合同及项目环境影响评价委托书；</w:t>
      </w:r>
    </w:p>
    <w:p w14:paraId="29CD75C3">
      <w:pPr>
        <w:pageBreakBefore w:val="0"/>
        <w:widowControl w:val="0"/>
        <w:kinsoku/>
        <w:wordWrap/>
        <w:overflowPunct/>
        <w:topLinePunct w:val="0"/>
        <w:autoSpaceDE/>
        <w:autoSpaceDN/>
        <w:bidi w:val="0"/>
        <w:adjustRightInd/>
        <w:snapToGrid/>
        <w:spacing w:line="450" w:lineRule="exact"/>
        <w:ind w:firstLine="480" w:firstLineChars="200"/>
        <w:textAlignment w:val="auto"/>
      </w:pPr>
      <w:r>
        <w:rPr>
          <w:rFonts w:hint="eastAsia"/>
        </w:rPr>
        <w:t>（3）建设单位提供的与本项目有关的其他资料。</w:t>
      </w:r>
    </w:p>
    <w:p w14:paraId="55E211C8">
      <w:pPr>
        <w:pStyle w:val="4"/>
        <w:pageBreakBefore w:val="0"/>
        <w:widowControl w:val="0"/>
        <w:kinsoku/>
        <w:wordWrap/>
        <w:overflowPunct/>
        <w:topLinePunct w:val="0"/>
        <w:autoSpaceDE/>
        <w:autoSpaceDN/>
        <w:bidi w:val="0"/>
        <w:adjustRightInd/>
        <w:snapToGrid/>
        <w:spacing w:after="0" w:line="450" w:lineRule="exact"/>
        <w:jc w:val="both"/>
        <w:textAlignment w:val="auto"/>
      </w:pPr>
      <w:bookmarkStart w:id="18" w:name="_Toc28587"/>
      <w:r>
        <w:rPr>
          <w:rFonts w:hint="eastAsia"/>
        </w:rPr>
        <w:t>2</w:t>
      </w:r>
      <w:r>
        <w:t xml:space="preserve">.2 </w:t>
      </w:r>
      <w:r>
        <w:rPr>
          <w:rFonts w:hint="eastAsia"/>
        </w:rPr>
        <w:t>评价目的及评价工作原则</w:t>
      </w:r>
      <w:bookmarkEnd w:id="18"/>
    </w:p>
    <w:p w14:paraId="5385D4F1">
      <w:pPr>
        <w:pStyle w:val="7"/>
        <w:pageBreakBefore w:val="0"/>
        <w:widowControl w:val="0"/>
        <w:kinsoku/>
        <w:wordWrap/>
        <w:overflowPunct/>
        <w:topLinePunct w:val="0"/>
        <w:autoSpaceDE/>
        <w:autoSpaceDN/>
        <w:bidi w:val="0"/>
        <w:adjustRightInd/>
        <w:snapToGrid/>
        <w:spacing w:line="450" w:lineRule="exact"/>
        <w:textAlignment w:val="auto"/>
      </w:pPr>
      <w:r>
        <w:rPr>
          <w:rFonts w:hint="eastAsia"/>
        </w:rPr>
        <w:t>2</w:t>
      </w:r>
      <w:r>
        <w:t xml:space="preserve">.2.1 </w:t>
      </w:r>
      <w:r>
        <w:rPr>
          <w:rFonts w:hint="eastAsia"/>
        </w:rPr>
        <w:t>评价目的</w:t>
      </w:r>
    </w:p>
    <w:p w14:paraId="0D3C3B8E">
      <w:pPr>
        <w:pageBreakBefore w:val="0"/>
        <w:widowControl w:val="0"/>
        <w:kinsoku/>
        <w:wordWrap/>
        <w:overflowPunct/>
        <w:topLinePunct w:val="0"/>
        <w:autoSpaceDE/>
        <w:autoSpaceDN/>
        <w:bidi w:val="0"/>
        <w:adjustRightInd/>
        <w:snapToGrid/>
        <w:spacing w:line="450" w:lineRule="exact"/>
        <w:ind w:firstLine="480" w:firstLineChars="200"/>
        <w:textAlignment w:val="auto"/>
      </w:pPr>
      <w:r>
        <w:rPr>
          <w:rFonts w:hint="eastAsia"/>
        </w:rPr>
        <w:t>通过对项目选址、建设规模和工艺流程、原辅料的平衡分析，确定项目建设和营运期对环境存在的影响因子、工程产污特性及污染物排放量；根据项目所在地的环境质量现状调查，对项目区的环境影响进行预测与评价；从环境保护角度对项目可行和工程拟采取的各项环保措施进行经济技术论证；为项目的可靠实施、为主管部门决策和工程设计提供依据。</w:t>
      </w:r>
    </w:p>
    <w:p w14:paraId="4F06E8F7">
      <w:pPr>
        <w:pStyle w:val="7"/>
        <w:pageBreakBefore w:val="0"/>
        <w:widowControl w:val="0"/>
        <w:kinsoku/>
        <w:wordWrap/>
        <w:overflowPunct/>
        <w:topLinePunct w:val="0"/>
        <w:autoSpaceDE/>
        <w:autoSpaceDN/>
        <w:bidi w:val="0"/>
        <w:adjustRightInd/>
        <w:snapToGrid/>
        <w:spacing w:line="450" w:lineRule="exact"/>
        <w:textAlignment w:val="auto"/>
      </w:pPr>
      <w:r>
        <w:rPr>
          <w:rFonts w:hint="eastAsia"/>
        </w:rPr>
        <w:t>2</w:t>
      </w:r>
      <w:r>
        <w:t xml:space="preserve">.2.2 </w:t>
      </w:r>
      <w:r>
        <w:rPr>
          <w:rFonts w:hint="eastAsia"/>
        </w:rPr>
        <w:t>评价工作原则</w:t>
      </w:r>
    </w:p>
    <w:p w14:paraId="555EB7C1">
      <w:pPr>
        <w:pageBreakBefore w:val="0"/>
        <w:widowControl w:val="0"/>
        <w:kinsoku/>
        <w:wordWrap/>
        <w:overflowPunct/>
        <w:topLinePunct w:val="0"/>
        <w:autoSpaceDE/>
        <w:autoSpaceDN/>
        <w:bidi w:val="0"/>
        <w:adjustRightInd/>
        <w:snapToGrid/>
        <w:spacing w:line="450" w:lineRule="exact"/>
        <w:ind w:firstLine="480" w:firstLineChars="200"/>
        <w:textAlignment w:val="auto"/>
      </w:pPr>
      <w:r>
        <w:rPr>
          <w:rFonts w:hint="eastAsia"/>
        </w:rPr>
        <w:t>突出环境影响评价的源头预防作用，坚持保护和改善环境质量。</w:t>
      </w:r>
    </w:p>
    <w:p w14:paraId="09CA4052">
      <w:pPr>
        <w:pageBreakBefore w:val="0"/>
        <w:widowControl w:val="0"/>
        <w:kinsoku/>
        <w:wordWrap/>
        <w:overflowPunct/>
        <w:topLinePunct w:val="0"/>
        <w:autoSpaceDE/>
        <w:autoSpaceDN/>
        <w:bidi w:val="0"/>
        <w:adjustRightInd/>
        <w:snapToGrid/>
        <w:spacing w:line="450" w:lineRule="exact"/>
        <w:ind w:firstLine="480" w:firstLineChars="200"/>
        <w:textAlignment w:val="auto"/>
      </w:pPr>
      <w:r>
        <w:rPr>
          <w:rFonts w:hint="eastAsia"/>
        </w:rPr>
        <w:t>（1）依法评价</w:t>
      </w:r>
    </w:p>
    <w:p w14:paraId="18B4BED1">
      <w:pPr>
        <w:pageBreakBefore w:val="0"/>
        <w:widowControl w:val="0"/>
        <w:kinsoku/>
        <w:wordWrap/>
        <w:overflowPunct/>
        <w:topLinePunct w:val="0"/>
        <w:autoSpaceDE/>
        <w:autoSpaceDN/>
        <w:bidi w:val="0"/>
        <w:adjustRightInd/>
        <w:snapToGrid/>
        <w:spacing w:line="450" w:lineRule="exact"/>
        <w:ind w:firstLine="480" w:firstLineChars="200"/>
        <w:textAlignment w:val="auto"/>
      </w:pPr>
      <w:r>
        <w:rPr>
          <w:rFonts w:hint="eastAsia"/>
        </w:rPr>
        <w:t>贯彻执行我国环境保护相关法律法规、标准、政策和规划等，优化项目建设，服务环境管理。</w:t>
      </w:r>
    </w:p>
    <w:p w14:paraId="2C97516B">
      <w:pPr>
        <w:pageBreakBefore w:val="0"/>
        <w:widowControl w:val="0"/>
        <w:kinsoku/>
        <w:wordWrap/>
        <w:overflowPunct/>
        <w:topLinePunct w:val="0"/>
        <w:autoSpaceDE/>
        <w:autoSpaceDN/>
        <w:bidi w:val="0"/>
        <w:adjustRightInd/>
        <w:snapToGrid/>
        <w:spacing w:line="450" w:lineRule="exact"/>
        <w:ind w:firstLine="480" w:firstLineChars="200"/>
        <w:textAlignment w:val="auto"/>
      </w:pPr>
      <w:r>
        <w:rPr>
          <w:rFonts w:hint="eastAsia"/>
        </w:rPr>
        <w:t>（2）科学评价</w:t>
      </w:r>
    </w:p>
    <w:p w14:paraId="19803C0F">
      <w:pPr>
        <w:pageBreakBefore w:val="0"/>
        <w:widowControl w:val="0"/>
        <w:kinsoku/>
        <w:wordWrap/>
        <w:overflowPunct/>
        <w:topLinePunct w:val="0"/>
        <w:autoSpaceDE/>
        <w:autoSpaceDN/>
        <w:bidi w:val="0"/>
        <w:adjustRightInd/>
        <w:snapToGrid/>
        <w:spacing w:line="450" w:lineRule="exact"/>
        <w:ind w:firstLine="480" w:firstLineChars="200"/>
        <w:textAlignment w:val="auto"/>
      </w:pPr>
      <w:r>
        <w:rPr>
          <w:rFonts w:hint="eastAsia"/>
        </w:rPr>
        <w:t>规范环境影响评价方法，科学分析项目建设对环境质量的影响。</w:t>
      </w:r>
    </w:p>
    <w:p w14:paraId="4A89A797">
      <w:pPr>
        <w:pageBreakBefore w:val="0"/>
        <w:widowControl w:val="0"/>
        <w:kinsoku/>
        <w:wordWrap/>
        <w:overflowPunct/>
        <w:topLinePunct w:val="0"/>
        <w:autoSpaceDE/>
        <w:autoSpaceDN/>
        <w:bidi w:val="0"/>
        <w:adjustRightInd/>
        <w:snapToGrid/>
        <w:spacing w:line="450" w:lineRule="exact"/>
        <w:ind w:firstLine="480" w:firstLineChars="200"/>
        <w:textAlignment w:val="auto"/>
      </w:pPr>
      <w:r>
        <w:rPr>
          <w:rFonts w:hint="eastAsia"/>
        </w:rPr>
        <w:t>（3）突出重点</w:t>
      </w:r>
    </w:p>
    <w:p w14:paraId="4A4F9929">
      <w:pPr>
        <w:pageBreakBefore w:val="0"/>
        <w:widowControl w:val="0"/>
        <w:kinsoku/>
        <w:wordWrap/>
        <w:overflowPunct/>
        <w:topLinePunct w:val="0"/>
        <w:autoSpaceDE/>
        <w:autoSpaceDN/>
        <w:bidi w:val="0"/>
        <w:adjustRightInd/>
        <w:snapToGrid/>
        <w:spacing w:line="450" w:lineRule="exact"/>
        <w:ind w:firstLine="480" w:firstLineChars="200"/>
        <w:textAlignment w:val="auto"/>
      </w:pPr>
      <w:r>
        <w:rPr>
          <w:rFonts w:hint="eastAsia"/>
        </w:rPr>
        <w:t>根据建设项目的工程内容及其特点，明确与环境要素间的作用效应关系，根据规划环境影响评价结论和审查意见，充分利用符合时效的数据资料及成果，对建设项目主要环境影响予以重点分析和评价。</w:t>
      </w:r>
    </w:p>
    <w:p w14:paraId="4FF6EB3D">
      <w:pPr>
        <w:pStyle w:val="4"/>
        <w:spacing w:after="0" w:line="480" w:lineRule="exact"/>
        <w:jc w:val="both"/>
      </w:pPr>
      <w:bookmarkStart w:id="19" w:name="_Toc28985"/>
      <w:r>
        <w:rPr>
          <w:rFonts w:hint="eastAsia"/>
        </w:rPr>
        <w:t>2</w:t>
      </w:r>
      <w:r>
        <w:t xml:space="preserve">.3 </w:t>
      </w:r>
      <w:r>
        <w:rPr>
          <w:rFonts w:hint="eastAsia"/>
        </w:rPr>
        <w:t>评价因子</w:t>
      </w:r>
      <w:bookmarkEnd w:id="19"/>
    </w:p>
    <w:p w14:paraId="4B758855">
      <w:pPr>
        <w:pStyle w:val="7"/>
        <w:spacing w:line="480" w:lineRule="exact"/>
      </w:pPr>
      <w:r>
        <w:rPr>
          <w:rFonts w:hint="eastAsia"/>
        </w:rPr>
        <w:t>2</w:t>
      </w:r>
      <w:r>
        <w:t xml:space="preserve">.3.1 </w:t>
      </w:r>
      <w:r>
        <w:rPr>
          <w:rFonts w:hint="eastAsia"/>
        </w:rPr>
        <w:t>环境影响因素识别</w:t>
      </w:r>
    </w:p>
    <w:p w14:paraId="775E089B">
      <w:pPr>
        <w:adjustRightInd w:val="0"/>
        <w:spacing w:line="480" w:lineRule="exact"/>
        <w:ind w:firstLine="480" w:firstLineChars="200"/>
        <w:rPr>
          <w:rFonts w:ascii="Times New Roman"/>
          <w:szCs w:val="24"/>
        </w:rPr>
      </w:pPr>
      <w:r>
        <w:rPr>
          <w:rFonts w:ascii="Times New Roman" w:hAnsi="宋体"/>
          <w:szCs w:val="24"/>
        </w:rPr>
        <w:t>根据《建设项目环境影响评价技术导则</w:t>
      </w:r>
      <w:r>
        <w:rPr>
          <w:rFonts w:ascii="Times New Roman"/>
          <w:szCs w:val="24"/>
        </w:rPr>
        <w:t xml:space="preserve"> </w:t>
      </w:r>
      <w:r>
        <w:rPr>
          <w:rFonts w:ascii="Times New Roman" w:hAnsi="宋体"/>
          <w:szCs w:val="24"/>
        </w:rPr>
        <w:t>总纲》（</w:t>
      </w:r>
      <w:r>
        <w:rPr>
          <w:rFonts w:ascii="Times New Roman"/>
          <w:szCs w:val="24"/>
        </w:rPr>
        <w:t>HJ 2.1-2016</w:t>
      </w:r>
      <w:r>
        <w:rPr>
          <w:rFonts w:ascii="Times New Roman" w:hAnsi="宋体"/>
          <w:szCs w:val="24"/>
        </w:rPr>
        <w:t>），本项目涉及的环境要素识别详见表</w:t>
      </w:r>
      <w:r>
        <w:rPr>
          <w:rFonts w:ascii="Times New Roman"/>
          <w:szCs w:val="24"/>
        </w:rPr>
        <w:t>2.3-1</w:t>
      </w:r>
      <w:r>
        <w:rPr>
          <w:rFonts w:ascii="Times New Roman" w:hAnsi="宋体"/>
          <w:szCs w:val="24"/>
        </w:rPr>
        <w:t>。</w:t>
      </w:r>
    </w:p>
    <w:p w14:paraId="6AC4BFEA">
      <w:pPr>
        <w:adjustRightInd w:val="0"/>
        <w:spacing w:line="480" w:lineRule="exact"/>
        <w:jc w:val="center"/>
        <w:rPr>
          <w:rFonts w:ascii="Times New Roman"/>
          <w:szCs w:val="24"/>
        </w:rPr>
      </w:pPr>
      <w:bookmarkStart w:id="20" w:name="_Ref413159256"/>
      <w:r>
        <w:rPr>
          <w:rFonts w:ascii="Times New Roman" w:hAnsi="宋体"/>
          <w:b/>
          <w:bCs/>
          <w:szCs w:val="24"/>
        </w:rPr>
        <w:t>表</w:t>
      </w:r>
      <w:bookmarkEnd w:id="20"/>
      <w:r>
        <w:rPr>
          <w:rFonts w:ascii="Times New Roman"/>
          <w:b/>
          <w:bCs/>
          <w:szCs w:val="24"/>
        </w:rPr>
        <w:t xml:space="preserve">2.3-1  </w:t>
      </w:r>
      <w:r>
        <w:rPr>
          <w:rFonts w:ascii="Times New Roman" w:hAnsi="宋体"/>
          <w:b/>
          <w:bCs/>
          <w:szCs w:val="24"/>
        </w:rPr>
        <w:t>自然环境影响的因子识别</w:t>
      </w:r>
    </w:p>
    <w:tbl>
      <w:tblPr>
        <w:tblStyle w:val="4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392"/>
        <w:gridCol w:w="587"/>
        <w:gridCol w:w="935"/>
        <w:gridCol w:w="935"/>
        <w:gridCol w:w="862"/>
        <w:gridCol w:w="862"/>
        <w:gridCol w:w="798"/>
        <w:gridCol w:w="794"/>
        <w:gridCol w:w="1004"/>
        <w:gridCol w:w="1004"/>
        <w:gridCol w:w="951"/>
      </w:tblGrid>
      <w:tr w14:paraId="297DF0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37" w:type="pct"/>
            <w:gridSpan w:val="2"/>
            <w:vMerge w:val="restart"/>
            <w:tcBorders>
              <w:top w:val="single" w:color="auto" w:sz="12" w:space="0"/>
              <w:left w:val="nil"/>
              <w:bottom w:val="single" w:color="auto" w:sz="4" w:space="0"/>
              <w:tl2br w:val="single" w:color="auto" w:sz="4" w:space="0"/>
            </w:tcBorders>
            <w:vAlign w:val="center"/>
          </w:tcPr>
          <w:p w14:paraId="65B05A1E">
            <w:pPr>
              <w:autoSpaceDE w:val="0"/>
              <w:autoSpaceDN w:val="0"/>
              <w:adjustRightInd w:val="0"/>
              <w:snapToGrid w:val="0"/>
              <w:spacing w:line="270" w:lineRule="exact"/>
              <w:jc w:val="right"/>
              <w:rPr>
                <w:rFonts w:ascii="Times New Roman" w:eastAsia="宋体"/>
                <w:sz w:val="21"/>
                <w:szCs w:val="21"/>
              </w:rPr>
            </w:pPr>
            <w:r>
              <w:rPr>
                <w:rFonts w:ascii="Times New Roman" w:hAnsi="宋体" w:eastAsia="宋体"/>
                <w:sz w:val="21"/>
                <w:szCs w:val="21"/>
              </w:rPr>
              <w:t>影响</w:t>
            </w:r>
          </w:p>
          <w:p w14:paraId="41BD1AB4">
            <w:pPr>
              <w:autoSpaceDE w:val="0"/>
              <w:autoSpaceDN w:val="0"/>
              <w:adjustRightInd w:val="0"/>
              <w:snapToGrid w:val="0"/>
              <w:spacing w:line="270" w:lineRule="exact"/>
              <w:jc w:val="right"/>
              <w:rPr>
                <w:rFonts w:ascii="Times New Roman" w:eastAsia="宋体"/>
                <w:sz w:val="21"/>
                <w:szCs w:val="21"/>
              </w:rPr>
            </w:pPr>
            <w:r>
              <w:rPr>
                <w:rFonts w:ascii="Times New Roman" w:hAnsi="宋体" w:eastAsia="宋体"/>
                <w:sz w:val="21"/>
                <w:szCs w:val="21"/>
              </w:rPr>
              <w:t>受体</w:t>
            </w:r>
          </w:p>
          <w:p w14:paraId="143A4D98">
            <w:pPr>
              <w:autoSpaceDE w:val="0"/>
              <w:autoSpaceDN w:val="0"/>
              <w:adjustRightInd w:val="0"/>
              <w:snapToGrid w:val="0"/>
              <w:spacing w:line="270" w:lineRule="exact"/>
              <w:jc w:val="left"/>
              <w:rPr>
                <w:rFonts w:ascii="Times New Roman" w:eastAsia="宋体"/>
                <w:sz w:val="21"/>
                <w:szCs w:val="21"/>
              </w:rPr>
            </w:pPr>
            <w:r>
              <w:rPr>
                <w:rFonts w:ascii="Times New Roman" w:hAnsi="宋体" w:eastAsia="宋体"/>
                <w:sz w:val="21"/>
                <w:szCs w:val="21"/>
              </w:rPr>
              <w:t>影响</w:t>
            </w:r>
          </w:p>
          <w:p w14:paraId="5042F636">
            <w:pPr>
              <w:autoSpaceDE w:val="0"/>
              <w:autoSpaceDN w:val="0"/>
              <w:adjustRightInd w:val="0"/>
              <w:snapToGrid w:val="0"/>
              <w:spacing w:line="270" w:lineRule="exact"/>
              <w:jc w:val="left"/>
              <w:rPr>
                <w:rFonts w:ascii="Times New Roman" w:eastAsia="宋体"/>
                <w:sz w:val="21"/>
                <w:szCs w:val="21"/>
              </w:rPr>
            </w:pPr>
            <w:r>
              <w:rPr>
                <w:rFonts w:ascii="Times New Roman" w:hAnsi="宋体" w:eastAsia="宋体"/>
                <w:sz w:val="21"/>
                <w:szCs w:val="21"/>
              </w:rPr>
              <w:t>因素</w:t>
            </w:r>
          </w:p>
        </w:tc>
        <w:tc>
          <w:tcPr>
            <w:tcW w:w="2405" w:type="pct"/>
            <w:gridSpan w:val="5"/>
            <w:tcBorders>
              <w:top w:val="single" w:color="auto" w:sz="12" w:space="0"/>
              <w:bottom w:val="single" w:color="auto" w:sz="4" w:space="0"/>
            </w:tcBorders>
            <w:vAlign w:val="center"/>
          </w:tcPr>
          <w:p w14:paraId="51C60A42">
            <w:pPr>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自然环境</w:t>
            </w:r>
          </w:p>
        </w:tc>
        <w:tc>
          <w:tcPr>
            <w:tcW w:w="2056" w:type="pct"/>
            <w:gridSpan w:val="4"/>
            <w:tcBorders>
              <w:top w:val="single" w:color="auto" w:sz="12" w:space="0"/>
              <w:bottom w:val="single" w:color="auto" w:sz="4" w:space="0"/>
              <w:right w:val="nil"/>
            </w:tcBorders>
            <w:vAlign w:val="center"/>
          </w:tcPr>
          <w:p w14:paraId="2E985C01">
            <w:pPr>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生态环境</w:t>
            </w:r>
          </w:p>
        </w:tc>
      </w:tr>
      <w:tr w14:paraId="3F69B0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37" w:type="pct"/>
            <w:gridSpan w:val="2"/>
            <w:vMerge w:val="continue"/>
            <w:tcBorders>
              <w:top w:val="single" w:color="auto" w:sz="4" w:space="0"/>
              <w:left w:val="nil"/>
              <w:bottom w:val="single" w:color="auto" w:sz="4" w:space="0"/>
              <w:tl2br w:val="single" w:color="auto" w:sz="4" w:space="0"/>
            </w:tcBorders>
            <w:vAlign w:val="center"/>
          </w:tcPr>
          <w:p w14:paraId="3506A015">
            <w:pPr>
              <w:autoSpaceDE w:val="0"/>
              <w:autoSpaceDN w:val="0"/>
              <w:adjustRightInd w:val="0"/>
              <w:snapToGrid w:val="0"/>
              <w:spacing w:line="270" w:lineRule="exact"/>
              <w:jc w:val="right"/>
              <w:rPr>
                <w:rFonts w:ascii="Times New Roman" w:eastAsia="宋体"/>
                <w:sz w:val="21"/>
                <w:szCs w:val="21"/>
              </w:rPr>
            </w:pPr>
          </w:p>
        </w:tc>
        <w:tc>
          <w:tcPr>
            <w:tcW w:w="512" w:type="pct"/>
            <w:tcBorders>
              <w:top w:val="single" w:color="auto" w:sz="4" w:space="0"/>
              <w:bottom w:val="single" w:color="auto" w:sz="4" w:space="0"/>
            </w:tcBorders>
            <w:vAlign w:val="center"/>
          </w:tcPr>
          <w:p w14:paraId="4E31EE70">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环境</w:t>
            </w:r>
          </w:p>
          <w:p w14:paraId="22FA6541">
            <w:pPr>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空气</w:t>
            </w:r>
          </w:p>
        </w:tc>
        <w:tc>
          <w:tcPr>
            <w:tcW w:w="512" w:type="pct"/>
            <w:tcBorders>
              <w:top w:val="single" w:color="auto" w:sz="4" w:space="0"/>
              <w:bottom w:val="single" w:color="auto" w:sz="4" w:space="0"/>
            </w:tcBorders>
            <w:vAlign w:val="center"/>
          </w:tcPr>
          <w:p w14:paraId="0751F05D">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地表水</w:t>
            </w:r>
          </w:p>
          <w:p w14:paraId="30790A63">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环境</w:t>
            </w:r>
          </w:p>
        </w:tc>
        <w:tc>
          <w:tcPr>
            <w:tcW w:w="472" w:type="pct"/>
            <w:tcBorders>
              <w:top w:val="single" w:color="auto" w:sz="4" w:space="0"/>
              <w:bottom w:val="single" w:color="auto" w:sz="4" w:space="0"/>
            </w:tcBorders>
            <w:vAlign w:val="center"/>
          </w:tcPr>
          <w:p w14:paraId="4C2F1916">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地下水</w:t>
            </w:r>
          </w:p>
          <w:p w14:paraId="14141376">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环境</w:t>
            </w:r>
          </w:p>
        </w:tc>
        <w:tc>
          <w:tcPr>
            <w:tcW w:w="472" w:type="pct"/>
            <w:tcBorders>
              <w:top w:val="single" w:color="auto" w:sz="4" w:space="0"/>
              <w:bottom w:val="single" w:color="auto" w:sz="4" w:space="0"/>
            </w:tcBorders>
            <w:vAlign w:val="center"/>
          </w:tcPr>
          <w:p w14:paraId="334D2F20">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土壤</w:t>
            </w:r>
          </w:p>
          <w:p w14:paraId="27AF9529">
            <w:pPr>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环境</w:t>
            </w:r>
          </w:p>
        </w:tc>
        <w:tc>
          <w:tcPr>
            <w:tcW w:w="435" w:type="pct"/>
            <w:tcBorders>
              <w:top w:val="single" w:color="auto" w:sz="4" w:space="0"/>
              <w:bottom w:val="single" w:color="auto" w:sz="4" w:space="0"/>
            </w:tcBorders>
            <w:vAlign w:val="center"/>
          </w:tcPr>
          <w:p w14:paraId="3FFC314C">
            <w:pPr>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声环</w:t>
            </w:r>
          </w:p>
          <w:p w14:paraId="06E7D7A8">
            <w:pPr>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境</w:t>
            </w:r>
          </w:p>
        </w:tc>
        <w:tc>
          <w:tcPr>
            <w:tcW w:w="435" w:type="pct"/>
            <w:tcBorders>
              <w:top w:val="single" w:color="auto" w:sz="4" w:space="0"/>
              <w:bottom w:val="single" w:color="auto" w:sz="4" w:space="0"/>
            </w:tcBorders>
            <w:vAlign w:val="center"/>
          </w:tcPr>
          <w:p w14:paraId="18AF1721">
            <w:pPr>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陆域</w:t>
            </w:r>
          </w:p>
          <w:p w14:paraId="6050F2CA">
            <w:pPr>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环境</w:t>
            </w:r>
          </w:p>
        </w:tc>
        <w:tc>
          <w:tcPr>
            <w:tcW w:w="550" w:type="pct"/>
            <w:tcBorders>
              <w:top w:val="single" w:color="auto" w:sz="4" w:space="0"/>
              <w:bottom w:val="single" w:color="auto" w:sz="4" w:space="0"/>
            </w:tcBorders>
            <w:vAlign w:val="center"/>
          </w:tcPr>
          <w:p w14:paraId="65FB05AA">
            <w:pPr>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水生</w:t>
            </w:r>
          </w:p>
          <w:p w14:paraId="4B8F9E90">
            <w:pPr>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生物</w:t>
            </w:r>
          </w:p>
        </w:tc>
        <w:tc>
          <w:tcPr>
            <w:tcW w:w="550" w:type="pct"/>
            <w:tcBorders>
              <w:top w:val="single" w:color="auto" w:sz="4" w:space="0"/>
              <w:bottom w:val="single" w:color="auto" w:sz="4" w:space="0"/>
            </w:tcBorders>
            <w:vAlign w:val="center"/>
          </w:tcPr>
          <w:p w14:paraId="55D08D5D">
            <w:pPr>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渔业</w:t>
            </w:r>
          </w:p>
          <w:p w14:paraId="4B057AE8">
            <w:pPr>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资源</w:t>
            </w:r>
          </w:p>
        </w:tc>
        <w:tc>
          <w:tcPr>
            <w:tcW w:w="519" w:type="pct"/>
            <w:tcBorders>
              <w:top w:val="single" w:color="auto" w:sz="4" w:space="0"/>
              <w:bottom w:val="single" w:color="auto" w:sz="4" w:space="0"/>
              <w:right w:val="nil"/>
            </w:tcBorders>
            <w:vAlign w:val="center"/>
          </w:tcPr>
          <w:p w14:paraId="636C85C1">
            <w:pPr>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主要生</w:t>
            </w:r>
          </w:p>
          <w:p w14:paraId="2241E3A1">
            <w:pPr>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态保护</w:t>
            </w:r>
          </w:p>
          <w:p w14:paraId="113B0B4F">
            <w:pPr>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区域</w:t>
            </w:r>
          </w:p>
        </w:tc>
      </w:tr>
      <w:tr w14:paraId="73B02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15" w:type="pct"/>
            <w:vMerge w:val="restart"/>
            <w:tcBorders>
              <w:top w:val="single" w:color="auto" w:sz="4" w:space="0"/>
              <w:left w:val="nil"/>
              <w:bottom w:val="single" w:color="auto" w:sz="4" w:space="0"/>
            </w:tcBorders>
            <w:textDirection w:val="tbRlV"/>
            <w:vAlign w:val="center"/>
          </w:tcPr>
          <w:p w14:paraId="0916FD3B">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施工期</w:t>
            </w:r>
          </w:p>
        </w:tc>
        <w:tc>
          <w:tcPr>
            <w:tcW w:w="322" w:type="pct"/>
            <w:tcBorders>
              <w:top w:val="single" w:color="auto" w:sz="4" w:space="0"/>
              <w:bottom w:val="single" w:color="auto" w:sz="4" w:space="0"/>
            </w:tcBorders>
            <w:vAlign w:val="center"/>
          </w:tcPr>
          <w:p w14:paraId="7B88F8B1">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施工废水</w:t>
            </w:r>
          </w:p>
        </w:tc>
        <w:tc>
          <w:tcPr>
            <w:tcW w:w="512" w:type="pct"/>
            <w:tcBorders>
              <w:top w:val="single" w:color="auto" w:sz="4" w:space="0"/>
              <w:bottom w:val="single" w:color="auto" w:sz="4" w:space="0"/>
            </w:tcBorders>
            <w:vAlign w:val="center"/>
          </w:tcPr>
          <w:p w14:paraId="71257E03">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12" w:type="pct"/>
            <w:tcBorders>
              <w:top w:val="single" w:color="auto" w:sz="4" w:space="0"/>
              <w:bottom w:val="single" w:color="auto" w:sz="4" w:space="0"/>
            </w:tcBorders>
            <w:vAlign w:val="center"/>
          </w:tcPr>
          <w:p w14:paraId="068E2925">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-1SI</w:t>
            </w:r>
          </w:p>
          <w:p w14:paraId="5F2762B6">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R NC</w:t>
            </w:r>
          </w:p>
        </w:tc>
        <w:tc>
          <w:tcPr>
            <w:tcW w:w="472" w:type="pct"/>
            <w:tcBorders>
              <w:top w:val="single" w:color="auto" w:sz="4" w:space="0"/>
              <w:bottom w:val="single" w:color="auto" w:sz="4" w:space="0"/>
            </w:tcBorders>
            <w:vAlign w:val="center"/>
          </w:tcPr>
          <w:p w14:paraId="3A0385F9">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-1SI</w:t>
            </w:r>
          </w:p>
          <w:p w14:paraId="77CD8FE3">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IR NC</w:t>
            </w:r>
          </w:p>
        </w:tc>
        <w:tc>
          <w:tcPr>
            <w:tcW w:w="472" w:type="pct"/>
            <w:tcBorders>
              <w:top w:val="single" w:color="auto" w:sz="4" w:space="0"/>
              <w:bottom w:val="single" w:color="auto" w:sz="4" w:space="0"/>
            </w:tcBorders>
            <w:vAlign w:val="center"/>
          </w:tcPr>
          <w:p w14:paraId="0E073FE8">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-1SI</w:t>
            </w:r>
          </w:p>
          <w:p w14:paraId="5D90171C">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IR NC</w:t>
            </w:r>
          </w:p>
        </w:tc>
        <w:tc>
          <w:tcPr>
            <w:tcW w:w="435" w:type="pct"/>
            <w:tcBorders>
              <w:top w:val="single" w:color="auto" w:sz="4" w:space="0"/>
              <w:bottom w:val="single" w:color="auto" w:sz="4" w:space="0"/>
            </w:tcBorders>
            <w:vAlign w:val="center"/>
          </w:tcPr>
          <w:p w14:paraId="2BCC7BE8">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35" w:type="pct"/>
            <w:tcBorders>
              <w:top w:val="single" w:color="auto" w:sz="4" w:space="0"/>
              <w:bottom w:val="single" w:color="auto" w:sz="4" w:space="0"/>
            </w:tcBorders>
            <w:vAlign w:val="center"/>
          </w:tcPr>
          <w:p w14:paraId="73BDFC53">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50" w:type="pct"/>
            <w:tcBorders>
              <w:top w:val="single" w:color="auto" w:sz="4" w:space="0"/>
              <w:bottom w:val="single" w:color="auto" w:sz="4" w:space="0"/>
            </w:tcBorders>
            <w:vAlign w:val="center"/>
          </w:tcPr>
          <w:p w14:paraId="39F48107">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50" w:type="pct"/>
            <w:tcBorders>
              <w:top w:val="single" w:color="auto" w:sz="4" w:space="0"/>
              <w:bottom w:val="single" w:color="auto" w:sz="4" w:space="0"/>
            </w:tcBorders>
            <w:vAlign w:val="center"/>
          </w:tcPr>
          <w:p w14:paraId="5BF52942">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19" w:type="pct"/>
            <w:tcBorders>
              <w:top w:val="single" w:color="auto" w:sz="4" w:space="0"/>
              <w:bottom w:val="single" w:color="auto" w:sz="4" w:space="0"/>
              <w:right w:val="nil"/>
            </w:tcBorders>
            <w:vAlign w:val="center"/>
          </w:tcPr>
          <w:p w14:paraId="3D5B0B66">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r>
      <w:tr w14:paraId="680CF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15" w:type="pct"/>
            <w:vMerge w:val="continue"/>
            <w:tcBorders>
              <w:top w:val="single" w:color="auto" w:sz="4" w:space="0"/>
              <w:left w:val="nil"/>
              <w:bottom w:val="single" w:color="auto" w:sz="4" w:space="0"/>
            </w:tcBorders>
            <w:textDirection w:val="tbRlV"/>
            <w:vAlign w:val="center"/>
          </w:tcPr>
          <w:p w14:paraId="7577DB33">
            <w:pPr>
              <w:tabs>
                <w:tab w:val="left" w:pos="576"/>
              </w:tabs>
              <w:autoSpaceDE w:val="0"/>
              <w:autoSpaceDN w:val="0"/>
              <w:adjustRightInd w:val="0"/>
              <w:snapToGrid w:val="0"/>
              <w:spacing w:line="270" w:lineRule="exact"/>
              <w:jc w:val="center"/>
              <w:rPr>
                <w:rFonts w:ascii="Times New Roman" w:eastAsia="宋体"/>
                <w:sz w:val="21"/>
                <w:szCs w:val="21"/>
              </w:rPr>
            </w:pPr>
          </w:p>
        </w:tc>
        <w:tc>
          <w:tcPr>
            <w:tcW w:w="322" w:type="pct"/>
            <w:tcBorders>
              <w:top w:val="single" w:color="auto" w:sz="4" w:space="0"/>
              <w:bottom w:val="single" w:color="auto" w:sz="4" w:space="0"/>
            </w:tcBorders>
            <w:vAlign w:val="center"/>
          </w:tcPr>
          <w:p w14:paraId="6783F612">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施工扬尘</w:t>
            </w:r>
          </w:p>
        </w:tc>
        <w:tc>
          <w:tcPr>
            <w:tcW w:w="512" w:type="pct"/>
            <w:tcBorders>
              <w:top w:val="single" w:color="auto" w:sz="4" w:space="0"/>
              <w:bottom w:val="single" w:color="auto" w:sz="4" w:space="0"/>
            </w:tcBorders>
            <w:vAlign w:val="center"/>
          </w:tcPr>
          <w:p w14:paraId="1C944C25">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-1SD</w:t>
            </w:r>
          </w:p>
          <w:p w14:paraId="34A573EB">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IR NC</w:t>
            </w:r>
          </w:p>
        </w:tc>
        <w:tc>
          <w:tcPr>
            <w:tcW w:w="512" w:type="pct"/>
            <w:tcBorders>
              <w:top w:val="single" w:color="auto" w:sz="4" w:space="0"/>
              <w:bottom w:val="single" w:color="auto" w:sz="4" w:space="0"/>
            </w:tcBorders>
            <w:vAlign w:val="center"/>
          </w:tcPr>
          <w:p w14:paraId="672C8D14">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72" w:type="pct"/>
            <w:tcBorders>
              <w:top w:val="single" w:color="auto" w:sz="4" w:space="0"/>
              <w:bottom w:val="single" w:color="auto" w:sz="4" w:space="0"/>
            </w:tcBorders>
            <w:vAlign w:val="center"/>
          </w:tcPr>
          <w:p w14:paraId="42856858">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72" w:type="pct"/>
            <w:tcBorders>
              <w:top w:val="single" w:color="auto" w:sz="4" w:space="0"/>
              <w:bottom w:val="single" w:color="auto" w:sz="4" w:space="0"/>
            </w:tcBorders>
            <w:vAlign w:val="center"/>
          </w:tcPr>
          <w:p w14:paraId="5CCA0967">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35" w:type="pct"/>
            <w:tcBorders>
              <w:top w:val="single" w:color="auto" w:sz="4" w:space="0"/>
              <w:bottom w:val="single" w:color="auto" w:sz="4" w:space="0"/>
            </w:tcBorders>
            <w:vAlign w:val="center"/>
          </w:tcPr>
          <w:p w14:paraId="32B002E3">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35" w:type="pct"/>
            <w:tcBorders>
              <w:top w:val="single" w:color="auto" w:sz="4" w:space="0"/>
              <w:bottom w:val="single" w:color="auto" w:sz="4" w:space="0"/>
            </w:tcBorders>
            <w:vAlign w:val="center"/>
          </w:tcPr>
          <w:p w14:paraId="15B7DB01">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50" w:type="pct"/>
            <w:tcBorders>
              <w:top w:val="single" w:color="auto" w:sz="4" w:space="0"/>
              <w:bottom w:val="single" w:color="auto" w:sz="4" w:space="0"/>
            </w:tcBorders>
            <w:vAlign w:val="center"/>
          </w:tcPr>
          <w:p w14:paraId="2C8E7B54">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50" w:type="pct"/>
            <w:tcBorders>
              <w:top w:val="single" w:color="auto" w:sz="4" w:space="0"/>
              <w:bottom w:val="single" w:color="auto" w:sz="4" w:space="0"/>
            </w:tcBorders>
            <w:vAlign w:val="center"/>
          </w:tcPr>
          <w:p w14:paraId="1DFCD325">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19" w:type="pct"/>
            <w:tcBorders>
              <w:top w:val="single" w:color="auto" w:sz="4" w:space="0"/>
              <w:bottom w:val="single" w:color="auto" w:sz="4" w:space="0"/>
              <w:right w:val="nil"/>
            </w:tcBorders>
            <w:vAlign w:val="center"/>
          </w:tcPr>
          <w:p w14:paraId="0C27BD46">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r>
      <w:tr w14:paraId="3A792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15" w:type="pct"/>
            <w:vMerge w:val="continue"/>
            <w:tcBorders>
              <w:top w:val="single" w:color="auto" w:sz="4" w:space="0"/>
              <w:left w:val="nil"/>
              <w:bottom w:val="single" w:color="auto" w:sz="4" w:space="0"/>
            </w:tcBorders>
            <w:textDirection w:val="tbRlV"/>
            <w:vAlign w:val="center"/>
          </w:tcPr>
          <w:p w14:paraId="4B2A46A3">
            <w:pPr>
              <w:tabs>
                <w:tab w:val="left" w:pos="576"/>
              </w:tabs>
              <w:autoSpaceDE w:val="0"/>
              <w:autoSpaceDN w:val="0"/>
              <w:adjustRightInd w:val="0"/>
              <w:snapToGrid w:val="0"/>
              <w:spacing w:line="270" w:lineRule="exact"/>
              <w:jc w:val="center"/>
              <w:rPr>
                <w:rFonts w:ascii="Times New Roman" w:eastAsia="宋体"/>
                <w:sz w:val="21"/>
                <w:szCs w:val="21"/>
              </w:rPr>
            </w:pPr>
          </w:p>
        </w:tc>
        <w:tc>
          <w:tcPr>
            <w:tcW w:w="322" w:type="pct"/>
            <w:tcBorders>
              <w:top w:val="single" w:color="auto" w:sz="4" w:space="0"/>
              <w:bottom w:val="single" w:color="auto" w:sz="4" w:space="0"/>
            </w:tcBorders>
            <w:vAlign w:val="center"/>
          </w:tcPr>
          <w:p w14:paraId="4F71D16F">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施工噪声</w:t>
            </w:r>
          </w:p>
        </w:tc>
        <w:tc>
          <w:tcPr>
            <w:tcW w:w="512" w:type="pct"/>
            <w:tcBorders>
              <w:top w:val="single" w:color="auto" w:sz="4" w:space="0"/>
              <w:bottom w:val="single" w:color="auto" w:sz="4" w:space="0"/>
            </w:tcBorders>
            <w:vAlign w:val="center"/>
          </w:tcPr>
          <w:p w14:paraId="7D9C965A">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12" w:type="pct"/>
            <w:tcBorders>
              <w:top w:val="single" w:color="auto" w:sz="4" w:space="0"/>
              <w:bottom w:val="single" w:color="auto" w:sz="4" w:space="0"/>
            </w:tcBorders>
            <w:vAlign w:val="center"/>
          </w:tcPr>
          <w:p w14:paraId="7CB2542F">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72" w:type="pct"/>
            <w:tcBorders>
              <w:top w:val="single" w:color="auto" w:sz="4" w:space="0"/>
              <w:bottom w:val="single" w:color="auto" w:sz="4" w:space="0"/>
            </w:tcBorders>
            <w:vAlign w:val="center"/>
          </w:tcPr>
          <w:p w14:paraId="0A6567B7">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72" w:type="pct"/>
            <w:tcBorders>
              <w:top w:val="single" w:color="auto" w:sz="4" w:space="0"/>
              <w:bottom w:val="single" w:color="auto" w:sz="4" w:space="0"/>
            </w:tcBorders>
            <w:vAlign w:val="center"/>
          </w:tcPr>
          <w:p w14:paraId="09FAA2CA">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35" w:type="pct"/>
            <w:tcBorders>
              <w:top w:val="single" w:color="auto" w:sz="4" w:space="0"/>
              <w:bottom w:val="single" w:color="auto" w:sz="4" w:space="0"/>
            </w:tcBorders>
            <w:vAlign w:val="center"/>
          </w:tcPr>
          <w:p w14:paraId="50E8D323">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-1SD</w:t>
            </w:r>
          </w:p>
          <w:p w14:paraId="6BFC07C2">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IR NC</w:t>
            </w:r>
          </w:p>
        </w:tc>
        <w:tc>
          <w:tcPr>
            <w:tcW w:w="435" w:type="pct"/>
            <w:tcBorders>
              <w:top w:val="single" w:color="auto" w:sz="4" w:space="0"/>
              <w:bottom w:val="single" w:color="auto" w:sz="4" w:space="0"/>
            </w:tcBorders>
            <w:vAlign w:val="center"/>
          </w:tcPr>
          <w:p w14:paraId="7A5CBBC3">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50" w:type="pct"/>
            <w:tcBorders>
              <w:top w:val="single" w:color="auto" w:sz="4" w:space="0"/>
              <w:bottom w:val="single" w:color="auto" w:sz="4" w:space="0"/>
            </w:tcBorders>
            <w:vAlign w:val="center"/>
          </w:tcPr>
          <w:p w14:paraId="2A11A054">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50" w:type="pct"/>
            <w:tcBorders>
              <w:top w:val="single" w:color="auto" w:sz="4" w:space="0"/>
              <w:bottom w:val="single" w:color="auto" w:sz="4" w:space="0"/>
            </w:tcBorders>
            <w:vAlign w:val="center"/>
          </w:tcPr>
          <w:p w14:paraId="08A847BB">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19" w:type="pct"/>
            <w:tcBorders>
              <w:top w:val="single" w:color="auto" w:sz="4" w:space="0"/>
              <w:bottom w:val="single" w:color="auto" w:sz="4" w:space="0"/>
              <w:right w:val="nil"/>
            </w:tcBorders>
            <w:vAlign w:val="center"/>
          </w:tcPr>
          <w:p w14:paraId="1811DF28">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r>
      <w:tr w14:paraId="32FD42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15" w:type="pct"/>
            <w:vMerge w:val="continue"/>
            <w:tcBorders>
              <w:top w:val="single" w:color="auto" w:sz="4" w:space="0"/>
              <w:left w:val="nil"/>
              <w:bottom w:val="single" w:color="auto" w:sz="4" w:space="0"/>
            </w:tcBorders>
            <w:textDirection w:val="tbRlV"/>
            <w:vAlign w:val="center"/>
          </w:tcPr>
          <w:p w14:paraId="32396CF2">
            <w:pPr>
              <w:tabs>
                <w:tab w:val="left" w:pos="576"/>
              </w:tabs>
              <w:autoSpaceDE w:val="0"/>
              <w:autoSpaceDN w:val="0"/>
              <w:adjustRightInd w:val="0"/>
              <w:snapToGrid w:val="0"/>
              <w:spacing w:line="270" w:lineRule="exact"/>
              <w:jc w:val="center"/>
              <w:rPr>
                <w:rFonts w:ascii="Times New Roman" w:eastAsia="宋体"/>
                <w:sz w:val="21"/>
                <w:szCs w:val="21"/>
              </w:rPr>
            </w:pPr>
          </w:p>
        </w:tc>
        <w:tc>
          <w:tcPr>
            <w:tcW w:w="322" w:type="pct"/>
            <w:tcBorders>
              <w:top w:val="single" w:color="auto" w:sz="4" w:space="0"/>
              <w:bottom w:val="single" w:color="auto" w:sz="4" w:space="0"/>
            </w:tcBorders>
            <w:vAlign w:val="center"/>
          </w:tcPr>
          <w:p w14:paraId="0EF2AF77">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施工废渣</w:t>
            </w:r>
          </w:p>
        </w:tc>
        <w:tc>
          <w:tcPr>
            <w:tcW w:w="512" w:type="pct"/>
            <w:tcBorders>
              <w:top w:val="single" w:color="auto" w:sz="4" w:space="0"/>
              <w:bottom w:val="single" w:color="auto" w:sz="4" w:space="0"/>
            </w:tcBorders>
            <w:vAlign w:val="center"/>
          </w:tcPr>
          <w:p w14:paraId="10383E91">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12" w:type="pct"/>
            <w:tcBorders>
              <w:top w:val="single" w:color="auto" w:sz="4" w:space="0"/>
              <w:bottom w:val="single" w:color="auto" w:sz="4" w:space="0"/>
            </w:tcBorders>
            <w:vAlign w:val="center"/>
          </w:tcPr>
          <w:p w14:paraId="49257415">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-1SI</w:t>
            </w:r>
          </w:p>
          <w:p w14:paraId="75CBFDD3">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IR NC</w:t>
            </w:r>
          </w:p>
        </w:tc>
        <w:tc>
          <w:tcPr>
            <w:tcW w:w="472" w:type="pct"/>
            <w:tcBorders>
              <w:top w:val="single" w:color="auto" w:sz="4" w:space="0"/>
              <w:bottom w:val="single" w:color="auto" w:sz="4" w:space="0"/>
            </w:tcBorders>
            <w:vAlign w:val="center"/>
          </w:tcPr>
          <w:p w14:paraId="70ED6C99">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72" w:type="pct"/>
            <w:tcBorders>
              <w:top w:val="single" w:color="auto" w:sz="4" w:space="0"/>
              <w:bottom w:val="single" w:color="auto" w:sz="4" w:space="0"/>
            </w:tcBorders>
            <w:vAlign w:val="center"/>
          </w:tcPr>
          <w:p w14:paraId="3212D0D1">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-1SI</w:t>
            </w:r>
          </w:p>
          <w:p w14:paraId="4D7F4D75">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IR NC</w:t>
            </w:r>
          </w:p>
        </w:tc>
        <w:tc>
          <w:tcPr>
            <w:tcW w:w="435" w:type="pct"/>
            <w:tcBorders>
              <w:top w:val="single" w:color="auto" w:sz="4" w:space="0"/>
              <w:bottom w:val="single" w:color="auto" w:sz="4" w:space="0"/>
            </w:tcBorders>
            <w:vAlign w:val="center"/>
          </w:tcPr>
          <w:p w14:paraId="6F877A5C">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35" w:type="pct"/>
            <w:tcBorders>
              <w:top w:val="single" w:color="auto" w:sz="4" w:space="0"/>
              <w:bottom w:val="single" w:color="auto" w:sz="4" w:space="0"/>
            </w:tcBorders>
            <w:vAlign w:val="center"/>
          </w:tcPr>
          <w:p w14:paraId="3B4D2263">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-1SI</w:t>
            </w:r>
          </w:p>
          <w:p w14:paraId="06E54A1C">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R NC</w:t>
            </w:r>
          </w:p>
        </w:tc>
        <w:tc>
          <w:tcPr>
            <w:tcW w:w="550" w:type="pct"/>
            <w:tcBorders>
              <w:top w:val="single" w:color="auto" w:sz="4" w:space="0"/>
              <w:bottom w:val="single" w:color="auto" w:sz="4" w:space="0"/>
            </w:tcBorders>
            <w:vAlign w:val="center"/>
          </w:tcPr>
          <w:p w14:paraId="6C0DFF63">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50" w:type="pct"/>
            <w:tcBorders>
              <w:top w:val="single" w:color="auto" w:sz="4" w:space="0"/>
              <w:bottom w:val="single" w:color="auto" w:sz="4" w:space="0"/>
            </w:tcBorders>
            <w:vAlign w:val="center"/>
          </w:tcPr>
          <w:p w14:paraId="3843DFA8">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19" w:type="pct"/>
            <w:tcBorders>
              <w:top w:val="single" w:color="auto" w:sz="4" w:space="0"/>
              <w:bottom w:val="single" w:color="auto" w:sz="4" w:space="0"/>
              <w:right w:val="nil"/>
            </w:tcBorders>
            <w:vAlign w:val="center"/>
          </w:tcPr>
          <w:p w14:paraId="24D31E38">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r>
      <w:tr w14:paraId="08D41E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15" w:type="pct"/>
            <w:vMerge w:val="continue"/>
            <w:tcBorders>
              <w:top w:val="single" w:color="auto" w:sz="4" w:space="0"/>
              <w:left w:val="nil"/>
              <w:bottom w:val="single" w:color="auto" w:sz="4" w:space="0"/>
            </w:tcBorders>
            <w:textDirection w:val="tbRlV"/>
            <w:vAlign w:val="center"/>
          </w:tcPr>
          <w:p w14:paraId="65C49E69">
            <w:pPr>
              <w:tabs>
                <w:tab w:val="left" w:pos="576"/>
              </w:tabs>
              <w:autoSpaceDE w:val="0"/>
              <w:autoSpaceDN w:val="0"/>
              <w:adjustRightInd w:val="0"/>
              <w:snapToGrid w:val="0"/>
              <w:spacing w:line="270" w:lineRule="exact"/>
              <w:jc w:val="center"/>
              <w:rPr>
                <w:rFonts w:ascii="Times New Roman" w:eastAsia="宋体"/>
                <w:sz w:val="21"/>
                <w:szCs w:val="21"/>
              </w:rPr>
            </w:pPr>
          </w:p>
        </w:tc>
        <w:tc>
          <w:tcPr>
            <w:tcW w:w="322" w:type="pct"/>
            <w:tcBorders>
              <w:top w:val="single" w:color="auto" w:sz="4" w:space="0"/>
              <w:bottom w:val="single" w:color="auto" w:sz="4" w:space="0"/>
            </w:tcBorders>
            <w:vAlign w:val="center"/>
          </w:tcPr>
          <w:p w14:paraId="3F57C27E">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基坑开挖</w:t>
            </w:r>
          </w:p>
        </w:tc>
        <w:tc>
          <w:tcPr>
            <w:tcW w:w="512" w:type="pct"/>
            <w:tcBorders>
              <w:top w:val="single" w:color="auto" w:sz="4" w:space="0"/>
              <w:bottom w:val="single" w:color="auto" w:sz="4" w:space="0"/>
            </w:tcBorders>
            <w:vAlign w:val="center"/>
          </w:tcPr>
          <w:p w14:paraId="18C945E2">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12" w:type="pct"/>
            <w:tcBorders>
              <w:top w:val="single" w:color="auto" w:sz="4" w:space="0"/>
              <w:bottom w:val="single" w:color="auto" w:sz="4" w:space="0"/>
            </w:tcBorders>
            <w:vAlign w:val="center"/>
          </w:tcPr>
          <w:p w14:paraId="61E23FB6">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-1SI</w:t>
            </w:r>
          </w:p>
          <w:p w14:paraId="06591254">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R NC</w:t>
            </w:r>
          </w:p>
        </w:tc>
        <w:tc>
          <w:tcPr>
            <w:tcW w:w="472" w:type="pct"/>
            <w:tcBorders>
              <w:top w:val="single" w:color="auto" w:sz="4" w:space="0"/>
              <w:bottom w:val="single" w:color="auto" w:sz="4" w:space="0"/>
            </w:tcBorders>
            <w:vAlign w:val="center"/>
          </w:tcPr>
          <w:p w14:paraId="13E37AE8">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-1SI</w:t>
            </w:r>
          </w:p>
          <w:p w14:paraId="1AA9B650">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IR NC</w:t>
            </w:r>
          </w:p>
        </w:tc>
        <w:tc>
          <w:tcPr>
            <w:tcW w:w="472" w:type="pct"/>
            <w:tcBorders>
              <w:top w:val="single" w:color="auto" w:sz="4" w:space="0"/>
              <w:bottom w:val="single" w:color="auto" w:sz="4" w:space="0"/>
            </w:tcBorders>
            <w:vAlign w:val="center"/>
          </w:tcPr>
          <w:p w14:paraId="6CE5017E">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-1SD</w:t>
            </w:r>
          </w:p>
          <w:p w14:paraId="6F8E0484">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R NC</w:t>
            </w:r>
          </w:p>
        </w:tc>
        <w:tc>
          <w:tcPr>
            <w:tcW w:w="435" w:type="pct"/>
            <w:tcBorders>
              <w:top w:val="single" w:color="auto" w:sz="4" w:space="0"/>
              <w:bottom w:val="single" w:color="auto" w:sz="4" w:space="0"/>
            </w:tcBorders>
            <w:vAlign w:val="center"/>
          </w:tcPr>
          <w:p w14:paraId="632BAA49">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35" w:type="pct"/>
            <w:tcBorders>
              <w:top w:val="single" w:color="auto" w:sz="4" w:space="0"/>
              <w:bottom w:val="single" w:color="auto" w:sz="4" w:space="0"/>
            </w:tcBorders>
            <w:vAlign w:val="center"/>
          </w:tcPr>
          <w:p w14:paraId="3A29FC18">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-1SD</w:t>
            </w:r>
          </w:p>
          <w:p w14:paraId="739C7221">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R NC</w:t>
            </w:r>
          </w:p>
        </w:tc>
        <w:tc>
          <w:tcPr>
            <w:tcW w:w="550" w:type="pct"/>
            <w:tcBorders>
              <w:top w:val="single" w:color="auto" w:sz="4" w:space="0"/>
              <w:bottom w:val="single" w:color="auto" w:sz="4" w:space="0"/>
            </w:tcBorders>
            <w:vAlign w:val="center"/>
          </w:tcPr>
          <w:p w14:paraId="17E369AF">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50" w:type="pct"/>
            <w:tcBorders>
              <w:top w:val="single" w:color="auto" w:sz="4" w:space="0"/>
              <w:bottom w:val="single" w:color="auto" w:sz="4" w:space="0"/>
            </w:tcBorders>
            <w:vAlign w:val="center"/>
          </w:tcPr>
          <w:p w14:paraId="1F41AB15">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19" w:type="pct"/>
            <w:tcBorders>
              <w:top w:val="single" w:color="auto" w:sz="4" w:space="0"/>
              <w:bottom w:val="single" w:color="auto" w:sz="4" w:space="0"/>
              <w:right w:val="nil"/>
            </w:tcBorders>
            <w:vAlign w:val="center"/>
          </w:tcPr>
          <w:p w14:paraId="5E7453C0">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r>
      <w:tr w14:paraId="2874AC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15" w:type="pct"/>
            <w:vMerge w:val="restart"/>
            <w:tcBorders>
              <w:top w:val="single" w:color="auto" w:sz="4" w:space="0"/>
              <w:left w:val="nil"/>
              <w:bottom w:val="single" w:color="auto" w:sz="4" w:space="0"/>
            </w:tcBorders>
            <w:textDirection w:val="tbRlV"/>
            <w:vAlign w:val="center"/>
          </w:tcPr>
          <w:p w14:paraId="632A94A1">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运行期</w:t>
            </w:r>
          </w:p>
        </w:tc>
        <w:tc>
          <w:tcPr>
            <w:tcW w:w="322" w:type="pct"/>
            <w:tcBorders>
              <w:top w:val="single" w:color="auto" w:sz="4" w:space="0"/>
              <w:bottom w:val="single" w:color="auto" w:sz="4" w:space="0"/>
            </w:tcBorders>
            <w:vAlign w:val="center"/>
          </w:tcPr>
          <w:p w14:paraId="10B4B63C">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废水排放</w:t>
            </w:r>
          </w:p>
        </w:tc>
        <w:tc>
          <w:tcPr>
            <w:tcW w:w="512" w:type="pct"/>
            <w:tcBorders>
              <w:top w:val="single" w:color="auto" w:sz="4" w:space="0"/>
              <w:bottom w:val="single" w:color="auto" w:sz="4" w:space="0"/>
            </w:tcBorders>
            <w:vAlign w:val="center"/>
          </w:tcPr>
          <w:p w14:paraId="33E765D1">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12" w:type="pct"/>
            <w:tcBorders>
              <w:top w:val="single" w:color="auto" w:sz="4" w:space="0"/>
              <w:bottom w:val="single" w:color="auto" w:sz="4" w:space="0"/>
            </w:tcBorders>
            <w:vAlign w:val="center"/>
          </w:tcPr>
          <w:p w14:paraId="7B4FD492">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-1LI</w:t>
            </w:r>
          </w:p>
          <w:p w14:paraId="2F171179">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R NC</w:t>
            </w:r>
          </w:p>
        </w:tc>
        <w:tc>
          <w:tcPr>
            <w:tcW w:w="472" w:type="pct"/>
            <w:tcBorders>
              <w:top w:val="single" w:color="auto" w:sz="4" w:space="0"/>
              <w:bottom w:val="single" w:color="auto" w:sz="4" w:space="0"/>
            </w:tcBorders>
            <w:vAlign w:val="center"/>
          </w:tcPr>
          <w:p w14:paraId="6390779C">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-1LI</w:t>
            </w:r>
          </w:p>
          <w:p w14:paraId="19EFFC8D">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IR NC</w:t>
            </w:r>
          </w:p>
        </w:tc>
        <w:tc>
          <w:tcPr>
            <w:tcW w:w="472" w:type="pct"/>
            <w:tcBorders>
              <w:top w:val="single" w:color="auto" w:sz="4" w:space="0"/>
              <w:bottom w:val="single" w:color="auto" w:sz="4" w:space="0"/>
            </w:tcBorders>
            <w:vAlign w:val="center"/>
          </w:tcPr>
          <w:p w14:paraId="29D18F38">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35" w:type="pct"/>
            <w:tcBorders>
              <w:top w:val="single" w:color="auto" w:sz="4" w:space="0"/>
              <w:bottom w:val="single" w:color="auto" w:sz="4" w:space="0"/>
            </w:tcBorders>
            <w:vAlign w:val="center"/>
          </w:tcPr>
          <w:p w14:paraId="34161B6B">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35" w:type="pct"/>
            <w:tcBorders>
              <w:top w:val="single" w:color="auto" w:sz="4" w:space="0"/>
              <w:bottom w:val="single" w:color="auto" w:sz="4" w:space="0"/>
            </w:tcBorders>
            <w:vAlign w:val="center"/>
          </w:tcPr>
          <w:p w14:paraId="4640F8C1">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-1LI</w:t>
            </w:r>
          </w:p>
          <w:p w14:paraId="59D7D121">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R NC</w:t>
            </w:r>
          </w:p>
        </w:tc>
        <w:tc>
          <w:tcPr>
            <w:tcW w:w="550" w:type="pct"/>
            <w:tcBorders>
              <w:top w:val="single" w:color="auto" w:sz="4" w:space="0"/>
              <w:bottom w:val="single" w:color="auto" w:sz="4" w:space="0"/>
            </w:tcBorders>
            <w:vAlign w:val="center"/>
          </w:tcPr>
          <w:p w14:paraId="681B8AF0">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-1LI</w:t>
            </w:r>
          </w:p>
          <w:p w14:paraId="7766D386">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R NC</w:t>
            </w:r>
          </w:p>
        </w:tc>
        <w:tc>
          <w:tcPr>
            <w:tcW w:w="550" w:type="pct"/>
            <w:tcBorders>
              <w:top w:val="single" w:color="auto" w:sz="4" w:space="0"/>
              <w:bottom w:val="single" w:color="auto" w:sz="4" w:space="0"/>
            </w:tcBorders>
            <w:vAlign w:val="center"/>
          </w:tcPr>
          <w:p w14:paraId="3BF1F68B">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-1LI</w:t>
            </w:r>
          </w:p>
          <w:p w14:paraId="27FA677B">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R NC</w:t>
            </w:r>
          </w:p>
        </w:tc>
        <w:tc>
          <w:tcPr>
            <w:tcW w:w="519" w:type="pct"/>
            <w:tcBorders>
              <w:top w:val="single" w:color="auto" w:sz="4" w:space="0"/>
              <w:bottom w:val="single" w:color="auto" w:sz="4" w:space="0"/>
              <w:right w:val="nil"/>
            </w:tcBorders>
            <w:vAlign w:val="center"/>
          </w:tcPr>
          <w:p w14:paraId="19078E46">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r>
      <w:tr w14:paraId="0BBB9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15" w:type="pct"/>
            <w:vMerge w:val="continue"/>
            <w:tcBorders>
              <w:top w:val="single" w:color="auto" w:sz="4" w:space="0"/>
              <w:left w:val="nil"/>
              <w:bottom w:val="single" w:color="auto" w:sz="4" w:space="0"/>
            </w:tcBorders>
            <w:textDirection w:val="tbRlV"/>
            <w:vAlign w:val="center"/>
          </w:tcPr>
          <w:p w14:paraId="3F5699D8">
            <w:pPr>
              <w:tabs>
                <w:tab w:val="left" w:pos="576"/>
              </w:tabs>
              <w:autoSpaceDE w:val="0"/>
              <w:autoSpaceDN w:val="0"/>
              <w:adjustRightInd w:val="0"/>
              <w:snapToGrid w:val="0"/>
              <w:spacing w:line="270" w:lineRule="exact"/>
              <w:jc w:val="center"/>
              <w:rPr>
                <w:rFonts w:ascii="Times New Roman" w:eastAsia="宋体"/>
                <w:sz w:val="21"/>
                <w:szCs w:val="21"/>
              </w:rPr>
            </w:pPr>
          </w:p>
        </w:tc>
        <w:tc>
          <w:tcPr>
            <w:tcW w:w="322" w:type="pct"/>
            <w:tcBorders>
              <w:top w:val="single" w:color="auto" w:sz="4" w:space="0"/>
              <w:bottom w:val="single" w:color="auto" w:sz="4" w:space="0"/>
            </w:tcBorders>
            <w:vAlign w:val="center"/>
          </w:tcPr>
          <w:p w14:paraId="4E3BBDFC">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废气排放</w:t>
            </w:r>
          </w:p>
        </w:tc>
        <w:tc>
          <w:tcPr>
            <w:tcW w:w="512" w:type="pct"/>
            <w:tcBorders>
              <w:top w:val="single" w:color="auto" w:sz="4" w:space="0"/>
              <w:bottom w:val="single" w:color="auto" w:sz="4" w:space="0"/>
            </w:tcBorders>
            <w:vAlign w:val="center"/>
          </w:tcPr>
          <w:p w14:paraId="679E49E2">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-1LD</w:t>
            </w:r>
          </w:p>
          <w:p w14:paraId="775DBB97">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IR NC</w:t>
            </w:r>
          </w:p>
        </w:tc>
        <w:tc>
          <w:tcPr>
            <w:tcW w:w="512" w:type="pct"/>
            <w:tcBorders>
              <w:top w:val="single" w:color="auto" w:sz="4" w:space="0"/>
              <w:bottom w:val="single" w:color="auto" w:sz="4" w:space="0"/>
            </w:tcBorders>
            <w:vAlign w:val="center"/>
          </w:tcPr>
          <w:p w14:paraId="62A1C9D5">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72" w:type="pct"/>
            <w:tcBorders>
              <w:top w:val="single" w:color="auto" w:sz="4" w:space="0"/>
              <w:bottom w:val="single" w:color="auto" w:sz="4" w:space="0"/>
            </w:tcBorders>
            <w:vAlign w:val="center"/>
          </w:tcPr>
          <w:p w14:paraId="2DECECF6">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72" w:type="pct"/>
            <w:tcBorders>
              <w:top w:val="single" w:color="auto" w:sz="4" w:space="0"/>
              <w:bottom w:val="single" w:color="auto" w:sz="4" w:space="0"/>
            </w:tcBorders>
            <w:vAlign w:val="center"/>
          </w:tcPr>
          <w:p w14:paraId="76FA06C8">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35" w:type="pct"/>
            <w:tcBorders>
              <w:top w:val="single" w:color="auto" w:sz="4" w:space="0"/>
              <w:bottom w:val="single" w:color="auto" w:sz="4" w:space="0"/>
            </w:tcBorders>
            <w:vAlign w:val="center"/>
          </w:tcPr>
          <w:p w14:paraId="5115A78E">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35" w:type="pct"/>
            <w:tcBorders>
              <w:top w:val="single" w:color="auto" w:sz="4" w:space="0"/>
              <w:bottom w:val="single" w:color="auto" w:sz="4" w:space="0"/>
            </w:tcBorders>
            <w:vAlign w:val="center"/>
          </w:tcPr>
          <w:p w14:paraId="30574513">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-1LD</w:t>
            </w:r>
          </w:p>
          <w:p w14:paraId="6AF62C77">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IR NC</w:t>
            </w:r>
          </w:p>
        </w:tc>
        <w:tc>
          <w:tcPr>
            <w:tcW w:w="550" w:type="pct"/>
            <w:tcBorders>
              <w:top w:val="single" w:color="auto" w:sz="4" w:space="0"/>
              <w:bottom w:val="single" w:color="auto" w:sz="4" w:space="0"/>
            </w:tcBorders>
            <w:vAlign w:val="center"/>
          </w:tcPr>
          <w:p w14:paraId="49DBE2BB">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50" w:type="pct"/>
            <w:tcBorders>
              <w:top w:val="single" w:color="auto" w:sz="4" w:space="0"/>
              <w:bottom w:val="single" w:color="auto" w:sz="4" w:space="0"/>
            </w:tcBorders>
            <w:vAlign w:val="center"/>
          </w:tcPr>
          <w:p w14:paraId="4DF8AA18">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19" w:type="pct"/>
            <w:tcBorders>
              <w:top w:val="single" w:color="auto" w:sz="4" w:space="0"/>
              <w:bottom w:val="single" w:color="auto" w:sz="4" w:space="0"/>
              <w:right w:val="nil"/>
            </w:tcBorders>
            <w:vAlign w:val="center"/>
          </w:tcPr>
          <w:p w14:paraId="4D989C0C">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r>
      <w:tr w14:paraId="4A778C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15" w:type="pct"/>
            <w:vMerge w:val="continue"/>
            <w:tcBorders>
              <w:top w:val="single" w:color="auto" w:sz="4" w:space="0"/>
              <w:left w:val="nil"/>
              <w:bottom w:val="single" w:color="auto" w:sz="4" w:space="0"/>
            </w:tcBorders>
            <w:textDirection w:val="tbRlV"/>
            <w:vAlign w:val="center"/>
          </w:tcPr>
          <w:p w14:paraId="6F006CD4">
            <w:pPr>
              <w:tabs>
                <w:tab w:val="left" w:pos="576"/>
              </w:tabs>
              <w:autoSpaceDE w:val="0"/>
              <w:autoSpaceDN w:val="0"/>
              <w:adjustRightInd w:val="0"/>
              <w:snapToGrid w:val="0"/>
              <w:spacing w:line="270" w:lineRule="exact"/>
              <w:jc w:val="center"/>
              <w:rPr>
                <w:rFonts w:ascii="Times New Roman" w:eastAsia="宋体"/>
                <w:sz w:val="21"/>
                <w:szCs w:val="21"/>
              </w:rPr>
            </w:pPr>
          </w:p>
        </w:tc>
        <w:tc>
          <w:tcPr>
            <w:tcW w:w="322" w:type="pct"/>
            <w:tcBorders>
              <w:top w:val="single" w:color="auto" w:sz="4" w:space="0"/>
              <w:bottom w:val="single" w:color="auto" w:sz="4" w:space="0"/>
            </w:tcBorders>
            <w:vAlign w:val="center"/>
          </w:tcPr>
          <w:p w14:paraId="5430DF8A">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噪声排放</w:t>
            </w:r>
          </w:p>
        </w:tc>
        <w:tc>
          <w:tcPr>
            <w:tcW w:w="512" w:type="pct"/>
            <w:tcBorders>
              <w:top w:val="single" w:color="auto" w:sz="4" w:space="0"/>
              <w:bottom w:val="single" w:color="auto" w:sz="4" w:space="0"/>
            </w:tcBorders>
            <w:vAlign w:val="center"/>
          </w:tcPr>
          <w:p w14:paraId="36A7657B">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12" w:type="pct"/>
            <w:tcBorders>
              <w:top w:val="single" w:color="auto" w:sz="4" w:space="0"/>
              <w:bottom w:val="single" w:color="auto" w:sz="4" w:space="0"/>
            </w:tcBorders>
            <w:vAlign w:val="center"/>
          </w:tcPr>
          <w:p w14:paraId="4445B507">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72" w:type="pct"/>
            <w:tcBorders>
              <w:top w:val="single" w:color="auto" w:sz="4" w:space="0"/>
              <w:bottom w:val="single" w:color="auto" w:sz="4" w:space="0"/>
            </w:tcBorders>
            <w:vAlign w:val="center"/>
          </w:tcPr>
          <w:p w14:paraId="213CCD6B">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72" w:type="pct"/>
            <w:tcBorders>
              <w:top w:val="single" w:color="auto" w:sz="4" w:space="0"/>
              <w:bottom w:val="single" w:color="auto" w:sz="4" w:space="0"/>
            </w:tcBorders>
            <w:vAlign w:val="center"/>
          </w:tcPr>
          <w:p w14:paraId="14EEE93B">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35" w:type="pct"/>
            <w:tcBorders>
              <w:top w:val="single" w:color="auto" w:sz="4" w:space="0"/>
              <w:bottom w:val="single" w:color="auto" w:sz="4" w:space="0"/>
            </w:tcBorders>
            <w:vAlign w:val="center"/>
          </w:tcPr>
          <w:p w14:paraId="68D7A505">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-1LD</w:t>
            </w:r>
          </w:p>
          <w:p w14:paraId="796C35D6">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IR NC</w:t>
            </w:r>
          </w:p>
        </w:tc>
        <w:tc>
          <w:tcPr>
            <w:tcW w:w="435" w:type="pct"/>
            <w:tcBorders>
              <w:top w:val="single" w:color="auto" w:sz="4" w:space="0"/>
              <w:bottom w:val="single" w:color="auto" w:sz="4" w:space="0"/>
            </w:tcBorders>
            <w:vAlign w:val="center"/>
          </w:tcPr>
          <w:p w14:paraId="19232C87">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50" w:type="pct"/>
            <w:tcBorders>
              <w:top w:val="single" w:color="auto" w:sz="4" w:space="0"/>
              <w:bottom w:val="single" w:color="auto" w:sz="4" w:space="0"/>
            </w:tcBorders>
            <w:vAlign w:val="center"/>
          </w:tcPr>
          <w:p w14:paraId="71A432E1">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50" w:type="pct"/>
            <w:tcBorders>
              <w:top w:val="single" w:color="auto" w:sz="4" w:space="0"/>
              <w:bottom w:val="single" w:color="auto" w:sz="4" w:space="0"/>
            </w:tcBorders>
            <w:vAlign w:val="center"/>
          </w:tcPr>
          <w:p w14:paraId="087AD0F5">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19" w:type="pct"/>
            <w:tcBorders>
              <w:top w:val="single" w:color="auto" w:sz="4" w:space="0"/>
              <w:bottom w:val="single" w:color="auto" w:sz="4" w:space="0"/>
              <w:right w:val="nil"/>
            </w:tcBorders>
            <w:vAlign w:val="center"/>
          </w:tcPr>
          <w:p w14:paraId="63FE0A80">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r>
      <w:tr w14:paraId="543C07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15" w:type="pct"/>
            <w:vMerge w:val="continue"/>
            <w:tcBorders>
              <w:top w:val="single" w:color="auto" w:sz="4" w:space="0"/>
              <w:left w:val="nil"/>
              <w:bottom w:val="single" w:color="auto" w:sz="4" w:space="0"/>
            </w:tcBorders>
            <w:textDirection w:val="tbRlV"/>
            <w:vAlign w:val="center"/>
          </w:tcPr>
          <w:p w14:paraId="74D2DEC3">
            <w:pPr>
              <w:tabs>
                <w:tab w:val="left" w:pos="576"/>
              </w:tabs>
              <w:autoSpaceDE w:val="0"/>
              <w:autoSpaceDN w:val="0"/>
              <w:adjustRightInd w:val="0"/>
              <w:snapToGrid w:val="0"/>
              <w:spacing w:line="270" w:lineRule="exact"/>
              <w:jc w:val="center"/>
              <w:rPr>
                <w:rFonts w:ascii="Times New Roman" w:eastAsia="宋体"/>
                <w:sz w:val="21"/>
                <w:szCs w:val="21"/>
              </w:rPr>
            </w:pPr>
          </w:p>
        </w:tc>
        <w:tc>
          <w:tcPr>
            <w:tcW w:w="322" w:type="pct"/>
            <w:tcBorders>
              <w:top w:val="single" w:color="auto" w:sz="4" w:space="0"/>
              <w:bottom w:val="single" w:color="auto" w:sz="4" w:space="0"/>
            </w:tcBorders>
            <w:vAlign w:val="center"/>
          </w:tcPr>
          <w:p w14:paraId="7BCD88AD">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固体废物</w:t>
            </w:r>
          </w:p>
        </w:tc>
        <w:tc>
          <w:tcPr>
            <w:tcW w:w="512" w:type="pct"/>
            <w:tcBorders>
              <w:top w:val="single" w:color="auto" w:sz="4" w:space="0"/>
              <w:bottom w:val="single" w:color="auto" w:sz="4" w:space="0"/>
            </w:tcBorders>
            <w:vAlign w:val="center"/>
          </w:tcPr>
          <w:p w14:paraId="4489363A">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12" w:type="pct"/>
            <w:tcBorders>
              <w:top w:val="single" w:color="auto" w:sz="4" w:space="0"/>
              <w:bottom w:val="single" w:color="auto" w:sz="4" w:space="0"/>
            </w:tcBorders>
            <w:vAlign w:val="center"/>
          </w:tcPr>
          <w:p w14:paraId="2C3F9103">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72" w:type="pct"/>
            <w:tcBorders>
              <w:top w:val="single" w:color="auto" w:sz="4" w:space="0"/>
              <w:bottom w:val="single" w:color="auto" w:sz="4" w:space="0"/>
            </w:tcBorders>
            <w:vAlign w:val="center"/>
          </w:tcPr>
          <w:p w14:paraId="657BB176">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-1LI</w:t>
            </w:r>
          </w:p>
          <w:p w14:paraId="7851B4D3">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IR NC</w:t>
            </w:r>
          </w:p>
        </w:tc>
        <w:tc>
          <w:tcPr>
            <w:tcW w:w="472" w:type="pct"/>
            <w:tcBorders>
              <w:top w:val="single" w:color="auto" w:sz="4" w:space="0"/>
              <w:bottom w:val="single" w:color="auto" w:sz="4" w:space="0"/>
            </w:tcBorders>
            <w:vAlign w:val="center"/>
          </w:tcPr>
          <w:p w14:paraId="6D6AEEEA">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-1LI</w:t>
            </w:r>
          </w:p>
          <w:p w14:paraId="0F4096A3">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IR NC</w:t>
            </w:r>
          </w:p>
        </w:tc>
        <w:tc>
          <w:tcPr>
            <w:tcW w:w="435" w:type="pct"/>
            <w:tcBorders>
              <w:top w:val="single" w:color="auto" w:sz="4" w:space="0"/>
              <w:bottom w:val="single" w:color="auto" w:sz="4" w:space="0"/>
            </w:tcBorders>
            <w:vAlign w:val="center"/>
          </w:tcPr>
          <w:p w14:paraId="1AD02207">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35" w:type="pct"/>
            <w:tcBorders>
              <w:top w:val="single" w:color="auto" w:sz="4" w:space="0"/>
              <w:bottom w:val="single" w:color="auto" w:sz="4" w:space="0"/>
            </w:tcBorders>
            <w:vAlign w:val="center"/>
          </w:tcPr>
          <w:p w14:paraId="49F6E2CA">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-1SD</w:t>
            </w:r>
          </w:p>
          <w:p w14:paraId="50ADC5CA">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IR NC</w:t>
            </w:r>
          </w:p>
        </w:tc>
        <w:tc>
          <w:tcPr>
            <w:tcW w:w="550" w:type="pct"/>
            <w:tcBorders>
              <w:top w:val="single" w:color="auto" w:sz="4" w:space="0"/>
              <w:bottom w:val="single" w:color="auto" w:sz="4" w:space="0"/>
            </w:tcBorders>
            <w:vAlign w:val="center"/>
          </w:tcPr>
          <w:p w14:paraId="70B29AA4">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50" w:type="pct"/>
            <w:tcBorders>
              <w:top w:val="single" w:color="auto" w:sz="4" w:space="0"/>
              <w:bottom w:val="single" w:color="auto" w:sz="4" w:space="0"/>
            </w:tcBorders>
            <w:vAlign w:val="center"/>
          </w:tcPr>
          <w:p w14:paraId="41EF5B80">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519" w:type="pct"/>
            <w:tcBorders>
              <w:top w:val="single" w:color="auto" w:sz="4" w:space="0"/>
              <w:bottom w:val="single" w:color="auto" w:sz="4" w:space="0"/>
              <w:right w:val="nil"/>
            </w:tcBorders>
            <w:vAlign w:val="center"/>
          </w:tcPr>
          <w:p w14:paraId="404B3836">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r>
      <w:tr w14:paraId="2406D0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15" w:type="pct"/>
            <w:vMerge w:val="continue"/>
            <w:tcBorders>
              <w:top w:val="single" w:color="auto" w:sz="4" w:space="0"/>
              <w:left w:val="nil"/>
              <w:bottom w:val="single" w:color="auto" w:sz="4" w:space="0"/>
            </w:tcBorders>
            <w:textDirection w:val="tbRlV"/>
            <w:vAlign w:val="center"/>
          </w:tcPr>
          <w:p w14:paraId="6AF8371A">
            <w:pPr>
              <w:tabs>
                <w:tab w:val="left" w:pos="576"/>
              </w:tabs>
              <w:autoSpaceDE w:val="0"/>
              <w:autoSpaceDN w:val="0"/>
              <w:adjustRightInd w:val="0"/>
              <w:snapToGrid w:val="0"/>
              <w:spacing w:line="270" w:lineRule="exact"/>
              <w:jc w:val="center"/>
              <w:rPr>
                <w:rFonts w:ascii="Times New Roman" w:eastAsia="宋体"/>
                <w:sz w:val="21"/>
                <w:szCs w:val="21"/>
              </w:rPr>
            </w:pPr>
          </w:p>
        </w:tc>
        <w:tc>
          <w:tcPr>
            <w:tcW w:w="322" w:type="pct"/>
            <w:tcBorders>
              <w:top w:val="single" w:color="auto" w:sz="4" w:space="0"/>
              <w:bottom w:val="single" w:color="auto" w:sz="4" w:space="0"/>
            </w:tcBorders>
            <w:vAlign w:val="center"/>
          </w:tcPr>
          <w:p w14:paraId="6B82A64B">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事故风险</w:t>
            </w:r>
          </w:p>
        </w:tc>
        <w:tc>
          <w:tcPr>
            <w:tcW w:w="512" w:type="pct"/>
            <w:tcBorders>
              <w:top w:val="single" w:color="auto" w:sz="4" w:space="0"/>
              <w:bottom w:val="single" w:color="auto" w:sz="4" w:space="0"/>
            </w:tcBorders>
            <w:vAlign w:val="center"/>
          </w:tcPr>
          <w:p w14:paraId="1134840A">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-1SD</w:t>
            </w:r>
          </w:p>
          <w:p w14:paraId="520D64C4">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IR NC</w:t>
            </w:r>
          </w:p>
        </w:tc>
        <w:tc>
          <w:tcPr>
            <w:tcW w:w="512" w:type="pct"/>
            <w:tcBorders>
              <w:top w:val="single" w:color="auto" w:sz="4" w:space="0"/>
              <w:bottom w:val="single" w:color="auto" w:sz="4" w:space="0"/>
            </w:tcBorders>
            <w:vAlign w:val="center"/>
          </w:tcPr>
          <w:p w14:paraId="36B6358A">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-1SD</w:t>
            </w:r>
          </w:p>
          <w:p w14:paraId="309197E2">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IR NC</w:t>
            </w:r>
          </w:p>
        </w:tc>
        <w:tc>
          <w:tcPr>
            <w:tcW w:w="472" w:type="pct"/>
            <w:tcBorders>
              <w:top w:val="single" w:color="auto" w:sz="4" w:space="0"/>
              <w:bottom w:val="single" w:color="auto" w:sz="4" w:space="0"/>
            </w:tcBorders>
            <w:vAlign w:val="center"/>
          </w:tcPr>
          <w:p w14:paraId="21934874">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-1SI</w:t>
            </w:r>
          </w:p>
          <w:p w14:paraId="5FA5D74D">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IR NC</w:t>
            </w:r>
          </w:p>
        </w:tc>
        <w:tc>
          <w:tcPr>
            <w:tcW w:w="472" w:type="pct"/>
            <w:tcBorders>
              <w:top w:val="single" w:color="auto" w:sz="4" w:space="0"/>
              <w:bottom w:val="single" w:color="auto" w:sz="4" w:space="0"/>
            </w:tcBorders>
            <w:vAlign w:val="center"/>
          </w:tcPr>
          <w:p w14:paraId="32E28309">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-1SI</w:t>
            </w:r>
          </w:p>
          <w:p w14:paraId="3D51A757">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IR NC</w:t>
            </w:r>
          </w:p>
        </w:tc>
        <w:tc>
          <w:tcPr>
            <w:tcW w:w="435" w:type="pct"/>
            <w:tcBorders>
              <w:top w:val="single" w:color="auto" w:sz="4" w:space="0"/>
              <w:bottom w:val="single" w:color="auto" w:sz="4" w:space="0"/>
            </w:tcBorders>
            <w:vAlign w:val="center"/>
          </w:tcPr>
          <w:p w14:paraId="4D28730D">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c>
          <w:tcPr>
            <w:tcW w:w="435" w:type="pct"/>
            <w:tcBorders>
              <w:top w:val="single" w:color="auto" w:sz="4" w:space="0"/>
              <w:bottom w:val="single" w:color="auto" w:sz="4" w:space="0"/>
            </w:tcBorders>
            <w:vAlign w:val="center"/>
          </w:tcPr>
          <w:p w14:paraId="43D7F9C0">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-1SI</w:t>
            </w:r>
          </w:p>
          <w:p w14:paraId="7C8F84D1">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R NC</w:t>
            </w:r>
          </w:p>
        </w:tc>
        <w:tc>
          <w:tcPr>
            <w:tcW w:w="550" w:type="pct"/>
            <w:tcBorders>
              <w:top w:val="single" w:color="auto" w:sz="4" w:space="0"/>
              <w:bottom w:val="single" w:color="auto" w:sz="4" w:space="0"/>
            </w:tcBorders>
            <w:vAlign w:val="center"/>
          </w:tcPr>
          <w:p w14:paraId="4722D019">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-1SI</w:t>
            </w:r>
          </w:p>
          <w:p w14:paraId="61A365AA">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R NC</w:t>
            </w:r>
          </w:p>
        </w:tc>
        <w:tc>
          <w:tcPr>
            <w:tcW w:w="550" w:type="pct"/>
            <w:tcBorders>
              <w:top w:val="single" w:color="auto" w:sz="4" w:space="0"/>
              <w:bottom w:val="single" w:color="auto" w:sz="4" w:space="0"/>
            </w:tcBorders>
            <w:vAlign w:val="center"/>
          </w:tcPr>
          <w:p w14:paraId="05475818">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-1SI</w:t>
            </w:r>
          </w:p>
          <w:p w14:paraId="262408A6">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R NC</w:t>
            </w:r>
          </w:p>
        </w:tc>
        <w:tc>
          <w:tcPr>
            <w:tcW w:w="519" w:type="pct"/>
            <w:tcBorders>
              <w:top w:val="single" w:color="auto" w:sz="4" w:space="0"/>
              <w:bottom w:val="single" w:color="auto" w:sz="4" w:space="0"/>
              <w:right w:val="nil"/>
            </w:tcBorders>
            <w:vAlign w:val="center"/>
          </w:tcPr>
          <w:p w14:paraId="1F4D2400">
            <w:pPr>
              <w:autoSpaceDE w:val="0"/>
              <w:autoSpaceDN w:val="0"/>
              <w:adjustRightInd w:val="0"/>
              <w:snapToGrid w:val="0"/>
              <w:spacing w:line="270" w:lineRule="exact"/>
              <w:jc w:val="center"/>
              <w:rPr>
                <w:rFonts w:ascii="Times New Roman" w:eastAsia="宋体"/>
                <w:sz w:val="21"/>
                <w:szCs w:val="21"/>
              </w:rPr>
            </w:pPr>
            <w:r>
              <w:rPr>
                <w:rFonts w:ascii="Times New Roman" w:eastAsia="宋体"/>
                <w:sz w:val="21"/>
                <w:szCs w:val="21"/>
              </w:rPr>
              <w:t>0</w:t>
            </w:r>
          </w:p>
        </w:tc>
      </w:tr>
      <w:tr w14:paraId="106AAE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15" w:type="pct"/>
            <w:vMerge w:val="restart"/>
            <w:tcBorders>
              <w:top w:val="single" w:color="auto" w:sz="4" w:space="0"/>
              <w:left w:val="nil"/>
            </w:tcBorders>
            <w:textDirection w:val="tbRlV"/>
            <w:vAlign w:val="center"/>
          </w:tcPr>
          <w:p w14:paraId="6C2EFFE3">
            <w:pPr>
              <w:tabs>
                <w:tab w:val="left" w:pos="576"/>
              </w:tabs>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服务期满后</w:t>
            </w:r>
          </w:p>
        </w:tc>
        <w:tc>
          <w:tcPr>
            <w:tcW w:w="322" w:type="pct"/>
            <w:tcBorders>
              <w:top w:val="single" w:color="auto" w:sz="4" w:space="0"/>
              <w:bottom w:val="single" w:color="auto" w:sz="4" w:space="0"/>
            </w:tcBorders>
            <w:vAlign w:val="center"/>
          </w:tcPr>
          <w:p w14:paraId="7884A554">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废水排放</w:t>
            </w:r>
          </w:p>
        </w:tc>
        <w:tc>
          <w:tcPr>
            <w:tcW w:w="512" w:type="pct"/>
            <w:tcBorders>
              <w:top w:val="single" w:color="auto" w:sz="4" w:space="0"/>
              <w:bottom w:val="single" w:color="auto" w:sz="4" w:space="0"/>
            </w:tcBorders>
            <w:vAlign w:val="center"/>
          </w:tcPr>
          <w:p w14:paraId="51646AF7">
            <w:pPr>
              <w:tabs>
                <w:tab w:val="left" w:pos="576"/>
              </w:tabs>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512" w:type="pct"/>
            <w:tcBorders>
              <w:top w:val="single" w:color="auto" w:sz="4" w:space="0"/>
              <w:bottom w:val="single" w:color="auto" w:sz="4" w:space="0"/>
            </w:tcBorders>
            <w:vAlign w:val="center"/>
          </w:tcPr>
          <w:p w14:paraId="580ABFD9">
            <w:pPr>
              <w:tabs>
                <w:tab w:val="left" w:pos="576"/>
              </w:tabs>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472" w:type="pct"/>
            <w:tcBorders>
              <w:top w:val="single" w:color="auto" w:sz="4" w:space="0"/>
              <w:bottom w:val="single" w:color="auto" w:sz="4" w:space="0"/>
            </w:tcBorders>
            <w:vAlign w:val="center"/>
          </w:tcPr>
          <w:p w14:paraId="3EEAE158">
            <w:pPr>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472" w:type="pct"/>
            <w:tcBorders>
              <w:top w:val="single" w:color="auto" w:sz="4" w:space="0"/>
              <w:bottom w:val="single" w:color="auto" w:sz="4" w:space="0"/>
            </w:tcBorders>
            <w:vAlign w:val="center"/>
          </w:tcPr>
          <w:p w14:paraId="2F151664">
            <w:pPr>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435" w:type="pct"/>
            <w:tcBorders>
              <w:top w:val="single" w:color="auto" w:sz="4" w:space="0"/>
              <w:bottom w:val="single" w:color="auto" w:sz="4" w:space="0"/>
            </w:tcBorders>
            <w:vAlign w:val="center"/>
          </w:tcPr>
          <w:p w14:paraId="5F41D346">
            <w:pPr>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435" w:type="pct"/>
            <w:tcBorders>
              <w:top w:val="single" w:color="auto" w:sz="4" w:space="0"/>
              <w:bottom w:val="single" w:color="auto" w:sz="4" w:space="0"/>
            </w:tcBorders>
            <w:vAlign w:val="center"/>
          </w:tcPr>
          <w:p w14:paraId="314ADE7E">
            <w:pPr>
              <w:pStyle w:val="85"/>
              <w:spacing w:line="270" w:lineRule="exact"/>
              <w:rPr>
                <w:rFonts w:hint="default"/>
                <w:color w:val="auto"/>
                <w:sz w:val="18"/>
                <w:szCs w:val="18"/>
              </w:rPr>
            </w:pPr>
            <w:r>
              <w:rPr>
                <w:color w:val="auto"/>
                <w:sz w:val="18"/>
                <w:szCs w:val="18"/>
              </w:rPr>
              <w:t>0</w:t>
            </w:r>
          </w:p>
        </w:tc>
        <w:tc>
          <w:tcPr>
            <w:tcW w:w="550" w:type="pct"/>
            <w:tcBorders>
              <w:top w:val="single" w:color="auto" w:sz="4" w:space="0"/>
              <w:bottom w:val="single" w:color="auto" w:sz="4" w:space="0"/>
            </w:tcBorders>
            <w:vAlign w:val="center"/>
          </w:tcPr>
          <w:p w14:paraId="3A14D5CD">
            <w:pPr>
              <w:tabs>
                <w:tab w:val="left" w:pos="576"/>
              </w:tabs>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550" w:type="pct"/>
            <w:tcBorders>
              <w:top w:val="single" w:color="auto" w:sz="4" w:space="0"/>
              <w:bottom w:val="single" w:color="auto" w:sz="4" w:space="0"/>
            </w:tcBorders>
            <w:vAlign w:val="center"/>
          </w:tcPr>
          <w:p w14:paraId="34E83F50">
            <w:pPr>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519" w:type="pct"/>
            <w:tcBorders>
              <w:top w:val="single" w:color="auto" w:sz="4" w:space="0"/>
              <w:bottom w:val="single" w:color="auto" w:sz="4" w:space="0"/>
              <w:right w:val="nil"/>
            </w:tcBorders>
            <w:vAlign w:val="center"/>
          </w:tcPr>
          <w:p w14:paraId="187B1CB4">
            <w:pPr>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r>
      <w:tr w14:paraId="12574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15" w:type="pct"/>
            <w:vMerge w:val="continue"/>
            <w:tcBorders>
              <w:left w:val="nil"/>
            </w:tcBorders>
            <w:textDirection w:val="tbRlV"/>
            <w:vAlign w:val="center"/>
          </w:tcPr>
          <w:p w14:paraId="4EF1A6B0">
            <w:pPr>
              <w:tabs>
                <w:tab w:val="left" w:pos="576"/>
              </w:tabs>
              <w:autoSpaceDE w:val="0"/>
              <w:autoSpaceDN w:val="0"/>
              <w:adjustRightInd w:val="0"/>
              <w:snapToGrid w:val="0"/>
              <w:spacing w:line="270" w:lineRule="exact"/>
              <w:jc w:val="center"/>
              <w:rPr>
                <w:rFonts w:ascii="Times New Roman" w:eastAsia="宋体"/>
                <w:sz w:val="21"/>
                <w:szCs w:val="21"/>
              </w:rPr>
            </w:pPr>
          </w:p>
        </w:tc>
        <w:tc>
          <w:tcPr>
            <w:tcW w:w="322" w:type="pct"/>
            <w:tcBorders>
              <w:top w:val="single" w:color="auto" w:sz="4" w:space="0"/>
              <w:bottom w:val="single" w:color="auto" w:sz="4" w:space="0"/>
            </w:tcBorders>
            <w:vAlign w:val="center"/>
          </w:tcPr>
          <w:p w14:paraId="60A34E2A">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废气排放</w:t>
            </w:r>
          </w:p>
        </w:tc>
        <w:tc>
          <w:tcPr>
            <w:tcW w:w="512" w:type="pct"/>
            <w:tcBorders>
              <w:top w:val="single" w:color="auto" w:sz="4" w:space="0"/>
              <w:bottom w:val="single" w:color="auto" w:sz="4" w:space="0"/>
            </w:tcBorders>
            <w:vAlign w:val="center"/>
          </w:tcPr>
          <w:p w14:paraId="7818443A">
            <w:pPr>
              <w:tabs>
                <w:tab w:val="left" w:pos="576"/>
              </w:tabs>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512" w:type="pct"/>
            <w:tcBorders>
              <w:top w:val="single" w:color="auto" w:sz="4" w:space="0"/>
              <w:bottom w:val="single" w:color="auto" w:sz="4" w:space="0"/>
            </w:tcBorders>
            <w:vAlign w:val="center"/>
          </w:tcPr>
          <w:p w14:paraId="05BCE63D">
            <w:pPr>
              <w:tabs>
                <w:tab w:val="left" w:pos="576"/>
              </w:tabs>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472" w:type="pct"/>
            <w:tcBorders>
              <w:top w:val="single" w:color="auto" w:sz="4" w:space="0"/>
              <w:bottom w:val="single" w:color="auto" w:sz="4" w:space="0"/>
            </w:tcBorders>
            <w:vAlign w:val="center"/>
          </w:tcPr>
          <w:p w14:paraId="6E2158CF">
            <w:pPr>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472" w:type="pct"/>
            <w:tcBorders>
              <w:top w:val="single" w:color="auto" w:sz="4" w:space="0"/>
              <w:bottom w:val="single" w:color="auto" w:sz="4" w:space="0"/>
            </w:tcBorders>
            <w:vAlign w:val="center"/>
          </w:tcPr>
          <w:p w14:paraId="44AC500F">
            <w:pPr>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435" w:type="pct"/>
            <w:tcBorders>
              <w:top w:val="single" w:color="auto" w:sz="4" w:space="0"/>
              <w:bottom w:val="single" w:color="auto" w:sz="4" w:space="0"/>
            </w:tcBorders>
            <w:vAlign w:val="center"/>
          </w:tcPr>
          <w:p w14:paraId="6ED0E77A">
            <w:pPr>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435" w:type="pct"/>
            <w:tcBorders>
              <w:top w:val="single" w:color="auto" w:sz="4" w:space="0"/>
              <w:bottom w:val="single" w:color="auto" w:sz="4" w:space="0"/>
            </w:tcBorders>
            <w:vAlign w:val="center"/>
          </w:tcPr>
          <w:p w14:paraId="649CDBF4">
            <w:pPr>
              <w:pStyle w:val="85"/>
              <w:spacing w:line="270" w:lineRule="exact"/>
              <w:rPr>
                <w:rFonts w:hint="default"/>
                <w:color w:val="auto"/>
                <w:sz w:val="18"/>
                <w:szCs w:val="18"/>
              </w:rPr>
            </w:pPr>
            <w:r>
              <w:rPr>
                <w:color w:val="auto"/>
                <w:sz w:val="18"/>
                <w:szCs w:val="18"/>
              </w:rPr>
              <w:t>0</w:t>
            </w:r>
          </w:p>
        </w:tc>
        <w:tc>
          <w:tcPr>
            <w:tcW w:w="550" w:type="pct"/>
            <w:tcBorders>
              <w:top w:val="single" w:color="auto" w:sz="4" w:space="0"/>
              <w:bottom w:val="single" w:color="auto" w:sz="4" w:space="0"/>
            </w:tcBorders>
            <w:vAlign w:val="center"/>
          </w:tcPr>
          <w:p w14:paraId="6153ABF3">
            <w:pPr>
              <w:tabs>
                <w:tab w:val="left" w:pos="576"/>
              </w:tabs>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550" w:type="pct"/>
            <w:tcBorders>
              <w:top w:val="single" w:color="auto" w:sz="4" w:space="0"/>
              <w:bottom w:val="single" w:color="auto" w:sz="4" w:space="0"/>
            </w:tcBorders>
            <w:vAlign w:val="center"/>
          </w:tcPr>
          <w:p w14:paraId="1159C7EF">
            <w:pPr>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519" w:type="pct"/>
            <w:tcBorders>
              <w:top w:val="single" w:color="auto" w:sz="4" w:space="0"/>
              <w:bottom w:val="single" w:color="auto" w:sz="4" w:space="0"/>
              <w:right w:val="nil"/>
            </w:tcBorders>
            <w:vAlign w:val="center"/>
          </w:tcPr>
          <w:p w14:paraId="3C33400E">
            <w:pPr>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r>
      <w:tr w14:paraId="5AFA50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15" w:type="pct"/>
            <w:vMerge w:val="continue"/>
            <w:tcBorders>
              <w:left w:val="nil"/>
            </w:tcBorders>
            <w:textDirection w:val="tbRlV"/>
            <w:vAlign w:val="center"/>
          </w:tcPr>
          <w:p w14:paraId="5B3C17C1">
            <w:pPr>
              <w:tabs>
                <w:tab w:val="left" w:pos="576"/>
              </w:tabs>
              <w:autoSpaceDE w:val="0"/>
              <w:autoSpaceDN w:val="0"/>
              <w:adjustRightInd w:val="0"/>
              <w:snapToGrid w:val="0"/>
              <w:spacing w:line="270" w:lineRule="exact"/>
              <w:jc w:val="center"/>
              <w:rPr>
                <w:rFonts w:ascii="Times New Roman" w:eastAsia="宋体"/>
                <w:sz w:val="21"/>
                <w:szCs w:val="21"/>
              </w:rPr>
            </w:pPr>
          </w:p>
        </w:tc>
        <w:tc>
          <w:tcPr>
            <w:tcW w:w="322" w:type="pct"/>
            <w:tcBorders>
              <w:top w:val="single" w:color="auto" w:sz="4" w:space="0"/>
              <w:bottom w:val="single" w:color="auto" w:sz="4" w:space="0"/>
            </w:tcBorders>
            <w:vAlign w:val="center"/>
          </w:tcPr>
          <w:p w14:paraId="039C0198">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固体废物</w:t>
            </w:r>
          </w:p>
        </w:tc>
        <w:tc>
          <w:tcPr>
            <w:tcW w:w="512" w:type="pct"/>
            <w:tcBorders>
              <w:top w:val="single" w:color="auto" w:sz="4" w:space="0"/>
              <w:bottom w:val="single" w:color="auto" w:sz="4" w:space="0"/>
            </w:tcBorders>
            <w:vAlign w:val="center"/>
          </w:tcPr>
          <w:p w14:paraId="05E5B9F1">
            <w:pPr>
              <w:tabs>
                <w:tab w:val="left" w:pos="576"/>
              </w:tabs>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512" w:type="pct"/>
            <w:tcBorders>
              <w:top w:val="single" w:color="auto" w:sz="4" w:space="0"/>
              <w:bottom w:val="single" w:color="auto" w:sz="4" w:space="0"/>
            </w:tcBorders>
            <w:vAlign w:val="center"/>
          </w:tcPr>
          <w:p w14:paraId="6F31ADEA">
            <w:pPr>
              <w:tabs>
                <w:tab w:val="left" w:pos="576"/>
              </w:tabs>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472" w:type="pct"/>
            <w:tcBorders>
              <w:top w:val="single" w:color="auto" w:sz="4" w:space="0"/>
              <w:bottom w:val="single" w:color="auto" w:sz="4" w:space="0"/>
            </w:tcBorders>
            <w:vAlign w:val="center"/>
          </w:tcPr>
          <w:p w14:paraId="15B9BF0A">
            <w:pPr>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472" w:type="pct"/>
            <w:tcBorders>
              <w:top w:val="single" w:color="auto" w:sz="4" w:space="0"/>
              <w:bottom w:val="single" w:color="auto" w:sz="4" w:space="0"/>
            </w:tcBorders>
            <w:vAlign w:val="center"/>
          </w:tcPr>
          <w:p w14:paraId="45BC699F">
            <w:pPr>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435" w:type="pct"/>
            <w:tcBorders>
              <w:top w:val="single" w:color="auto" w:sz="4" w:space="0"/>
              <w:bottom w:val="single" w:color="auto" w:sz="4" w:space="0"/>
            </w:tcBorders>
            <w:vAlign w:val="center"/>
          </w:tcPr>
          <w:p w14:paraId="22A523BC">
            <w:pPr>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435" w:type="pct"/>
            <w:tcBorders>
              <w:top w:val="single" w:color="auto" w:sz="4" w:space="0"/>
              <w:bottom w:val="single" w:color="auto" w:sz="4" w:space="0"/>
            </w:tcBorders>
            <w:vAlign w:val="center"/>
          </w:tcPr>
          <w:p w14:paraId="44C9B326">
            <w:pPr>
              <w:pStyle w:val="85"/>
              <w:spacing w:line="270" w:lineRule="exact"/>
              <w:rPr>
                <w:rFonts w:hint="default"/>
                <w:color w:val="auto"/>
                <w:sz w:val="18"/>
                <w:szCs w:val="18"/>
              </w:rPr>
            </w:pPr>
            <w:r>
              <w:rPr>
                <w:color w:val="auto"/>
                <w:sz w:val="18"/>
                <w:szCs w:val="18"/>
              </w:rPr>
              <w:t>-1S.R.D.C</w:t>
            </w:r>
          </w:p>
        </w:tc>
        <w:tc>
          <w:tcPr>
            <w:tcW w:w="550" w:type="pct"/>
            <w:tcBorders>
              <w:top w:val="single" w:color="auto" w:sz="4" w:space="0"/>
              <w:bottom w:val="single" w:color="auto" w:sz="4" w:space="0"/>
            </w:tcBorders>
            <w:vAlign w:val="center"/>
          </w:tcPr>
          <w:p w14:paraId="39F0AA87">
            <w:pPr>
              <w:tabs>
                <w:tab w:val="left" w:pos="576"/>
              </w:tabs>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550" w:type="pct"/>
            <w:tcBorders>
              <w:top w:val="single" w:color="auto" w:sz="4" w:space="0"/>
              <w:bottom w:val="single" w:color="auto" w:sz="4" w:space="0"/>
            </w:tcBorders>
            <w:vAlign w:val="center"/>
          </w:tcPr>
          <w:p w14:paraId="335DC74D">
            <w:pPr>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519" w:type="pct"/>
            <w:tcBorders>
              <w:top w:val="single" w:color="auto" w:sz="4" w:space="0"/>
              <w:bottom w:val="single" w:color="auto" w:sz="4" w:space="0"/>
              <w:right w:val="nil"/>
            </w:tcBorders>
            <w:vAlign w:val="center"/>
          </w:tcPr>
          <w:p w14:paraId="310EA5BC">
            <w:pPr>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r>
      <w:tr w14:paraId="5DB64F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15" w:type="pct"/>
            <w:vMerge w:val="continue"/>
            <w:tcBorders>
              <w:left w:val="nil"/>
              <w:bottom w:val="single" w:color="auto" w:sz="12" w:space="0"/>
            </w:tcBorders>
            <w:textDirection w:val="tbRlV"/>
            <w:vAlign w:val="center"/>
          </w:tcPr>
          <w:p w14:paraId="35908779">
            <w:pPr>
              <w:tabs>
                <w:tab w:val="left" w:pos="576"/>
              </w:tabs>
              <w:autoSpaceDE w:val="0"/>
              <w:autoSpaceDN w:val="0"/>
              <w:adjustRightInd w:val="0"/>
              <w:snapToGrid w:val="0"/>
              <w:spacing w:line="270" w:lineRule="exact"/>
              <w:jc w:val="center"/>
              <w:rPr>
                <w:rFonts w:ascii="Times New Roman" w:eastAsia="宋体"/>
                <w:sz w:val="21"/>
                <w:szCs w:val="21"/>
              </w:rPr>
            </w:pPr>
          </w:p>
        </w:tc>
        <w:tc>
          <w:tcPr>
            <w:tcW w:w="322" w:type="pct"/>
            <w:tcBorders>
              <w:top w:val="single" w:color="auto" w:sz="4" w:space="0"/>
              <w:bottom w:val="single" w:color="auto" w:sz="12" w:space="0"/>
            </w:tcBorders>
            <w:vAlign w:val="center"/>
          </w:tcPr>
          <w:p w14:paraId="1E586645">
            <w:pPr>
              <w:tabs>
                <w:tab w:val="left" w:pos="576"/>
              </w:tabs>
              <w:autoSpaceDE w:val="0"/>
              <w:autoSpaceDN w:val="0"/>
              <w:adjustRightInd w:val="0"/>
              <w:snapToGrid w:val="0"/>
              <w:spacing w:line="270" w:lineRule="exact"/>
              <w:jc w:val="center"/>
              <w:rPr>
                <w:rFonts w:ascii="Times New Roman" w:eastAsia="宋体"/>
                <w:sz w:val="21"/>
                <w:szCs w:val="21"/>
              </w:rPr>
            </w:pPr>
            <w:r>
              <w:rPr>
                <w:rFonts w:ascii="Times New Roman" w:hAnsi="宋体" w:eastAsia="宋体"/>
                <w:sz w:val="21"/>
                <w:szCs w:val="21"/>
              </w:rPr>
              <w:t>事故风险</w:t>
            </w:r>
          </w:p>
        </w:tc>
        <w:tc>
          <w:tcPr>
            <w:tcW w:w="512" w:type="pct"/>
            <w:tcBorders>
              <w:top w:val="single" w:color="auto" w:sz="4" w:space="0"/>
              <w:bottom w:val="single" w:color="auto" w:sz="12" w:space="0"/>
            </w:tcBorders>
            <w:vAlign w:val="center"/>
          </w:tcPr>
          <w:p w14:paraId="06B33102">
            <w:pPr>
              <w:tabs>
                <w:tab w:val="left" w:pos="576"/>
              </w:tabs>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512" w:type="pct"/>
            <w:tcBorders>
              <w:top w:val="single" w:color="auto" w:sz="4" w:space="0"/>
              <w:bottom w:val="single" w:color="auto" w:sz="12" w:space="0"/>
            </w:tcBorders>
            <w:vAlign w:val="center"/>
          </w:tcPr>
          <w:p w14:paraId="21953DDC">
            <w:pPr>
              <w:tabs>
                <w:tab w:val="left" w:pos="576"/>
              </w:tabs>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472" w:type="pct"/>
            <w:tcBorders>
              <w:top w:val="single" w:color="auto" w:sz="4" w:space="0"/>
              <w:bottom w:val="single" w:color="auto" w:sz="12" w:space="0"/>
            </w:tcBorders>
            <w:vAlign w:val="center"/>
          </w:tcPr>
          <w:p w14:paraId="7492DA61">
            <w:pPr>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472" w:type="pct"/>
            <w:tcBorders>
              <w:top w:val="single" w:color="auto" w:sz="4" w:space="0"/>
              <w:bottom w:val="single" w:color="auto" w:sz="12" w:space="0"/>
            </w:tcBorders>
            <w:vAlign w:val="center"/>
          </w:tcPr>
          <w:p w14:paraId="5006983F">
            <w:pPr>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435" w:type="pct"/>
            <w:tcBorders>
              <w:top w:val="single" w:color="auto" w:sz="4" w:space="0"/>
              <w:bottom w:val="single" w:color="auto" w:sz="12" w:space="0"/>
            </w:tcBorders>
            <w:vAlign w:val="center"/>
          </w:tcPr>
          <w:p w14:paraId="02AA83A2">
            <w:pPr>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435" w:type="pct"/>
            <w:tcBorders>
              <w:top w:val="single" w:color="auto" w:sz="4" w:space="0"/>
              <w:bottom w:val="single" w:color="auto" w:sz="12" w:space="0"/>
            </w:tcBorders>
            <w:vAlign w:val="center"/>
          </w:tcPr>
          <w:p w14:paraId="664F5872">
            <w:pPr>
              <w:pStyle w:val="85"/>
              <w:spacing w:line="270" w:lineRule="exact"/>
              <w:rPr>
                <w:rFonts w:hint="default"/>
                <w:color w:val="auto"/>
                <w:sz w:val="18"/>
                <w:szCs w:val="18"/>
              </w:rPr>
            </w:pPr>
            <w:r>
              <w:rPr>
                <w:color w:val="auto"/>
                <w:sz w:val="18"/>
                <w:szCs w:val="18"/>
              </w:rPr>
              <w:t>0</w:t>
            </w:r>
          </w:p>
        </w:tc>
        <w:tc>
          <w:tcPr>
            <w:tcW w:w="550" w:type="pct"/>
            <w:tcBorders>
              <w:top w:val="single" w:color="auto" w:sz="4" w:space="0"/>
              <w:bottom w:val="single" w:color="auto" w:sz="12" w:space="0"/>
            </w:tcBorders>
            <w:vAlign w:val="center"/>
          </w:tcPr>
          <w:p w14:paraId="18201729">
            <w:pPr>
              <w:tabs>
                <w:tab w:val="left" w:pos="576"/>
              </w:tabs>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550" w:type="pct"/>
            <w:tcBorders>
              <w:top w:val="single" w:color="auto" w:sz="4" w:space="0"/>
              <w:bottom w:val="single" w:color="auto" w:sz="12" w:space="0"/>
            </w:tcBorders>
            <w:vAlign w:val="center"/>
          </w:tcPr>
          <w:p w14:paraId="13E1A785">
            <w:pPr>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c>
          <w:tcPr>
            <w:tcW w:w="519" w:type="pct"/>
            <w:tcBorders>
              <w:top w:val="single" w:color="auto" w:sz="4" w:space="0"/>
              <w:bottom w:val="single" w:color="auto" w:sz="12" w:space="0"/>
              <w:right w:val="nil"/>
            </w:tcBorders>
            <w:vAlign w:val="center"/>
          </w:tcPr>
          <w:p w14:paraId="462ED0CE">
            <w:pPr>
              <w:autoSpaceDE w:val="0"/>
              <w:autoSpaceDN w:val="0"/>
              <w:adjustRightInd w:val="0"/>
              <w:snapToGrid w:val="0"/>
              <w:spacing w:line="270" w:lineRule="exact"/>
              <w:jc w:val="center"/>
              <w:rPr>
                <w:rFonts w:ascii="Times New Roman" w:eastAsia="宋体"/>
                <w:sz w:val="21"/>
                <w:szCs w:val="21"/>
              </w:rPr>
            </w:pPr>
            <w:r>
              <w:rPr>
                <w:rFonts w:hint="eastAsia" w:ascii="Times New Roman" w:eastAsia="宋体"/>
                <w:sz w:val="21"/>
                <w:szCs w:val="21"/>
              </w:rPr>
              <w:t>0</w:t>
            </w:r>
          </w:p>
        </w:tc>
      </w:tr>
    </w:tbl>
    <w:p w14:paraId="46CCC0BE">
      <w:pPr>
        <w:adjustRightInd w:val="0"/>
        <w:snapToGrid w:val="0"/>
        <w:spacing w:line="340" w:lineRule="exact"/>
        <w:ind w:firstLine="420" w:firstLineChars="200"/>
        <w:rPr>
          <w:rFonts w:ascii="Times New Roman"/>
          <w:sz w:val="21"/>
          <w:szCs w:val="21"/>
        </w:rPr>
      </w:pPr>
      <w:r>
        <w:rPr>
          <w:rFonts w:ascii="Times New Roman" w:hAnsi="宋体"/>
          <w:sz w:val="21"/>
          <w:szCs w:val="21"/>
        </w:rPr>
        <w:t>说明：</w:t>
      </w:r>
      <w:r>
        <w:rPr>
          <w:rFonts w:ascii="Times New Roman"/>
          <w:sz w:val="21"/>
          <w:szCs w:val="21"/>
        </w:rPr>
        <w:t>“+”</w:t>
      </w:r>
      <w:r>
        <w:rPr>
          <w:rFonts w:ascii="Times New Roman" w:hAnsi="宋体"/>
          <w:sz w:val="21"/>
          <w:szCs w:val="21"/>
        </w:rPr>
        <w:t>、</w:t>
      </w:r>
      <w:r>
        <w:rPr>
          <w:rFonts w:ascii="Times New Roman"/>
          <w:sz w:val="21"/>
          <w:szCs w:val="21"/>
        </w:rPr>
        <w:t>“-”</w:t>
      </w:r>
      <w:r>
        <w:rPr>
          <w:rFonts w:ascii="Times New Roman" w:hAnsi="宋体"/>
          <w:sz w:val="21"/>
          <w:szCs w:val="21"/>
        </w:rPr>
        <w:t>分别表示有利、不利影响；</w:t>
      </w:r>
      <w:r>
        <w:rPr>
          <w:rFonts w:ascii="Times New Roman"/>
          <w:sz w:val="21"/>
          <w:szCs w:val="21"/>
        </w:rPr>
        <w:t>“L”</w:t>
      </w:r>
      <w:r>
        <w:rPr>
          <w:rFonts w:ascii="Times New Roman" w:hAnsi="宋体"/>
          <w:sz w:val="21"/>
          <w:szCs w:val="21"/>
        </w:rPr>
        <w:t>、</w:t>
      </w:r>
      <w:r>
        <w:rPr>
          <w:rFonts w:ascii="Times New Roman"/>
          <w:sz w:val="21"/>
          <w:szCs w:val="21"/>
        </w:rPr>
        <w:t>“S”</w:t>
      </w:r>
      <w:r>
        <w:rPr>
          <w:rFonts w:ascii="Times New Roman" w:hAnsi="宋体"/>
          <w:sz w:val="21"/>
          <w:szCs w:val="21"/>
        </w:rPr>
        <w:t>分别表示长期、短期影响；</w:t>
      </w:r>
      <w:r>
        <w:rPr>
          <w:rFonts w:ascii="Times New Roman"/>
          <w:sz w:val="21"/>
          <w:szCs w:val="21"/>
        </w:rPr>
        <w:t>“0”</w:t>
      </w:r>
      <w:r>
        <w:rPr>
          <w:rFonts w:ascii="Times New Roman" w:hAnsi="宋体"/>
          <w:sz w:val="21"/>
          <w:szCs w:val="21"/>
        </w:rPr>
        <w:t>、</w:t>
      </w:r>
      <w:r>
        <w:rPr>
          <w:rFonts w:ascii="Times New Roman"/>
          <w:sz w:val="21"/>
          <w:szCs w:val="21"/>
        </w:rPr>
        <w:t>“”1</w:t>
      </w:r>
      <w:r>
        <w:rPr>
          <w:rFonts w:ascii="Times New Roman" w:hAnsi="宋体"/>
          <w:sz w:val="21"/>
          <w:szCs w:val="21"/>
        </w:rPr>
        <w:t>、</w:t>
      </w:r>
      <w:r>
        <w:rPr>
          <w:rFonts w:ascii="Times New Roman"/>
          <w:sz w:val="21"/>
          <w:szCs w:val="21"/>
        </w:rPr>
        <w:t>“2”</w:t>
      </w:r>
      <w:r>
        <w:rPr>
          <w:rFonts w:ascii="Times New Roman" w:hAnsi="宋体"/>
          <w:sz w:val="21"/>
          <w:szCs w:val="21"/>
        </w:rPr>
        <w:t>、</w:t>
      </w:r>
      <w:r>
        <w:rPr>
          <w:rFonts w:ascii="Times New Roman"/>
          <w:sz w:val="21"/>
          <w:szCs w:val="21"/>
        </w:rPr>
        <w:t>“3”</w:t>
      </w:r>
      <w:r>
        <w:rPr>
          <w:rFonts w:ascii="Times New Roman" w:hAnsi="宋体"/>
          <w:sz w:val="21"/>
          <w:szCs w:val="21"/>
        </w:rPr>
        <w:t>数值分别表示无影响、轻微影响、中等影响和重大影响；</w:t>
      </w:r>
      <w:r>
        <w:rPr>
          <w:rFonts w:ascii="Times New Roman"/>
          <w:sz w:val="21"/>
          <w:szCs w:val="21"/>
        </w:rPr>
        <w:t>“D”</w:t>
      </w:r>
      <w:r>
        <w:rPr>
          <w:rFonts w:ascii="Times New Roman" w:hAnsi="宋体"/>
          <w:sz w:val="21"/>
          <w:szCs w:val="21"/>
        </w:rPr>
        <w:t>、</w:t>
      </w:r>
      <w:r>
        <w:rPr>
          <w:rFonts w:ascii="Times New Roman"/>
          <w:sz w:val="21"/>
          <w:szCs w:val="21"/>
        </w:rPr>
        <w:t>“I”</w:t>
      </w:r>
      <w:r>
        <w:rPr>
          <w:rFonts w:ascii="Times New Roman" w:hAnsi="宋体"/>
          <w:sz w:val="21"/>
          <w:szCs w:val="21"/>
        </w:rPr>
        <w:t>表示直接、间接影响；</w:t>
      </w:r>
      <w:r>
        <w:rPr>
          <w:rFonts w:ascii="Times New Roman"/>
          <w:sz w:val="21"/>
          <w:szCs w:val="21"/>
        </w:rPr>
        <w:t>“R”</w:t>
      </w:r>
      <w:r>
        <w:rPr>
          <w:rFonts w:ascii="Times New Roman" w:hAnsi="宋体"/>
          <w:sz w:val="21"/>
          <w:szCs w:val="21"/>
        </w:rPr>
        <w:t>、</w:t>
      </w:r>
      <w:r>
        <w:rPr>
          <w:rFonts w:ascii="Times New Roman"/>
          <w:sz w:val="21"/>
          <w:szCs w:val="21"/>
        </w:rPr>
        <w:t>“IR”</w:t>
      </w:r>
      <w:r>
        <w:rPr>
          <w:rFonts w:ascii="Times New Roman" w:hAnsi="宋体"/>
          <w:sz w:val="21"/>
          <w:szCs w:val="21"/>
        </w:rPr>
        <w:t>表示可逆、不可逆影响；</w:t>
      </w:r>
      <w:r>
        <w:rPr>
          <w:rFonts w:ascii="Times New Roman"/>
          <w:sz w:val="21"/>
          <w:szCs w:val="21"/>
        </w:rPr>
        <w:t>“C”</w:t>
      </w:r>
      <w:r>
        <w:rPr>
          <w:rFonts w:ascii="Times New Roman" w:hAnsi="宋体"/>
          <w:sz w:val="21"/>
          <w:szCs w:val="21"/>
        </w:rPr>
        <w:t>、</w:t>
      </w:r>
      <w:r>
        <w:rPr>
          <w:rFonts w:ascii="Times New Roman"/>
          <w:sz w:val="21"/>
          <w:szCs w:val="21"/>
        </w:rPr>
        <w:t>“NC”</w:t>
      </w:r>
      <w:r>
        <w:rPr>
          <w:rFonts w:ascii="Times New Roman" w:hAnsi="宋体"/>
          <w:sz w:val="21"/>
          <w:szCs w:val="21"/>
        </w:rPr>
        <w:t>表示累积、非累积影响。</w:t>
      </w:r>
    </w:p>
    <w:p w14:paraId="401E82AD">
      <w:pPr>
        <w:pStyle w:val="7"/>
        <w:spacing w:line="480" w:lineRule="exact"/>
      </w:pPr>
      <w:r>
        <w:rPr>
          <w:rFonts w:hint="eastAsia"/>
        </w:rPr>
        <w:t>2</w:t>
      </w:r>
      <w:r>
        <w:t>.3.</w:t>
      </w:r>
      <w:r>
        <w:rPr>
          <w:rFonts w:hint="eastAsia"/>
        </w:rPr>
        <w:t>2</w:t>
      </w:r>
      <w:r>
        <w:t xml:space="preserve"> </w:t>
      </w:r>
      <w:r>
        <w:rPr>
          <w:rFonts w:hint="eastAsia"/>
        </w:rPr>
        <w:t>评价因子筛选</w:t>
      </w:r>
    </w:p>
    <w:p w14:paraId="2F2F2541">
      <w:pPr>
        <w:spacing w:line="480" w:lineRule="exact"/>
        <w:ind w:firstLine="480" w:firstLineChars="200"/>
        <w:rPr>
          <w:szCs w:val="24"/>
        </w:rPr>
      </w:pPr>
      <w:r>
        <w:rPr>
          <w:rFonts w:ascii="Times New Roman" w:hAnsi="宋体"/>
          <w:szCs w:val="24"/>
        </w:rPr>
        <w:t>根据本项目的特点，具体的现状评价因子、影响评价因子、总量控制因子筛选结果见表</w:t>
      </w:r>
      <w:r>
        <w:rPr>
          <w:rFonts w:hint="eastAsia"/>
          <w:szCs w:val="24"/>
        </w:rPr>
        <w:t>2.</w:t>
      </w:r>
      <w:r>
        <w:rPr>
          <w:szCs w:val="24"/>
        </w:rPr>
        <w:t>3</w:t>
      </w:r>
      <w:r>
        <w:rPr>
          <w:rFonts w:hint="eastAsia"/>
          <w:szCs w:val="24"/>
        </w:rPr>
        <w:t>-2。</w:t>
      </w:r>
    </w:p>
    <w:p w14:paraId="5E930E4C">
      <w:pPr>
        <w:pStyle w:val="31"/>
        <w:spacing w:before="0" w:line="480" w:lineRule="exact"/>
        <w:rPr>
          <w:szCs w:val="24"/>
        </w:rPr>
      </w:pPr>
      <w:r>
        <w:rPr>
          <w:rFonts w:hint="eastAsia"/>
          <w:szCs w:val="24"/>
        </w:rPr>
        <w:t>表</w:t>
      </w:r>
      <w:r>
        <w:rPr>
          <w:szCs w:val="24"/>
        </w:rPr>
        <w:t>2.3-</w:t>
      </w:r>
      <w:r>
        <w:rPr>
          <w:rFonts w:hint="eastAsia"/>
          <w:szCs w:val="24"/>
        </w:rPr>
        <w:t>2</w:t>
      </w:r>
      <w:r>
        <w:rPr>
          <w:szCs w:val="24"/>
        </w:rPr>
        <w:t xml:space="preserve"> </w:t>
      </w:r>
      <w:r>
        <w:rPr>
          <w:rFonts w:hint="eastAsia"/>
          <w:szCs w:val="24"/>
        </w:rPr>
        <w:t>环境影响评价因子</w:t>
      </w:r>
    </w:p>
    <w:tbl>
      <w:tblPr>
        <w:tblStyle w:val="4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4198"/>
        <w:gridCol w:w="2313"/>
        <w:gridCol w:w="1476"/>
      </w:tblGrid>
      <w:tr w14:paraId="4BDC9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Align w:val="center"/>
          </w:tcPr>
          <w:p w14:paraId="3216B813">
            <w:pPr>
              <w:pStyle w:val="61"/>
              <w:spacing w:line="280" w:lineRule="exact"/>
            </w:pPr>
            <w:r>
              <w:rPr>
                <w:rFonts w:hint="eastAsia"/>
              </w:rPr>
              <w:t>项目</w:t>
            </w:r>
          </w:p>
        </w:tc>
        <w:tc>
          <w:tcPr>
            <w:tcW w:w="2261" w:type="pct"/>
            <w:vAlign w:val="center"/>
          </w:tcPr>
          <w:p w14:paraId="17586AFE">
            <w:pPr>
              <w:pStyle w:val="61"/>
              <w:spacing w:line="280" w:lineRule="exact"/>
            </w:pPr>
            <w:r>
              <w:rPr>
                <w:rFonts w:hint="eastAsia"/>
              </w:rPr>
              <w:t>现状评价因子</w:t>
            </w:r>
          </w:p>
        </w:tc>
        <w:tc>
          <w:tcPr>
            <w:tcW w:w="1246" w:type="pct"/>
            <w:vAlign w:val="center"/>
          </w:tcPr>
          <w:p w14:paraId="36C3F28D">
            <w:pPr>
              <w:pStyle w:val="61"/>
              <w:spacing w:line="280" w:lineRule="exact"/>
            </w:pPr>
            <w:r>
              <w:rPr>
                <w:rFonts w:hint="eastAsia"/>
              </w:rPr>
              <w:t>影响评价因子</w:t>
            </w:r>
          </w:p>
        </w:tc>
        <w:tc>
          <w:tcPr>
            <w:tcW w:w="795" w:type="pct"/>
            <w:vAlign w:val="center"/>
          </w:tcPr>
          <w:p w14:paraId="0E656566">
            <w:pPr>
              <w:pStyle w:val="61"/>
              <w:spacing w:line="280" w:lineRule="exact"/>
            </w:pPr>
            <w:r>
              <w:rPr>
                <w:rFonts w:hint="eastAsia"/>
              </w:rPr>
              <w:t>总量控制因子</w:t>
            </w:r>
          </w:p>
        </w:tc>
      </w:tr>
      <w:tr w14:paraId="0B30C4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Align w:val="center"/>
          </w:tcPr>
          <w:p w14:paraId="029FB892">
            <w:pPr>
              <w:pStyle w:val="61"/>
              <w:spacing w:line="280" w:lineRule="exact"/>
            </w:pPr>
            <w:r>
              <w:rPr>
                <w:rFonts w:hint="eastAsia"/>
              </w:rPr>
              <w:t>大气环境</w:t>
            </w:r>
          </w:p>
        </w:tc>
        <w:tc>
          <w:tcPr>
            <w:tcW w:w="2261" w:type="pct"/>
            <w:vAlign w:val="center"/>
          </w:tcPr>
          <w:p w14:paraId="7A1B7429">
            <w:pPr>
              <w:pStyle w:val="61"/>
              <w:spacing w:line="280" w:lineRule="exact"/>
            </w:pPr>
            <w:r>
              <w:rPr>
                <w:position w:val="2"/>
              </w:rPr>
              <w:t>SO</w:t>
            </w:r>
            <w:r>
              <w:rPr>
                <w:position w:val="2"/>
                <w:vertAlign w:val="subscript"/>
              </w:rPr>
              <w:t>2</w:t>
            </w:r>
            <w:r>
              <w:rPr>
                <w:rFonts w:hint="eastAsia" w:ascii="宋体"/>
                <w:position w:val="2"/>
              </w:rPr>
              <w:t>、</w:t>
            </w:r>
            <w:r>
              <w:t>NO</w:t>
            </w:r>
            <w:r>
              <w:rPr>
                <w:vertAlign w:val="subscript"/>
              </w:rPr>
              <w:t>2</w:t>
            </w:r>
            <w:r>
              <w:rPr>
                <w:rFonts w:hint="eastAsia" w:ascii="宋体"/>
                <w:position w:val="2"/>
              </w:rPr>
              <w:t>、</w:t>
            </w:r>
            <w:r>
              <w:rPr>
                <w:position w:val="2"/>
              </w:rPr>
              <w:t>PM</w:t>
            </w:r>
            <w:r>
              <w:rPr>
                <w:position w:val="2"/>
                <w:vertAlign w:val="subscript"/>
              </w:rPr>
              <w:t>10</w:t>
            </w:r>
            <w:r>
              <w:rPr>
                <w:rFonts w:hint="eastAsia" w:ascii="宋体"/>
                <w:position w:val="2"/>
              </w:rPr>
              <w:t>、</w:t>
            </w:r>
            <w:r>
              <w:rPr>
                <w:position w:val="2"/>
              </w:rPr>
              <w:t>PM</w:t>
            </w:r>
            <w:r>
              <w:rPr>
                <w:position w:val="2"/>
                <w:vertAlign w:val="subscript"/>
              </w:rPr>
              <w:t>2.5</w:t>
            </w:r>
            <w:r>
              <w:rPr>
                <w:rFonts w:hint="eastAsia" w:ascii="宋体"/>
                <w:position w:val="2"/>
              </w:rPr>
              <w:t>、</w:t>
            </w:r>
            <w:r>
              <w:rPr>
                <w:position w:val="2"/>
              </w:rPr>
              <w:t>CO</w:t>
            </w:r>
            <w:r>
              <w:rPr>
                <w:rFonts w:hint="eastAsia" w:ascii="宋体"/>
                <w:position w:val="2"/>
              </w:rPr>
              <w:t>、</w:t>
            </w:r>
            <w:r>
              <w:rPr>
                <w:position w:val="2"/>
              </w:rPr>
              <w:t>O</w:t>
            </w:r>
            <w:r>
              <w:rPr>
                <w:position w:val="2"/>
                <w:vertAlign w:val="subscript"/>
              </w:rPr>
              <w:t>3</w:t>
            </w:r>
            <w:r>
              <w:rPr>
                <w:rFonts w:hint="eastAsia" w:ascii="宋体"/>
                <w:position w:val="2"/>
              </w:rPr>
              <w:t>、</w:t>
            </w:r>
            <w:r>
              <w:rPr>
                <w:rFonts w:cstheme="minorHAnsi"/>
                <w:position w:val="2"/>
              </w:rPr>
              <w:t>NH</w:t>
            </w:r>
            <w:r>
              <w:rPr>
                <w:rFonts w:cstheme="minorHAnsi"/>
                <w:position w:val="2"/>
                <w:vertAlign w:val="subscript"/>
              </w:rPr>
              <w:t>3</w:t>
            </w:r>
            <w:r>
              <w:rPr>
                <w:rFonts w:hint="eastAsia" w:ascii="宋体"/>
                <w:position w:val="2"/>
              </w:rPr>
              <w:t>、</w:t>
            </w:r>
            <w:r>
              <w:rPr>
                <w:rFonts w:cstheme="minorHAnsi"/>
                <w:position w:val="2"/>
              </w:rPr>
              <w:t>H</w:t>
            </w:r>
            <w:r>
              <w:rPr>
                <w:rFonts w:cstheme="minorHAnsi"/>
                <w:position w:val="2"/>
                <w:vertAlign w:val="subscript"/>
              </w:rPr>
              <w:t>2</w:t>
            </w:r>
            <w:r>
              <w:rPr>
                <w:rFonts w:cstheme="minorHAnsi"/>
                <w:position w:val="2"/>
              </w:rPr>
              <w:t>S</w:t>
            </w:r>
            <w:r>
              <w:rPr>
                <w:rFonts w:hint="eastAsia" w:ascii="宋体"/>
                <w:position w:val="2"/>
              </w:rPr>
              <w:t>、臭气浓度</w:t>
            </w:r>
          </w:p>
        </w:tc>
        <w:tc>
          <w:tcPr>
            <w:tcW w:w="1246" w:type="pct"/>
            <w:vAlign w:val="center"/>
          </w:tcPr>
          <w:p w14:paraId="2465E168">
            <w:pPr>
              <w:pStyle w:val="61"/>
              <w:spacing w:line="280" w:lineRule="exact"/>
              <w:rPr>
                <w:color w:val="000000" w:themeColor="text1"/>
                <w14:textFill>
                  <w14:solidFill>
                    <w14:schemeClr w14:val="tx1"/>
                  </w14:solidFill>
                </w14:textFill>
              </w:rPr>
            </w:pPr>
            <w:r>
              <w:rPr>
                <w:rFonts w:cstheme="minorHAnsi"/>
                <w:color w:val="000000" w:themeColor="text1"/>
                <w:position w:val="2"/>
                <w14:textFill>
                  <w14:solidFill>
                    <w14:schemeClr w14:val="tx1"/>
                  </w14:solidFill>
                </w14:textFill>
              </w:rPr>
              <w:t>NH</w:t>
            </w:r>
            <w:r>
              <w:rPr>
                <w:rFonts w:cstheme="minorHAnsi"/>
                <w:color w:val="000000" w:themeColor="text1"/>
                <w:position w:val="2"/>
                <w:vertAlign w:val="subscript"/>
                <w14:textFill>
                  <w14:solidFill>
                    <w14:schemeClr w14:val="tx1"/>
                  </w14:solidFill>
                </w14:textFill>
              </w:rPr>
              <w:t>3</w:t>
            </w:r>
            <w:r>
              <w:rPr>
                <w:rFonts w:hint="eastAsia" w:ascii="宋体"/>
                <w:color w:val="000000" w:themeColor="text1"/>
                <w:position w:val="2"/>
                <w14:textFill>
                  <w14:solidFill>
                    <w14:schemeClr w14:val="tx1"/>
                  </w14:solidFill>
                </w14:textFill>
              </w:rPr>
              <w:t>、</w:t>
            </w:r>
            <w:r>
              <w:rPr>
                <w:rFonts w:cstheme="minorHAnsi"/>
                <w:color w:val="000000" w:themeColor="text1"/>
                <w:position w:val="2"/>
                <w14:textFill>
                  <w14:solidFill>
                    <w14:schemeClr w14:val="tx1"/>
                  </w14:solidFill>
                </w14:textFill>
              </w:rPr>
              <w:t>H</w:t>
            </w:r>
            <w:r>
              <w:rPr>
                <w:rFonts w:cstheme="minorHAnsi"/>
                <w:color w:val="000000" w:themeColor="text1"/>
                <w:position w:val="2"/>
                <w:vertAlign w:val="subscript"/>
                <w14:textFill>
                  <w14:solidFill>
                    <w14:schemeClr w14:val="tx1"/>
                  </w14:solidFill>
                </w14:textFill>
              </w:rPr>
              <w:t>2</w:t>
            </w:r>
            <w:r>
              <w:rPr>
                <w:rFonts w:cstheme="minorHAnsi"/>
                <w:color w:val="000000" w:themeColor="text1"/>
                <w:position w:val="2"/>
                <w14:textFill>
                  <w14:solidFill>
                    <w14:schemeClr w14:val="tx1"/>
                  </w14:solidFill>
                </w14:textFill>
              </w:rPr>
              <w:t>S</w:t>
            </w:r>
            <w:r>
              <w:rPr>
                <w:rFonts w:hint="eastAsia" w:cstheme="minorHAnsi"/>
                <w:color w:val="000000" w:themeColor="text1"/>
                <w:position w:val="2"/>
                <w14:textFill>
                  <w14:solidFill>
                    <w14:schemeClr w14:val="tx1"/>
                  </w14:solidFill>
                </w14:textFill>
              </w:rPr>
              <w:t>、臭气浓度</w:t>
            </w:r>
          </w:p>
        </w:tc>
        <w:tc>
          <w:tcPr>
            <w:tcW w:w="795" w:type="pct"/>
            <w:vAlign w:val="center"/>
          </w:tcPr>
          <w:p w14:paraId="37A345A0">
            <w:pPr>
              <w:pStyle w:val="61"/>
              <w:spacing w:line="280" w:lineRule="exact"/>
              <w:rPr>
                <w:rFonts w:hint="eastAsia" w:eastAsia="宋体"/>
                <w:color w:val="000000" w:themeColor="text1"/>
                <w:lang w:eastAsia="zh-CN"/>
                <w14:textFill>
                  <w14:solidFill>
                    <w14:schemeClr w14:val="tx1"/>
                  </w14:solidFill>
                </w14:textFill>
              </w:rPr>
            </w:pPr>
            <w:r>
              <w:rPr>
                <w:rFonts w:hint="eastAsia" w:hAnsi="宋体"/>
                <w:bCs/>
                <w:color w:val="000000" w:themeColor="text1"/>
                <w:szCs w:val="21"/>
                <w:lang w:val="en-US" w:eastAsia="zh-CN"/>
                <w14:textFill>
                  <w14:solidFill>
                    <w14:schemeClr w14:val="tx1"/>
                  </w14:solidFill>
                </w14:textFill>
              </w:rPr>
              <w:t>/</w:t>
            </w:r>
          </w:p>
        </w:tc>
      </w:tr>
      <w:tr w14:paraId="22868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Align w:val="center"/>
          </w:tcPr>
          <w:p w14:paraId="60189098">
            <w:pPr>
              <w:pStyle w:val="61"/>
              <w:spacing w:line="280" w:lineRule="exact"/>
            </w:pPr>
            <w:r>
              <w:rPr>
                <w:rFonts w:hint="eastAsia"/>
              </w:rPr>
              <w:t>地表水环境</w:t>
            </w:r>
          </w:p>
        </w:tc>
        <w:tc>
          <w:tcPr>
            <w:tcW w:w="2261" w:type="pct"/>
            <w:vAlign w:val="center"/>
          </w:tcPr>
          <w:p w14:paraId="58C01349">
            <w:pPr>
              <w:pStyle w:val="61"/>
              <w:spacing w:line="280" w:lineRule="exact"/>
            </w:pPr>
            <w:r>
              <w:rPr>
                <w:lang w:bidi="zh-CN"/>
              </w:rPr>
              <w:t>pH</w:t>
            </w:r>
            <w:r>
              <w:rPr>
                <w:rFonts w:hint="eastAsia"/>
                <w:lang w:bidi="zh-CN"/>
              </w:rPr>
              <w:t>、</w:t>
            </w:r>
            <w:r>
              <w:rPr>
                <w:lang w:bidi="zh-CN"/>
              </w:rPr>
              <w:t>SS</w:t>
            </w:r>
            <w:r>
              <w:rPr>
                <w:rFonts w:hint="eastAsia"/>
                <w:lang w:bidi="zh-CN"/>
              </w:rPr>
              <w:t>、</w:t>
            </w:r>
            <w:r>
              <w:rPr>
                <w:lang w:bidi="zh-CN"/>
              </w:rPr>
              <w:t>COD</w:t>
            </w:r>
            <w:r>
              <w:rPr>
                <w:rFonts w:hint="eastAsia"/>
                <w:lang w:bidi="zh-CN"/>
              </w:rPr>
              <w:t>、</w:t>
            </w:r>
            <w:r>
              <w:rPr>
                <w:lang w:bidi="zh-CN"/>
              </w:rPr>
              <w:t>BOD</w:t>
            </w:r>
            <w:r>
              <w:rPr>
                <w:vertAlign w:val="subscript"/>
                <w:lang w:bidi="zh-CN"/>
              </w:rPr>
              <w:t>5</w:t>
            </w:r>
            <w:r>
              <w:rPr>
                <w:rFonts w:hint="eastAsia"/>
                <w:lang w:bidi="zh-CN"/>
              </w:rPr>
              <w:t>、氨氮、总磷、粪大肠菌群</w:t>
            </w:r>
          </w:p>
        </w:tc>
        <w:tc>
          <w:tcPr>
            <w:tcW w:w="1246" w:type="pct"/>
            <w:vAlign w:val="center"/>
          </w:tcPr>
          <w:p w14:paraId="53F5A075">
            <w:pPr>
              <w:pStyle w:val="61"/>
              <w:spacing w:line="280" w:lineRule="exact"/>
            </w:pPr>
            <w:r>
              <w:rPr>
                <w:rFonts w:hint="eastAsia"/>
              </w:rPr>
              <w:t>/</w:t>
            </w:r>
          </w:p>
        </w:tc>
        <w:tc>
          <w:tcPr>
            <w:tcW w:w="795" w:type="pct"/>
            <w:vAlign w:val="center"/>
          </w:tcPr>
          <w:p w14:paraId="699DB3C1">
            <w:pPr>
              <w:pStyle w:val="61"/>
              <w:spacing w:line="280" w:lineRule="exact"/>
            </w:pPr>
            <w:r>
              <w:rPr>
                <w:rFonts w:hint="eastAsia"/>
              </w:rPr>
              <w:t>/</w:t>
            </w:r>
          </w:p>
        </w:tc>
      </w:tr>
      <w:tr w14:paraId="394CA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Align w:val="center"/>
          </w:tcPr>
          <w:p w14:paraId="2CB345E5">
            <w:pPr>
              <w:pStyle w:val="61"/>
              <w:spacing w:line="280" w:lineRule="exact"/>
            </w:pPr>
            <w:r>
              <w:rPr>
                <w:rFonts w:hint="eastAsia"/>
              </w:rPr>
              <w:t>声环境</w:t>
            </w:r>
          </w:p>
        </w:tc>
        <w:tc>
          <w:tcPr>
            <w:tcW w:w="2261" w:type="pct"/>
            <w:vAlign w:val="center"/>
          </w:tcPr>
          <w:p w14:paraId="6731DF4E">
            <w:pPr>
              <w:pStyle w:val="61"/>
              <w:spacing w:line="280" w:lineRule="exact"/>
            </w:pPr>
            <w:r>
              <w:rPr>
                <w:rFonts w:hint="eastAsia"/>
              </w:rPr>
              <w:t>等效连续A声级</w:t>
            </w:r>
          </w:p>
        </w:tc>
        <w:tc>
          <w:tcPr>
            <w:tcW w:w="1246" w:type="pct"/>
            <w:tcMar>
              <w:left w:w="0" w:type="dxa"/>
              <w:right w:w="0" w:type="dxa"/>
            </w:tcMar>
            <w:vAlign w:val="center"/>
          </w:tcPr>
          <w:p w14:paraId="22F4E733">
            <w:pPr>
              <w:pStyle w:val="61"/>
              <w:spacing w:line="280" w:lineRule="exact"/>
            </w:pPr>
            <w:r>
              <w:rPr>
                <w:rFonts w:hint="eastAsia"/>
              </w:rPr>
              <w:t>等效连续A声级</w:t>
            </w:r>
          </w:p>
        </w:tc>
        <w:tc>
          <w:tcPr>
            <w:tcW w:w="795" w:type="pct"/>
            <w:vAlign w:val="center"/>
          </w:tcPr>
          <w:p w14:paraId="1BC86F40">
            <w:pPr>
              <w:pStyle w:val="61"/>
              <w:spacing w:line="280" w:lineRule="exact"/>
            </w:pPr>
            <w:r>
              <w:rPr>
                <w:rFonts w:hint="eastAsia"/>
              </w:rPr>
              <w:t>/</w:t>
            </w:r>
          </w:p>
        </w:tc>
      </w:tr>
      <w:tr w14:paraId="21834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Align w:val="center"/>
          </w:tcPr>
          <w:p w14:paraId="0AF7D366">
            <w:pPr>
              <w:pStyle w:val="61"/>
              <w:spacing w:line="280" w:lineRule="exact"/>
            </w:pPr>
            <w:r>
              <w:rPr>
                <w:rFonts w:hint="eastAsia"/>
              </w:rPr>
              <w:t>地下水</w:t>
            </w:r>
          </w:p>
        </w:tc>
        <w:tc>
          <w:tcPr>
            <w:tcW w:w="2261" w:type="pct"/>
            <w:vAlign w:val="center"/>
          </w:tcPr>
          <w:p w14:paraId="130EB3EE">
            <w:pPr>
              <w:pStyle w:val="61"/>
              <w:spacing w:line="280" w:lineRule="exact"/>
            </w:pPr>
            <w:r>
              <w:rPr>
                <w:color w:val="000000"/>
                <w:szCs w:val="21"/>
              </w:rPr>
              <w:t>K</w:t>
            </w:r>
            <w:r>
              <w:rPr>
                <w:color w:val="000000"/>
                <w:szCs w:val="21"/>
                <w:vertAlign w:val="superscript"/>
              </w:rPr>
              <w:t>+</w:t>
            </w:r>
            <w:r>
              <w:rPr>
                <w:rFonts w:hAnsi="宋体"/>
                <w:color w:val="000000"/>
                <w:szCs w:val="21"/>
              </w:rPr>
              <w:t>、</w:t>
            </w:r>
            <w:r>
              <w:rPr>
                <w:color w:val="000000"/>
                <w:szCs w:val="21"/>
              </w:rPr>
              <w:t>Na</w:t>
            </w:r>
            <w:r>
              <w:rPr>
                <w:color w:val="000000"/>
                <w:szCs w:val="21"/>
                <w:vertAlign w:val="superscript"/>
              </w:rPr>
              <w:t>+</w:t>
            </w:r>
            <w:r>
              <w:rPr>
                <w:rFonts w:hAnsi="宋体"/>
                <w:color w:val="000000"/>
                <w:szCs w:val="21"/>
              </w:rPr>
              <w:t>、</w:t>
            </w:r>
            <w:r>
              <w:rPr>
                <w:color w:val="000000"/>
                <w:szCs w:val="21"/>
              </w:rPr>
              <w:t>Ca</w:t>
            </w:r>
            <w:r>
              <w:rPr>
                <w:color w:val="000000"/>
                <w:szCs w:val="21"/>
                <w:vertAlign w:val="superscript"/>
              </w:rPr>
              <w:t>2+</w:t>
            </w:r>
            <w:r>
              <w:rPr>
                <w:rFonts w:hAnsi="宋体"/>
                <w:color w:val="000000"/>
                <w:szCs w:val="21"/>
              </w:rPr>
              <w:t>、</w:t>
            </w:r>
            <w:r>
              <w:rPr>
                <w:color w:val="000000"/>
                <w:szCs w:val="21"/>
              </w:rPr>
              <w:t>Mg</w:t>
            </w:r>
            <w:r>
              <w:rPr>
                <w:color w:val="000000"/>
                <w:szCs w:val="21"/>
                <w:vertAlign w:val="superscript"/>
              </w:rPr>
              <w:t>2+</w:t>
            </w:r>
            <w:r>
              <w:rPr>
                <w:rFonts w:hAnsi="宋体"/>
                <w:color w:val="000000"/>
                <w:szCs w:val="21"/>
              </w:rPr>
              <w:t>、</w:t>
            </w:r>
            <w:r>
              <w:rPr>
                <w:color w:val="000000"/>
                <w:szCs w:val="21"/>
              </w:rPr>
              <w:t>CO</w:t>
            </w:r>
            <w:r>
              <w:rPr>
                <w:color w:val="000000"/>
                <w:szCs w:val="21"/>
                <w:vertAlign w:val="subscript"/>
              </w:rPr>
              <w:t>3</w:t>
            </w:r>
            <w:r>
              <w:rPr>
                <w:color w:val="000000"/>
                <w:szCs w:val="21"/>
                <w:vertAlign w:val="superscript"/>
              </w:rPr>
              <w:t>2-</w:t>
            </w:r>
            <w:r>
              <w:rPr>
                <w:rFonts w:hAnsi="宋体"/>
                <w:color w:val="000000"/>
                <w:szCs w:val="21"/>
              </w:rPr>
              <w:t>、</w:t>
            </w:r>
            <w:r>
              <w:rPr>
                <w:color w:val="000000"/>
                <w:szCs w:val="21"/>
              </w:rPr>
              <w:t>HCO</w:t>
            </w:r>
            <w:r>
              <w:rPr>
                <w:color w:val="000000"/>
                <w:szCs w:val="21"/>
                <w:vertAlign w:val="subscript"/>
              </w:rPr>
              <w:t>3</w:t>
            </w:r>
            <w:r>
              <w:rPr>
                <w:color w:val="000000"/>
                <w:szCs w:val="21"/>
                <w:vertAlign w:val="superscript"/>
              </w:rPr>
              <w:t>-</w:t>
            </w:r>
            <w:r>
              <w:rPr>
                <w:rFonts w:hAnsi="宋体"/>
                <w:color w:val="000000"/>
                <w:szCs w:val="21"/>
              </w:rPr>
              <w:t>、</w:t>
            </w:r>
            <w:r>
              <w:rPr>
                <w:color w:val="000000"/>
                <w:szCs w:val="21"/>
              </w:rPr>
              <w:t>Cl</w:t>
            </w:r>
            <w:r>
              <w:rPr>
                <w:color w:val="000000"/>
                <w:szCs w:val="21"/>
                <w:vertAlign w:val="superscript"/>
              </w:rPr>
              <w:t>-</w:t>
            </w:r>
            <w:r>
              <w:rPr>
                <w:rFonts w:hAnsi="宋体"/>
                <w:color w:val="000000"/>
                <w:szCs w:val="21"/>
              </w:rPr>
              <w:t>、</w:t>
            </w:r>
            <w:r>
              <w:rPr>
                <w:color w:val="000000"/>
                <w:szCs w:val="21"/>
              </w:rPr>
              <w:t>SO</w:t>
            </w:r>
            <w:r>
              <w:rPr>
                <w:color w:val="000000"/>
                <w:szCs w:val="21"/>
                <w:vertAlign w:val="subscript"/>
              </w:rPr>
              <w:t>4</w:t>
            </w:r>
            <w:r>
              <w:rPr>
                <w:color w:val="000000"/>
                <w:szCs w:val="21"/>
                <w:vertAlign w:val="superscript"/>
              </w:rPr>
              <w:t>2-</w:t>
            </w:r>
            <w:r>
              <w:rPr>
                <w:rFonts w:hAnsi="宋体"/>
                <w:color w:val="000000"/>
                <w:szCs w:val="21"/>
              </w:rPr>
              <w:t>、</w:t>
            </w:r>
            <w:r>
              <w:rPr>
                <w:color w:val="000000"/>
                <w:szCs w:val="21"/>
              </w:rPr>
              <w:t>pH</w:t>
            </w:r>
            <w:r>
              <w:rPr>
                <w:rFonts w:hAnsi="宋体"/>
                <w:color w:val="000000"/>
                <w:szCs w:val="21"/>
              </w:rPr>
              <w:t>、总硬度、溶解性总固体、氨氮、总磷、硝酸盐、亚硝酸盐、氟化物、铅、砷、六价铬、铜、锌、</w:t>
            </w:r>
            <w:r>
              <w:rPr>
                <w:rFonts w:hint="eastAsia" w:hAnsi="宋体"/>
                <w:color w:val="000000"/>
                <w:szCs w:val="21"/>
              </w:rPr>
              <w:t>铁、锰、氯化物、硫酸盐、</w:t>
            </w:r>
            <w:r>
              <w:rPr>
                <w:rFonts w:hAnsi="宋体"/>
                <w:color w:val="000000"/>
                <w:szCs w:val="21"/>
              </w:rPr>
              <w:t>挥发酚、耗氧量、总大肠菌群数</w:t>
            </w:r>
            <w:r>
              <w:rPr>
                <w:rFonts w:hint="eastAsia" w:hAnsi="宋体"/>
                <w:color w:val="000000"/>
                <w:szCs w:val="21"/>
              </w:rPr>
              <w:t>、菌落总数</w:t>
            </w:r>
            <w:r>
              <w:rPr>
                <w:rFonts w:hAnsi="宋体"/>
                <w:color w:val="000000"/>
                <w:szCs w:val="21"/>
              </w:rPr>
              <w:t>；地下水埋深及水位</w:t>
            </w:r>
          </w:p>
        </w:tc>
        <w:tc>
          <w:tcPr>
            <w:tcW w:w="1246" w:type="pct"/>
            <w:vAlign w:val="center"/>
          </w:tcPr>
          <w:p w14:paraId="14F279A3">
            <w:pPr>
              <w:pStyle w:val="61"/>
              <w:spacing w:line="280" w:lineRule="exact"/>
            </w:pPr>
            <w:r>
              <w:t>COD</w:t>
            </w:r>
            <w:r>
              <w:rPr>
                <w:vertAlign w:val="subscript"/>
              </w:rPr>
              <w:t>Mn</w:t>
            </w:r>
          </w:p>
        </w:tc>
        <w:tc>
          <w:tcPr>
            <w:tcW w:w="795" w:type="pct"/>
            <w:vAlign w:val="center"/>
          </w:tcPr>
          <w:p w14:paraId="645C4267">
            <w:pPr>
              <w:pStyle w:val="61"/>
              <w:spacing w:line="280" w:lineRule="exact"/>
            </w:pPr>
            <w:r>
              <w:rPr>
                <w:rFonts w:hint="eastAsia"/>
              </w:rPr>
              <w:t>/</w:t>
            </w:r>
          </w:p>
        </w:tc>
      </w:tr>
      <w:tr w14:paraId="4AC929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Align w:val="center"/>
          </w:tcPr>
          <w:p w14:paraId="550528E5">
            <w:pPr>
              <w:pStyle w:val="61"/>
              <w:spacing w:line="280" w:lineRule="exact"/>
            </w:pPr>
            <w:r>
              <w:rPr>
                <w:rFonts w:hint="eastAsia"/>
              </w:rPr>
              <w:t>土壤</w:t>
            </w:r>
          </w:p>
        </w:tc>
        <w:tc>
          <w:tcPr>
            <w:tcW w:w="2261" w:type="pct"/>
            <w:vAlign w:val="center"/>
          </w:tcPr>
          <w:p w14:paraId="3422B66D">
            <w:pPr>
              <w:pStyle w:val="61"/>
              <w:spacing w:line="280" w:lineRule="exact"/>
            </w:pPr>
            <w:r>
              <w:rPr>
                <w:rFonts w:hint="eastAsia"/>
              </w:rPr>
              <w:t>pH、镉、汞、砷、铅、铬、铜、镍、锌</w:t>
            </w:r>
          </w:p>
        </w:tc>
        <w:tc>
          <w:tcPr>
            <w:tcW w:w="1246" w:type="pct"/>
            <w:vAlign w:val="center"/>
          </w:tcPr>
          <w:p w14:paraId="44A75314">
            <w:pPr>
              <w:pStyle w:val="61"/>
              <w:spacing w:line="280" w:lineRule="exact"/>
            </w:pPr>
            <w:r>
              <w:rPr>
                <w:rFonts w:hint="eastAsia"/>
              </w:rPr>
              <w:t>/</w:t>
            </w:r>
          </w:p>
        </w:tc>
        <w:tc>
          <w:tcPr>
            <w:tcW w:w="795" w:type="pct"/>
            <w:vAlign w:val="center"/>
          </w:tcPr>
          <w:p w14:paraId="4148B45A">
            <w:pPr>
              <w:pStyle w:val="61"/>
              <w:spacing w:line="280" w:lineRule="exact"/>
            </w:pPr>
            <w:r>
              <w:rPr>
                <w:rFonts w:hint="eastAsia"/>
              </w:rPr>
              <w:t>/</w:t>
            </w:r>
          </w:p>
        </w:tc>
      </w:tr>
      <w:tr w14:paraId="33AC1A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Align w:val="center"/>
          </w:tcPr>
          <w:p w14:paraId="1D9F8DB7">
            <w:pPr>
              <w:pStyle w:val="61"/>
              <w:spacing w:line="280" w:lineRule="exact"/>
            </w:pPr>
            <w:r>
              <w:rPr>
                <w:rFonts w:hint="eastAsia"/>
              </w:rPr>
              <w:t>固体废物</w:t>
            </w:r>
          </w:p>
        </w:tc>
        <w:tc>
          <w:tcPr>
            <w:tcW w:w="3507" w:type="pct"/>
            <w:gridSpan w:val="2"/>
            <w:vAlign w:val="center"/>
          </w:tcPr>
          <w:p w14:paraId="1A0F6B5B">
            <w:pPr>
              <w:pStyle w:val="61"/>
              <w:spacing w:line="280" w:lineRule="exact"/>
            </w:pPr>
            <w:r>
              <w:rPr>
                <w:rFonts w:hint="eastAsia"/>
              </w:rPr>
              <w:t>工业固体废物的产生量、利用量、处置量</w:t>
            </w:r>
          </w:p>
        </w:tc>
        <w:tc>
          <w:tcPr>
            <w:tcW w:w="795" w:type="pct"/>
            <w:vAlign w:val="center"/>
          </w:tcPr>
          <w:p w14:paraId="7219FA31">
            <w:pPr>
              <w:pStyle w:val="61"/>
              <w:spacing w:line="280" w:lineRule="exact"/>
            </w:pPr>
            <w:r>
              <w:rPr>
                <w:rFonts w:hint="eastAsia"/>
              </w:rPr>
              <w:t>固废排放量</w:t>
            </w:r>
          </w:p>
        </w:tc>
      </w:tr>
    </w:tbl>
    <w:p w14:paraId="653E173B">
      <w:pPr>
        <w:pStyle w:val="4"/>
        <w:spacing w:after="0" w:line="450" w:lineRule="exact"/>
        <w:jc w:val="both"/>
      </w:pPr>
      <w:bookmarkStart w:id="21" w:name="_Toc5210"/>
      <w:r>
        <w:rPr>
          <w:rFonts w:hint="eastAsia"/>
        </w:rPr>
        <w:t>2</w:t>
      </w:r>
      <w:r>
        <w:t>.</w:t>
      </w:r>
      <w:r>
        <w:rPr>
          <w:rFonts w:hint="eastAsia"/>
        </w:rPr>
        <w:t>4</w:t>
      </w:r>
      <w:r>
        <w:t xml:space="preserve"> </w:t>
      </w:r>
      <w:r>
        <w:rPr>
          <w:rFonts w:hint="eastAsia"/>
        </w:rPr>
        <w:t>评价标准</w:t>
      </w:r>
      <w:bookmarkEnd w:id="21"/>
    </w:p>
    <w:p w14:paraId="77DA40DB">
      <w:pPr>
        <w:pStyle w:val="7"/>
        <w:spacing w:line="450" w:lineRule="exact"/>
      </w:pPr>
      <w:r>
        <w:rPr>
          <w:rFonts w:hint="eastAsia"/>
        </w:rPr>
        <w:t>2</w:t>
      </w:r>
      <w:r>
        <w:t>.</w:t>
      </w:r>
      <w:r>
        <w:rPr>
          <w:rFonts w:hint="eastAsia"/>
        </w:rPr>
        <w:t>4.1环境质量标准</w:t>
      </w:r>
    </w:p>
    <w:p w14:paraId="2DB6F826">
      <w:pPr>
        <w:pStyle w:val="8"/>
        <w:spacing w:line="450" w:lineRule="exact"/>
      </w:pPr>
      <w:r>
        <w:rPr>
          <w:rFonts w:hint="eastAsia"/>
        </w:rPr>
        <w:t>2</w:t>
      </w:r>
      <w:r>
        <w:t>.</w:t>
      </w:r>
      <w:r>
        <w:rPr>
          <w:rFonts w:hint="eastAsia"/>
        </w:rPr>
        <w:t>4.1</w:t>
      </w:r>
      <w:r>
        <w:t xml:space="preserve">.1 </w:t>
      </w:r>
      <w:r>
        <w:rPr>
          <w:rFonts w:hint="eastAsia"/>
        </w:rPr>
        <w:t>大气环境质量标准</w:t>
      </w:r>
    </w:p>
    <w:p w14:paraId="0737C67B">
      <w:pPr>
        <w:spacing w:line="450" w:lineRule="exact"/>
        <w:ind w:firstLine="480" w:firstLineChars="200"/>
      </w:pPr>
      <w:r>
        <w:rPr>
          <w:rFonts w:hint="eastAsia"/>
        </w:rPr>
        <w:t>建设项目所在地的空气质量功能区为二类区，基本大气污染物SO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、PM</w:t>
      </w:r>
      <w:r>
        <w:rPr>
          <w:rFonts w:hint="eastAsia"/>
          <w:vertAlign w:val="subscript"/>
        </w:rPr>
        <w:t>2.5</w:t>
      </w:r>
      <w:r>
        <w:rPr>
          <w:rFonts w:hint="eastAsia"/>
        </w:rPr>
        <w:t>、O</w:t>
      </w:r>
      <w:r>
        <w:rPr>
          <w:rFonts w:hint="eastAsia"/>
          <w:vertAlign w:val="subscript"/>
        </w:rPr>
        <w:t>3</w:t>
      </w:r>
      <w:r>
        <w:rPr>
          <w:rFonts w:hint="eastAsia"/>
        </w:rPr>
        <w:t>、CO执行《环境空气质量标准》（GB3095-2012）中的二级标准；NH</w:t>
      </w:r>
      <w:r>
        <w:rPr>
          <w:rFonts w:hint="eastAsia"/>
          <w:vertAlign w:val="subscript"/>
        </w:rPr>
        <w:t>3</w:t>
      </w:r>
      <w:r>
        <w:rPr>
          <w:rFonts w:hint="eastAsia"/>
        </w:rPr>
        <w:t>、H</w:t>
      </w:r>
      <w:r>
        <w:rPr>
          <w:rFonts w:hint="eastAsia"/>
          <w:vertAlign w:val="subscript"/>
        </w:rPr>
        <w:t>2</w:t>
      </w:r>
      <w:r>
        <w:rPr>
          <w:rFonts w:hint="eastAsia"/>
        </w:rPr>
        <w:t>S执行《环境影响评价技术导则  大气环境》（HJ2.2-2018）附录D.1其他污染物空气质量浓度参考限值。具体见表2.4-1。</w:t>
      </w:r>
    </w:p>
    <w:p w14:paraId="6DE13D12">
      <w:pPr>
        <w:pStyle w:val="31"/>
        <w:spacing w:before="0" w:line="450" w:lineRule="exact"/>
      </w:pPr>
      <w:r>
        <w:rPr>
          <w:rFonts w:hint="eastAsia"/>
        </w:rPr>
        <w:t>表</w:t>
      </w:r>
      <w:r>
        <w:t>2.</w:t>
      </w:r>
      <w:r>
        <w:rPr>
          <w:rFonts w:hint="eastAsia"/>
        </w:rPr>
        <w:t>4-1</w:t>
      </w:r>
      <w:r>
        <w:t xml:space="preserve">  </w:t>
      </w:r>
      <w:r>
        <w:rPr>
          <w:rFonts w:hint="eastAsia"/>
        </w:rPr>
        <w:t>环境空气质量标准</w:t>
      </w:r>
    </w:p>
    <w:tbl>
      <w:tblPr>
        <w:tblStyle w:val="41"/>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6" w:space="0"/>
        </w:tblBorders>
        <w:tblLayout w:type="autofit"/>
        <w:tblCellMar>
          <w:top w:w="0" w:type="dxa"/>
          <w:left w:w="0" w:type="dxa"/>
          <w:bottom w:w="0" w:type="dxa"/>
          <w:right w:w="0" w:type="dxa"/>
        </w:tblCellMar>
      </w:tblPr>
      <w:tblGrid>
        <w:gridCol w:w="1762"/>
        <w:gridCol w:w="2348"/>
        <w:gridCol w:w="1967"/>
        <w:gridCol w:w="2990"/>
      </w:tblGrid>
      <w:tr w14:paraId="19207F52">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97" w:hRule="atLeast"/>
          <w:tblHeader/>
          <w:jc w:val="center"/>
        </w:trPr>
        <w:tc>
          <w:tcPr>
            <w:tcW w:w="971" w:type="pct"/>
            <w:tcBorders>
              <w:tl2br w:val="nil"/>
              <w:tr2bl w:val="nil"/>
            </w:tcBorders>
            <w:vAlign w:val="center"/>
          </w:tcPr>
          <w:p w14:paraId="3D87DF13">
            <w:pPr>
              <w:spacing w:line="300" w:lineRule="exact"/>
              <w:jc w:val="center"/>
              <w:rPr>
                <w:rFonts w:ascii="Times New Roman" w:hAnsi="Times New Roman" w:cs="Times New Roman"/>
                <w:sz w:val="21"/>
                <w:szCs w:val="21"/>
              </w:rPr>
            </w:pPr>
            <w:r>
              <w:rPr>
                <w:rFonts w:ascii="Times New Roman" w:hAnsi="Times New Roman" w:cs="Times New Roman"/>
                <w:sz w:val="21"/>
                <w:szCs w:val="21"/>
              </w:rPr>
              <w:t>污染物名称</w:t>
            </w:r>
          </w:p>
        </w:tc>
        <w:tc>
          <w:tcPr>
            <w:tcW w:w="1294" w:type="pct"/>
            <w:tcBorders>
              <w:tl2br w:val="nil"/>
              <w:tr2bl w:val="nil"/>
            </w:tcBorders>
            <w:vAlign w:val="center"/>
          </w:tcPr>
          <w:p w14:paraId="58297B18">
            <w:pPr>
              <w:spacing w:line="300" w:lineRule="exact"/>
              <w:jc w:val="center"/>
              <w:rPr>
                <w:rFonts w:ascii="Times New Roman" w:hAnsi="Times New Roman" w:cs="Times New Roman"/>
                <w:sz w:val="21"/>
                <w:szCs w:val="21"/>
              </w:rPr>
            </w:pPr>
            <w:r>
              <w:rPr>
                <w:rFonts w:ascii="Times New Roman" w:hAnsi="Times New Roman" w:cs="Times New Roman"/>
                <w:sz w:val="21"/>
                <w:szCs w:val="21"/>
              </w:rPr>
              <w:t>取值时间</w:t>
            </w:r>
          </w:p>
        </w:tc>
        <w:tc>
          <w:tcPr>
            <w:tcW w:w="1084" w:type="pct"/>
            <w:tcBorders>
              <w:tl2br w:val="nil"/>
              <w:tr2bl w:val="nil"/>
            </w:tcBorders>
            <w:vAlign w:val="center"/>
          </w:tcPr>
          <w:p w14:paraId="6A276715">
            <w:pPr>
              <w:spacing w:line="300" w:lineRule="exact"/>
              <w:jc w:val="center"/>
              <w:rPr>
                <w:rFonts w:ascii="Times New Roman" w:hAnsi="Times New Roman" w:cs="Times New Roman"/>
                <w:sz w:val="21"/>
                <w:szCs w:val="21"/>
              </w:rPr>
            </w:pPr>
            <w:r>
              <w:rPr>
                <w:rFonts w:ascii="Times New Roman" w:hAnsi="Times New Roman" w:cs="Times New Roman"/>
                <w:sz w:val="21"/>
                <w:szCs w:val="21"/>
              </w:rPr>
              <w:t>浓度限值</w:t>
            </w:r>
            <w:r>
              <w:rPr>
                <w:rFonts w:ascii="Times New Roman" w:hAnsi="Times New Roman" w:cs="Times New Roman"/>
                <w:sz w:val="21"/>
                <w:szCs w:val="21"/>
                <w:lang w:val="en-GB"/>
              </w:rPr>
              <w:t>（</w:t>
            </w:r>
            <w:r>
              <w:rPr>
                <w:rFonts w:ascii="Times New Roman" w:hAnsi="Times New Roman" w:cs="Times New Roman"/>
                <w:sz w:val="21"/>
                <w:szCs w:val="21"/>
              </w:rPr>
              <w:t>μg/m</w:t>
            </w:r>
            <w:r>
              <w:rPr>
                <w:rFonts w:ascii="Times New Roman" w:hAnsi="Times New Roman" w:cs="Times New Roman"/>
                <w:sz w:val="21"/>
                <w:szCs w:val="21"/>
                <w:vertAlign w:val="superscript"/>
              </w:rPr>
              <w:t>3</w:t>
            </w:r>
            <w:r>
              <w:rPr>
                <w:rFonts w:ascii="Times New Roman" w:hAnsi="Times New Roman" w:cs="Times New Roman"/>
                <w:sz w:val="21"/>
                <w:szCs w:val="21"/>
                <w:lang w:val="en-GB"/>
              </w:rPr>
              <w:t>）</w:t>
            </w:r>
          </w:p>
        </w:tc>
        <w:tc>
          <w:tcPr>
            <w:tcW w:w="1648" w:type="pct"/>
            <w:tcBorders>
              <w:tl2br w:val="nil"/>
              <w:tr2bl w:val="nil"/>
            </w:tcBorders>
            <w:vAlign w:val="center"/>
          </w:tcPr>
          <w:p w14:paraId="313C8528">
            <w:pPr>
              <w:spacing w:line="300" w:lineRule="exact"/>
              <w:jc w:val="center"/>
              <w:rPr>
                <w:rFonts w:ascii="Times New Roman" w:hAnsi="Times New Roman" w:cs="Times New Roman"/>
                <w:sz w:val="21"/>
                <w:szCs w:val="21"/>
              </w:rPr>
            </w:pPr>
            <w:r>
              <w:rPr>
                <w:rFonts w:ascii="Times New Roman" w:hAnsi="Times New Roman" w:cs="Times New Roman"/>
                <w:sz w:val="21"/>
                <w:szCs w:val="21"/>
              </w:rPr>
              <w:t>标准来源</w:t>
            </w:r>
          </w:p>
        </w:tc>
      </w:tr>
      <w:tr w14:paraId="327778C1">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97" w:hRule="atLeast"/>
          <w:tblHeader/>
          <w:jc w:val="center"/>
        </w:trPr>
        <w:tc>
          <w:tcPr>
            <w:tcW w:w="971" w:type="pct"/>
            <w:vMerge w:val="restart"/>
            <w:tcBorders>
              <w:tl2br w:val="nil"/>
              <w:tr2bl w:val="nil"/>
            </w:tcBorders>
            <w:vAlign w:val="center"/>
          </w:tcPr>
          <w:p w14:paraId="1DDB539C">
            <w:pPr>
              <w:spacing w:line="300" w:lineRule="exact"/>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p>
        </w:tc>
        <w:tc>
          <w:tcPr>
            <w:tcW w:w="1294" w:type="pct"/>
            <w:tcBorders>
              <w:tl2br w:val="nil"/>
              <w:tr2bl w:val="nil"/>
            </w:tcBorders>
            <w:vAlign w:val="center"/>
          </w:tcPr>
          <w:p w14:paraId="26B2F2EA">
            <w:pPr>
              <w:spacing w:line="300" w:lineRule="exact"/>
              <w:jc w:val="center"/>
              <w:rPr>
                <w:rFonts w:ascii="Times New Roman" w:hAnsi="Times New Roman" w:cs="Times New Roman"/>
                <w:sz w:val="21"/>
                <w:szCs w:val="21"/>
              </w:rPr>
            </w:pPr>
            <w:r>
              <w:rPr>
                <w:rFonts w:ascii="Times New Roman" w:hAnsi="Times New Roman" w:cs="Times New Roman"/>
                <w:sz w:val="21"/>
                <w:szCs w:val="21"/>
              </w:rPr>
              <w:t>年平均</w:t>
            </w:r>
          </w:p>
        </w:tc>
        <w:tc>
          <w:tcPr>
            <w:tcW w:w="1084" w:type="pct"/>
            <w:tcBorders>
              <w:tl2br w:val="nil"/>
              <w:tr2bl w:val="nil"/>
            </w:tcBorders>
            <w:vAlign w:val="center"/>
          </w:tcPr>
          <w:p w14:paraId="0903FC8D">
            <w:pPr>
              <w:spacing w:line="300" w:lineRule="exact"/>
              <w:jc w:val="center"/>
              <w:rPr>
                <w:rFonts w:ascii="Times New Roman" w:hAnsi="Times New Roman" w:cs="Times New Roman"/>
                <w:sz w:val="21"/>
                <w:szCs w:val="21"/>
              </w:rPr>
            </w:pPr>
            <w:r>
              <w:rPr>
                <w:rFonts w:ascii="Times New Roman" w:hAnsi="Times New Roman" w:cs="Times New Roman"/>
                <w:sz w:val="21"/>
                <w:szCs w:val="21"/>
              </w:rPr>
              <w:t>60</w:t>
            </w:r>
          </w:p>
        </w:tc>
        <w:tc>
          <w:tcPr>
            <w:tcW w:w="1648" w:type="pct"/>
            <w:vMerge w:val="restart"/>
            <w:tcBorders>
              <w:tl2br w:val="nil"/>
              <w:tr2bl w:val="nil"/>
            </w:tcBorders>
            <w:vAlign w:val="center"/>
          </w:tcPr>
          <w:p w14:paraId="0F5E6725">
            <w:pPr>
              <w:spacing w:line="300" w:lineRule="exact"/>
              <w:jc w:val="center"/>
              <w:rPr>
                <w:rFonts w:ascii="Times New Roman" w:hAnsi="Times New Roman" w:cs="Times New Roman"/>
                <w:sz w:val="21"/>
                <w:szCs w:val="21"/>
              </w:rPr>
            </w:pPr>
            <w:r>
              <w:rPr>
                <w:rFonts w:ascii="Times New Roman" w:hAnsi="Times New Roman" w:cs="Times New Roman"/>
                <w:sz w:val="21"/>
                <w:szCs w:val="21"/>
              </w:rPr>
              <w:t>《环境空气质量标准》（GB3095-2012）二级标准</w:t>
            </w:r>
          </w:p>
        </w:tc>
      </w:tr>
      <w:tr w14:paraId="1269C3C2">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97" w:hRule="atLeast"/>
          <w:tblHeader/>
          <w:jc w:val="center"/>
        </w:trPr>
        <w:tc>
          <w:tcPr>
            <w:tcW w:w="971" w:type="pct"/>
            <w:vMerge w:val="continue"/>
            <w:tcBorders>
              <w:tl2br w:val="nil"/>
              <w:tr2bl w:val="nil"/>
            </w:tcBorders>
            <w:vAlign w:val="center"/>
          </w:tcPr>
          <w:p w14:paraId="1778B473">
            <w:pPr>
              <w:spacing w:line="300" w:lineRule="exact"/>
              <w:jc w:val="center"/>
              <w:rPr>
                <w:rFonts w:ascii="Times New Roman" w:hAnsi="Times New Roman" w:cs="Times New Roman"/>
                <w:sz w:val="21"/>
                <w:szCs w:val="21"/>
                <w:vertAlign w:val="subscript"/>
              </w:rPr>
            </w:pPr>
          </w:p>
        </w:tc>
        <w:tc>
          <w:tcPr>
            <w:tcW w:w="1294" w:type="pct"/>
            <w:tcBorders>
              <w:tl2br w:val="nil"/>
              <w:tr2bl w:val="nil"/>
            </w:tcBorders>
            <w:vAlign w:val="center"/>
          </w:tcPr>
          <w:p w14:paraId="586D0684">
            <w:pPr>
              <w:spacing w:line="300" w:lineRule="exact"/>
              <w:jc w:val="center"/>
              <w:rPr>
                <w:rFonts w:ascii="Times New Roman" w:hAnsi="Times New Roman" w:cs="Times New Roman"/>
                <w:sz w:val="21"/>
                <w:szCs w:val="21"/>
              </w:rPr>
            </w:pPr>
            <w:r>
              <w:rPr>
                <w:rFonts w:ascii="Times New Roman" w:hAnsi="Times New Roman" w:cs="Times New Roman"/>
                <w:sz w:val="21"/>
                <w:szCs w:val="21"/>
              </w:rPr>
              <w:t>24小时平均</w:t>
            </w:r>
          </w:p>
        </w:tc>
        <w:tc>
          <w:tcPr>
            <w:tcW w:w="1084" w:type="pct"/>
            <w:tcBorders>
              <w:tl2br w:val="nil"/>
              <w:tr2bl w:val="nil"/>
            </w:tcBorders>
            <w:vAlign w:val="center"/>
          </w:tcPr>
          <w:p w14:paraId="63C7C976">
            <w:pPr>
              <w:spacing w:line="300" w:lineRule="exact"/>
              <w:jc w:val="center"/>
              <w:rPr>
                <w:rFonts w:ascii="Times New Roman" w:hAnsi="Times New Roman" w:cs="Times New Roman"/>
                <w:sz w:val="21"/>
                <w:szCs w:val="21"/>
              </w:rPr>
            </w:pPr>
            <w:r>
              <w:rPr>
                <w:rFonts w:ascii="Times New Roman" w:hAnsi="Times New Roman" w:cs="Times New Roman"/>
                <w:sz w:val="21"/>
                <w:szCs w:val="21"/>
              </w:rPr>
              <w:t>150</w:t>
            </w:r>
          </w:p>
        </w:tc>
        <w:tc>
          <w:tcPr>
            <w:tcW w:w="1648" w:type="pct"/>
            <w:vMerge w:val="continue"/>
            <w:tcBorders>
              <w:tl2br w:val="nil"/>
              <w:tr2bl w:val="nil"/>
            </w:tcBorders>
            <w:vAlign w:val="center"/>
          </w:tcPr>
          <w:p w14:paraId="28DF8BF5">
            <w:pPr>
              <w:spacing w:line="300" w:lineRule="exact"/>
              <w:jc w:val="center"/>
              <w:rPr>
                <w:rFonts w:ascii="Times New Roman" w:hAnsi="Times New Roman" w:cs="Times New Roman"/>
                <w:sz w:val="21"/>
                <w:szCs w:val="21"/>
              </w:rPr>
            </w:pPr>
          </w:p>
        </w:tc>
      </w:tr>
      <w:tr w14:paraId="3E50B3E6">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97" w:hRule="atLeast"/>
          <w:tblHeader/>
          <w:jc w:val="center"/>
        </w:trPr>
        <w:tc>
          <w:tcPr>
            <w:tcW w:w="971" w:type="pct"/>
            <w:vMerge w:val="continue"/>
            <w:tcBorders>
              <w:tl2br w:val="nil"/>
              <w:tr2bl w:val="nil"/>
            </w:tcBorders>
            <w:vAlign w:val="center"/>
          </w:tcPr>
          <w:p w14:paraId="099862F5">
            <w:pPr>
              <w:spacing w:line="300" w:lineRule="exact"/>
              <w:jc w:val="center"/>
              <w:rPr>
                <w:rFonts w:ascii="Times New Roman" w:hAnsi="Times New Roman" w:cs="Times New Roman"/>
                <w:sz w:val="21"/>
                <w:szCs w:val="21"/>
                <w:vertAlign w:val="subscript"/>
              </w:rPr>
            </w:pPr>
          </w:p>
        </w:tc>
        <w:tc>
          <w:tcPr>
            <w:tcW w:w="1294" w:type="pct"/>
            <w:tcBorders>
              <w:tl2br w:val="nil"/>
              <w:tr2bl w:val="nil"/>
            </w:tcBorders>
            <w:vAlign w:val="center"/>
          </w:tcPr>
          <w:p w14:paraId="7936C0C3">
            <w:pPr>
              <w:spacing w:line="300" w:lineRule="exact"/>
              <w:jc w:val="center"/>
              <w:rPr>
                <w:rFonts w:ascii="Times New Roman" w:hAnsi="Times New Roman" w:cs="Times New Roman"/>
                <w:sz w:val="21"/>
                <w:szCs w:val="21"/>
              </w:rPr>
            </w:pPr>
            <w:r>
              <w:rPr>
                <w:rFonts w:ascii="Times New Roman" w:hAnsi="Times New Roman" w:cs="Times New Roman"/>
                <w:sz w:val="21"/>
                <w:szCs w:val="21"/>
              </w:rPr>
              <w:t>1小时平均</w:t>
            </w:r>
          </w:p>
        </w:tc>
        <w:tc>
          <w:tcPr>
            <w:tcW w:w="1084" w:type="pct"/>
            <w:tcBorders>
              <w:tl2br w:val="nil"/>
              <w:tr2bl w:val="nil"/>
            </w:tcBorders>
            <w:vAlign w:val="center"/>
          </w:tcPr>
          <w:p w14:paraId="4A78972E">
            <w:pPr>
              <w:spacing w:line="300" w:lineRule="exact"/>
              <w:jc w:val="center"/>
              <w:rPr>
                <w:rFonts w:ascii="Times New Roman" w:hAnsi="Times New Roman" w:cs="Times New Roman"/>
                <w:sz w:val="21"/>
                <w:szCs w:val="21"/>
              </w:rPr>
            </w:pPr>
            <w:r>
              <w:rPr>
                <w:rFonts w:ascii="Times New Roman" w:hAnsi="Times New Roman" w:cs="Times New Roman"/>
                <w:sz w:val="21"/>
                <w:szCs w:val="21"/>
              </w:rPr>
              <w:t>500</w:t>
            </w:r>
          </w:p>
        </w:tc>
        <w:tc>
          <w:tcPr>
            <w:tcW w:w="1648" w:type="pct"/>
            <w:vMerge w:val="continue"/>
            <w:tcBorders>
              <w:tl2br w:val="nil"/>
              <w:tr2bl w:val="nil"/>
            </w:tcBorders>
            <w:vAlign w:val="center"/>
          </w:tcPr>
          <w:p w14:paraId="5834D454">
            <w:pPr>
              <w:spacing w:line="300" w:lineRule="exact"/>
              <w:jc w:val="center"/>
              <w:rPr>
                <w:rFonts w:ascii="Times New Roman" w:hAnsi="Times New Roman" w:cs="Times New Roman"/>
                <w:sz w:val="21"/>
                <w:szCs w:val="21"/>
              </w:rPr>
            </w:pPr>
          </w:p>
        </w:tc>
      </w:tr>
      <w:tr w14:paraId="5B76ED99">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97" w:hRule="atLeast"/>
          <w:tblHeader/>
          <w:jc w:val="center"/>
        </w:trPr>
        <w:tc>
          <w:tcPr>
            <w:tcW w:w="971" w:type="pct"/>
            <w:vMerge w:val="restart"/>
            <w:tcBorders>
              <w:tl2br w:val="nil"/>
              <w:tr2bl w:val="nil"/>
            </w:tcBorders>
            <w:vAlign w:val="center"/>
          </w:tcPr>
          <w:p w14:paraId="4769B507">
            <w:pPr>
              <w:spacing w:line="300" w:lineRule="exact"/>
              <w:jc w:val="center"/>
              <w:rPr>
                <w:rFonts w:ascii="Times New Roman" w:hAnsi="Times New Roman" w:cs="Times New Roman"/>
                <w:sz w:val="21"/>
                <w:szCs w:val="21"/>
                <w:vertAlign w:val="subscript"/>
              </w:rPr>
            </w:pPr>
            <w:r>
              <w:rPr>
                <w:rFonts w:ascii="Times New Roman" w:hAnsi="Times New Roman" w:cs="Times New Roman"/>
                <w:sz w:val="21"/>
                <w:szCs w:val="21"/>
              </w:rPr>
              <w:t>NO</w:t>
            </w:r>
            <w:r>
              <w:rPr>
                <w:rFonts w:ascii="Times New Roman" w:hAnsi="Times New Roman" w:cs="Times New Roman"/>
                <w:sz w:val="21"/>
                <w:szCs w:val="21"/>
                <w:vertAlign w:val="subscript"/>
              </w:rPr>
              <w:t>2</w:t>
            </w:r>
          </w:p>
        </w:tc>
        <w:tc>
          <w:tcPr>
            <w:tcW w:w="1294" w:type="pct"/>
            <w:tcBorders>
              <w:tl2br w:val="nil"/>
              <w:tr2bl w:val="nil"/>
            </w:tcBorders>
            <w:vAlign w:val="center"/>
          </w:tcPr>
          <w:p w14:paraId="534700B9">
            <w:pPr>
              <w:spacing w:line="300" w:lineRule="exact"/>
              <w:jc w:val="center"/>
              <w:rPr>
                <w:rFonts w:ascii="Times New Roman" w:hAnsi="Times New Roman" w:cs="Times New Roman"/>
                <w:sz w:val="21"/>
                <w:szCs w:val="21"/>
              </w:rPr>
            </w:pPr>
            <w:r>
              <w:rPr>
                <w:rFonts w:ascii="Times New Roman" w:hAnsi="Times New Roman" w:cs="Times New Roman"/>
                <w:sz w:val="21"/>
                <w:szCs w:val="21"/>
              </w:rPr>
              <w:t>年平均</w:t>
            </w:r>
          </w:p>
        </w:tc>
        <w:tc>
          <w:tcPr>
            <w:tcW w:w="1084" w:type="pct"/>
            <w:tcBorders>
              <w:tl2br w:val="nil"/>
              <w:tr2bl w:val="nil"/>
            </w:tcBorders>
            <w:vAlign w:val="center"/>
          </w:tcPr>
          <w:p w14:paraId="1A1A5273">
            <w:pPr>
              <w:spacing w:line="300" w:lineRule="exact"/>
              <w:jc w:val="center"/>
              <w:rPr>
                <w:rFonts w:ascii="Times New Roman" w:hAnsi="Times New Roman" w:cs="Times New Roman"/>
                <w:sz w:val="21"/>
                <w:szCs w:val="21"/>
              </w:rPr>
            </w:pPr>
            <w:r>
              <w:rPr>
                <w:rFonts w:ascii="Times New Roman" w:hAnsi="Times New Roman" w:cs="Times New Roman"/>
                <w:sz w:val="21"/>
                <w:szCs w:val="21"/>
              </w:rPr>
              <w:t>40</w:t>
            </w:r>
          </w:p>
        </w:tc>
        <w:tc>
          <w:tcPr>
            <w:tcW w:w="1648" w:type="pct"/>
            <w:vMerge w:val="continue"/>
            <w:tcBorders>
              <w:tl2br w:val="nil"/>
              <w:tr2bl w:val="nil"/>
            </w:tcBorders>
            <w:vAlign w:val="center"/>
          </w:tcPr>
          <w:p w14:paraId="3DE0260E">
            <w:pPr>
              <w:spacing w:line="300" w:lineRule="exact"/>
              <w:jc w:val="center"/>
              <w:rPr>
                <w:rFonts w:ascii="Times New Roman" w:hAnsi="Times New Roman" w:cs="Times New Roman"/>
                <w:sz w:val="21"/>
                <w:szCs w:val="21"/>
              </w:rPr>
            </w:pPr>
          </w:p>
        </w:tc>
      </w:tr>
      <w:tr w14:paraId="45A54A57">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97" w:hRule="atLeast"/>
          <w:tblHeader/>
          <w:jc w:val="center"/>
        </w:trPr>
        <w:tc>
          <w:tcPr>
            <w:tcW w:w="971" w:type="pct"/>
            <w:vMerge w:val="continue"/>
            <w:tcBorders>
              <w:tl2br w:val="nil"/>
              <w:tr2bl w:val="nil"/>
            </w:tcBorders>
            <w:vAlign w:val="center"/>
          </w:tcPr>
          <w:p w14:paraId="6E411976">
            <w:pPr>
              <w:spacing w:line="300" w:lineRule="exact"/>
              <w:jc w:val="center"/>
              <w:rPr>
                <w:rFonts w:ascii="Times New Roman" w:hAnsi="Times New Roman" w:cs="Times New Roman"/>
                <w:sz w:val="21"/>
                <w:szCs w:val="21"/>
                <w:vertAlign w:val="subscript"/>
              </w:rPr>
            </w:pPr>
          </w:p>
        </w:tc>
        <w:tc>
          <w:tcPr>
            <w:tcW w:w="1294" w:type="pct"/>
            <w:tcBorders>
              <w:tl2br w:val="nil"/>
              <w:tr2bl w:val="nil"/>
            </w:tcBorders>
            <w:vAlign w:val="center"/>
          </w:tcPr>
          <w:p w14:paraId="60B51B87">
            <w:pPr>
              <w:spacing w:line="300" w:lineRule="exact"/>
              <w:jc w:val="center"/>
              <w:rPr>
                <w:rFonts w:ascii="Times New Roman" w:hAnsi="Times New Roman" w:cs="Times New Roman"/>
                <w:sz w:val="21"/>
                <w:szCs w:val="21"/>
              </w:rPr>
            </w:pPr>
            <w:r>
              <w:rPr>
                <w:rFonts w:ascii="Times New Roman" w:hAnsi="Times New Roman" w:cs="Times New Roman"/>
                <w:sz w:val="21"/>
                <w:szCs w:val="21"/>
              </w:rPr>
              <w:t>24小时平均</w:t>
            </w:r>
          </w:p>
        </w:tc>
        <w:tc>
          <w:tcPr>
            <w:tcW w:w="1084" w:type="pct"/>
            <w:tcBorders>
              <w:tl2br w:val="nil"/>
              <w:tr2bl w:val="nil"/>
            </w:tcBorders>
            <w:vAlign w:val="center"/>
          </w:tcPr>
          <w:p w14:paraId="6EA10412">
            <w:pPr>
              <w:spacing w:line="300" w:lineRule="exact"/>
              <w:jc w:val="center"/>
              <w:rPr>
                <w:rFonts w:ascii="Times New Roman" w:hAnsi="Times New Roman" w:cs="Times New Roman"/>
                <w:sz w:val="21"/>
                <w:szCs w:val="21"/>
              </w:rPr>
            </w:pPr>
            <w:r>
              <w:rPr>
                <w:rFonts w:ascii="Times New Roman" w:hAnsi="Times New Roman" w:cs="Times New Roman"/>
                <w:sz w:val="21"/>
                <w:szCs w:val="21"/>
              </w:rPr>
              <w:t>80</w:t>
            </w:r>
          </w:p>
        </w:tc>
        <w:tc>
          <w:tcPr>
            <w:tcW w:w="1648" w:type="pct"/>
            <w:vMerge w:val="continue"/>
            <w:tcBorders>
              <w:tl2br w:val="nil"/>
              <w:tr2bl w:val="nil"/>
            </w:tcBorders>
            <w:vAlign w:val="center"/>
          </w:tcPr>
          <w:p w14:paraId="205EA3FE">
            <w:pPr>
              <w:spacing w:line="300" w:lineRule="exact"/>
              <w:jc w:val="center"/>
              <w:rPr>
                <w:rFonts w:ascii="Times New Roman" w:hAnsi="Times New Roman" w:cs="Times New Roman"/>
                <w:sz w:val="21"/>
                <w:szCs w:val="21"/>
              </w:rPr>
            </w:pPr>
          </w:p>
        </w:tc>
      </w:tr>
      <w:tr w14:paraId="16F1BB95">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97" w:hRule="atLeast"/>
          <w:tblHeader/>
          <w:jc w:val="center"/>
        </w:trPr>
        <w:tc>
          <w:tcPr>
            <w:tcW w:w="971" w:type="pct"/>
            <w:vMerge w:val="continue"/>
            <w:tcBorders>
              <w:tl2br w:val="nil"/>
              <w:tr2bl w:val="nil"/>
            </w:tcBorders>
            <w:vAlign w:val="center"/>
          </w:tcPr>
          <w:p w14:paraId="119027E6">
            <w:pPr>
              <w:spacing w:line="300" w:lineRule="exact"/>
              <w:jc w:val="center"/>
              <w:rPr>
                <w:rFonts w:ascii="Times New Roman" w:hAnsi="Times New Roman" w:cs="Times New Roman"/>
                <w:sz w:val="21"/>
                <w:szCs w:val="21"/>
                <w:vertAlign w:val="subscript"/>
              </w:rPr>
            </w:pPr>
          </w:p>
        </w:tc>
        <w:tc>
          <w:tcPr>
            <w:tcW w:w="1294" w:type="pct"/>
            <w:tcBorders>
              <w:tl2br w:val="nil"/>
              <w:tr2bl w:val="nil"/>
            </w:tcBorders>
            <w:vAlign w:val="center"/>
          </w:tcPr>
          <w:p w14:paraId="38E8BA64">
            <w:pPr>
              <w:spacing w:line="300" w:lineRule="exact"/>
              <w:jc w:val="center"/>
              <w:rPr>
                <w:rFonts w:ascii="Times New Roman" w:hAnsi="Times New Roman" w:cs="Times New Roman"/>
                <w:sz w:val="21"/>
                <w:szCs w:val="21"/>
              </w:rPr>
            </w:pPr>
            <w:r>
              <w:rPr>
                <w:rFonts w:ascii="Times New Roman" w:hAnsi="Times New Roman" w:cs="Times New Roman"/>
                <w:sz w:val="21"/>
                <w:szCs w:val="21"/>
              </w:rPr>
              <w:t>1小时平均</w:t>
            </w:r>
          </w:p>
        </w:tc>
        <w:tc>
          <w:tcPr>
            <w:tcW w:w="1084" w:type="pct"/>
            <w:tcBorders>
              <w:tl2br w:val="nil"/>
              <w:tr2bl w:val="nil"/>
            </w:tcBorders>
            <w:vAlign w:val="center"/>
          </w:tcPr>
          <w:p w14:paraId="0A4C415A">
            <w:pPr>
              <w:spacing w:line="300" w:lineRule="exact"/>
              <w:jc w:val="center"/>
              <w:rPr>
                <w:rFonts w:ascii="Times New Roman" w:hAnsi="Times New Roman" w:cs="Times New Roman"/>
                <w:sz w:val="21"/>
                <w:szCs w:val="21"/>
              </w:rPr>
            </w:pPr>
            <w:r>
              <w:rPr>
                <w:rFonts w:ascii="Times New Roman" w:hAnsi="Times New Roman" w:cs="Times New Roman"/>
                <w:sz w:val="21"/>
                <w:szCs w:val="21"/>
              </w:rPr>
              <w:t>200</w:t>
            </w:r>
          </w:p>
        </w:tc>
        <w:tc>
          <w:tcPr>
            <w:tcW w:w="1648" w:type="pct"/>
            <w:vMerge w:val="continue"/>
            <w:tcBorders>
              <w:tl2br w:val="nil"/>
              <w:tr2bl w:val="nil"/>
            </w:tcBorders>
            <w:vAlign w:val="center"/>
          </w:tcPr>
          <w:p w14:paraId="6A21A8BC">
            <w:pPr>
              <w:spacing w:line="300" w:lineRule="exact"/>
              <w:jc w:val="center"/>
              <w:rPr>
                <w:rFonts w:ascii="Times New Roman" w:hAnsi="Times New Roman" w:cs="Times New Roman"/>
                <w:sz w:val="21"/>
                <w:szCs w:val="21"/>
              </w:rPr>
            </w:pPr>
          </w:p>
        </w:tc>
      </w:tr>
      <w:tr w14:paraId="6B36E6AE">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97" w:hRule="atLeast"/>
          <w:tblHeader/>
          <w:jc w:val="center"/>
        </w:trPr>
        <w:tc>
          <w:tcPr>
            <w:tcW w:w="971" w:type="pct"/>
            <w:vMerge w:val="restart"/>
            <w:tcBorders>
              <w:tl2br w:val="nil"/>
              <w:tr2bl w:val="nil"/>
            </w:tcBorders>
            <w:vAlign w:val="center"/>
          </w:tcPr>
          <w:p w14:paraId="409CA91A">
            <w:pPr>
              <w:spacing w:line="300" w:lineRule="exact"/>
              <w:jc w:val="center"/>
              <w:rPr>
                <w:rFonts w:ascii="Times New Roman" w:hAnsi="Times New Roman" w:cs="Times New Roman"/>
                <w:sz w:val="21"/>
                <w:szCs w:val="21"/>
                <w:vertAlign w:val="subscript"/>
              </w:rPr>
            </w:pPr>
            <w:r>
              <w:rPr>
                <w:rFonts w:ascii="Times New Roman" w:hAnsi="Times New Roman"/>
                <w:sz w:val="21"/>
                <w:szCs w:val="21"/>
              </w:rPr>
              <w:t>O</w:t>
            </w:r>
            <w:r>
              <w:rPr>
                <w:rFonts w:ascii="Times New Roman" w:hAnsi="Times New Roman"/>
                <w:sz w:val="21"/>
                <w:szCs w:val="21"/>
                <w:vertAlign w:val="subscript"/>
              </w:rPr>
              <w:t>3</w:t>
            </w:r>
          </w:p>
        </w:tc>
        <w:tc>
          <w:tcPr>
            <w:tcW w:w="1294" w:type="pct"/>
            <w:tcBorders>
              <w:tl2br w:val="nil"/>
              <w:tr2bl w:val="nil"/>
            </w:tcBorders>
            <w:vAlign w:val="center"/>
          </w:tcPr>
          <w:p w14:paraId="473B7016">
            <w:pPr>
              <w:autoSpaceDE w:val="0"/>
              <w:autoSpaceDN w:val="0"/>
              <w:adjustRightInd w:val="0"/>
              <w:spacing w:line="300" w:lineRule="exact"/>
              <w:jc w:val="center"/>
              <w:rPr>
                <w:rFonts w:ascii="Times New Roman" w:hAnsi="Times New Roman"/>
                <w:sz w:val="21"/>
                <w:szCs w:val="21"/>
              </w:rPr>
            </w:pPr>
            <w:r>
              <w:rPr>
                <w:rFonts w:ascii="Times New Roman" w:hAnsi="Times New Roman"/>
                <w:sz w:val="21"/>
                <w:szCs w:val="21"/>
              </w:rPr>
              <w:t>日最大8小时平均</w:t>
            </w:r>
          </w:p>
        </w:tc>
        <w:tc>
          <w:tcPr>
            <w:tcW w:w="1084" w:type="pct"/>
            <w:tcBorders>
              <w:tl2br w:val="nil"/>
              <w:tr2bl w:val="nil"/>
            </w:tcBorders>
            <w:vAlign w:val="center"/>
          </w:tcPr>
          <w:p w14:paraId="5DA04DDA">
            <w:pPr>
              <w:spacing w:line="300" w:lineRule="exact"/>
              <w:jc w:val="center"/>
              <w:rPr>
                <w:rFonts w:ascii="Times New Roman" w:hAnsi="Times New Roman"/>
                <w:sz w:val="21"/>
                <w:szCs w:val="21"/>
              </w:rPr>
            </w:pPr>
            <w:r>
              <w:rPr>
                <w:rFonts w:ascii="Times New Roman" w:hAnsi="Times New Roman"/>
                <w:sz w:val="21"/>
                <w:szCs w:val="21"/>
              </w:rPr>
              <w:t>160</w:t>
            </w:r>
          </w:p>
        </w:tc>
        <w:tc>
          <w:tcPr>
            <w:tcW w:w="1648" w:type="pct"/>
            <w:vMerge w:val="continue"/>
            <w:tcBorders>
              <w:tl2br w:val="nil"/>
              <w:tr2bl w:val="nil"/>
            </w:tcBorders>
            <w:vAlign w:val="center"/>
          </w:tcPr>
          <w:p w14:paraId="2267E96F">
            <w:pPr>
              <w:spacing w:line="300" w:lineRule="exact"/>
              <w:jc w:val="center"/>
              <w:rPr>
                <w:rFonts w:ascii="Times New Roman" w:hAnsi="Times New Roman" w:cs="Times New Roman"/>
                <w:sz w:val="21"/>
                <w:szCs w:val="21"/>
              </w:rPr>
            </w:pPr>
          </w:p>
        </w:tc>
      </w:tr>
      <w:tr w14:paraId="5A8E27DF">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97" w:hRule="atLeast"/>
          <w:tblHeader/>
          <w:jc w:val="center"/>
        </w:trPr>
        <w:tc>
          <w:tcPr>
            <w:tcW w:w="971" w:type="pct"/>
            <w:vMerge w:val="continue"/>
            <w:tcBorders>
              <w:tl2br w:val="nil"/>
              <w:tr2bl w:val="nil"/>
            </w:tcBorders>
            <w:vAlign w:val="center"/>
          </w:tcPr>
          <w:p w14:paraId="5868FF09">
            <w:pPr>
              <w:spacing w:line="300" w:lineRule="exact"/>
              <w:jc w:val="center"/>
              <w:rPr>
                <w:rFonts w:ascii="Times New Roman" w:hAnsi="Times New Roman" w:cs="Times New Roman"/>
                <w:sz w:val="21"/>
                <w:szCs w:val="21"/>
                <w:vertAlign w:val="subscript"/>
              </w:rPr>
            </w:pPr>
          </w:p>
        </w:tc>
        <w:tc>
          <w:tcPr>
            <w:tcW w:w="1294" w:type="pct"/>
            <w:tcBorders>
              <w:tl2br w:val="nil"/>
              <w:tr2bl w:val="nil"/>
            </w:tcBorders>
            <w:vAlign w:val="center"/>
          </w:tcPr>
          <w:p w14:paraId="34669684">
            <w:pPr>
              <w:autoSpaceDE w:val="0"/>
              <w:autoSpaceDN w:val="0"/>
              <w:adjustRightInd w:val="0"/>
              <w:spacing w:line="300" w:lineRule="exact"/>
              <w:jc w:val="center"/>
              <w:rPr>
                <w:rFonts w:ascii="Times New Roman" w:hAnsi="Times New Roman"/>
                <w:sz w:val="21"/>
                <w:szCs w:val="21"/>
              </w:rPr>
            </w:pPr>
            <w:r>
              <w:rPr>
                <w:rFonts w:ascii="Times New Roman" w:hAnsi="Times New Roman"/>
                <w:sz w:val="21"/>
                <w:szCs w:val="21"/>
              </w:rPr>
              <w:t>1小时平均</w:t>
            </w:r>
          </w:p>
        </w:tc>
        <w:tc>
          <w:tcPr>
            <w:tcW w:w="1084" w:type="pct"/>
            <w:tcBorders>
              <w:tl2br w:val="nil"/>
              <w:tr2bl w:val="nil"/>
            </w:tcBorders>
            <w:vAlign w:val="center"/>
          </w:tcPr>
          <w:p w14:paraId="0DEB0DAF">
            <w:pPr>
              <w:spacing w:line="300" w:lineRule="exact"/>
              <w:jc w:val="center"/>
              <w:rPr>
                <w:rFonts w:ascii="Times New Roman" w:hAnsi="Times New Roman"/>
                <w:sz w:val="21"/>
                <w:szCs w:val="21"/>
              </w:rPr>
            </w:pPr>
            <w:r>
              <w:rPr>
                <w:rFonts w:ascii="Times New Roman" w:hAnsi="Times New Roman"/>
                <w:sz w:val="21"/>
                <w:szCs w:val="21"/>
              </w:rPr>
              <w:t>200</w:t>
            </w:r>
          </w:p>
        </w:tc>
        <w:tc>
          <w:tcPr>
            <w:tcW w:w="1648" w:type="pct"/>
            <w:vMerge w:val="continue"/>
            <w:tcBorders>
              <w:tl2br w:val="nil"/>
              <w:tr2bl w:val="nil"/>
            </w:tcBorders>
            <w:vAlign w:val="center"/>
          </w:tcPr>
          <w:p w14:paraId="27715D49">
            <w:pPr>
              <w:spacing w:line="300" w:lineRule="exact"/>
              <w:jc w:val="center"/>
              <w:rPr>
                <w:rFonts w:ascii="Times New Roman" w:hAnsi="Times New Roman" w:cs="Times New Roman"/>
                <w:sz w:val="21"/>
                <w:szCs w:val="21"/>
              </w:rPr>
            </w:pPr>
          </w:p>
        </w:tc>
      </w:tr>
      <w:tr w14:paraId="20717B21">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97" w:hRule="atLeast"/>
          <w:tblHeader/>
          <w:jc w:val="center"/>
        </w:trPr>
        <w:tc>
          <w:tcPr>
            <w:tcW w:w="971" w:type="pct"/>
            <w:vMerge w:val="restart"/>
            <w:tcBorders>
              <w:tl2br w:val="nil"/>
              <w:tr2bl w:val="nil"/>
            </w:tcBorders>
            <w:vAlign w:val="center"/>
          </w:tcPr>
          <w:p w14:paraId="63BCE846">
            <w:pPr>
              <w:spacing w:line="300" w:lineRule="exact"/>
              <w:jc w:val="center"/>
              <w:rPr>
                <w:rFonts w:ascii="Times New Roman" w:hAnsi="Times New Roman" w:cs="Times New Roman"/>
                <w:sz w:val="21"/>
                <w:szCs w:val="21"/>
                <w:vertAlign w:val="subscript"/>
              </w:rPr>
            </w:pPr>
            <w:r>
              <w:rPr>
                <w:rFonts w:ascii="Times New Roman" w:hAnsi="Times New Roman"/>
                <w:sz w:val="21"/>
                <w:szCs w:val="21"/>
              </w:rPr>
              <w:t>CO</w:t>
            </w:r>
          </w:p>
        </w:tc>
        <w:tc>
          <w:tcPr>
            <w:tcW w:w="1294" w:type="pct"/>
            <w:tcBorders>
              <w:tl2br w:val="nil"/>
              <w:tr2bl w:val="nil"/>
            </w:tcBorders>
            <w:vAlign w:val="center"/>
          </w:tcPr>
          <w:p w14:paraId="31103693">
            <w:pPr>
              <w:spacing w:line="300" w:lineRule="exact"/>
              <w:jc w:val="center"/>
              <w:rPr>
                <w:rFonts w:ascii="Times New Roman" w:hAnsi="Times New Roman"/>
                <w:sz w:val="21"/>
                <w:szCs w:val="21"/>
              </w:rPr>
            </w:pPr>
            <w:r>
              <w:rPr>
                <w:rFonts w:ascii="Times New Roman" w:hAnsi="Times New Roman"/>
                <w:sz w:val="21"/>
                <w:szCs w:val="21"/>
              </w:rPr>
              <w:t>24小时平均</w:t>
            </w:r>
          </w:p>
        </w:tc>
        <w:tc>
          <w:tcPr>
            <w:tcW w:w="1084" w:type="pct"/>
            <w:tcBorders>
              <w:tl2br w:val="nil"/>
              <w:tr2bl w:val="nil"/>
            </w:tcBorders>
            <w:vAlign w:val="center"/>
          </w:tcPr>
          <w:p w14:paraId="78C4EABB">
            <w:pPr>
              <w:spacing w:line="300" w:lineRule="exact"/>
              <w:jc w:val="center"/>
              <w:rPr>
                <w:rFonts w:ascii="Times New Roman" w:hAnsi="Times New Roman"/>
                <w:sz w:val="21"/>
                <w:szCs w:val="21"/>
              </w:rPr>
            </w:pPr>
            <w:r>
              <w:rPr>
                <w:rFonts w:ascii="Times New Roman" w:hAnsi="Times New Roman"/>
                <w:sz w:val="21"/>
                <w:szCs w:val="21"/>
              </w:rPr>
              <w:t>4000</w:t>
            </w:r>
          </w:p>
        </w:tc>
        <w:tc>
          <w:tcPr>
            <w:tcW w:w="1648" w:type="pct"/>
            <w:vMerge w:val="continue"/>
            <w:tcBorders>
              <w:tl2br w:val="nil"/>
              <w:tr2bl w:val="nil"/>
            </w:tcBorders>
            <w:vAlign w:val="center"/>
          </w:tcPr>
          <w:p w14:paraId="32576D58">
            <w:pPr>
              <w:spacing w:line="300" w:lineRule="exact"/>
              <w:jc w:val="center"/>
              <w:rPr>
                <w:rFonts w:ascii="Times New Roman" w:hAnsi="Times New Roman" w:cs="Times New Roman"/>
                <w:sz w:val="21"/>
                <w:szCs w:val="21"/>
              </w:rPr>
            </w:pPr>
          </w:p>
        </w:tc>
      </w:tr>
      <w:tr w14:paraId="2F6DB317">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97" w:hRule="atLeast"/>
          <w:tblHeader/>
          <w:jc w:val="center"/>
        </w:trPr>
        <w:tc>
          <w:tcPr>
            <w:tcW w:w="971" w:type="pct"/>
            <w:vMerge w:val="continue"/>
            <w:tcBorders>
              <w:tl2br w:val="nil"/>
              <w:tr2bl w:val="nil"/>
            </w:tcBorders>
            <w:vAlign w:val="center"/>
          </w:tcPr>
          <w:p w14:paraId="695E6C5D">
            <w:pPr>
              <w:spacing w:line="300" w:lineRule="exact"/>
              <w:jc w:val="center"/>
              <w:rPr>
                <w:rFonts w:ascii="Times New Roman" w:hAnsi="Times New Roman" w:cs="Times New Roman"/>
                <w:sz w:val="21"/>
                <w:szCs w:val="21"/>
                <w:vertAlign w:val="subscript"/>
              </w:rPr>
            </w:pPr>
          </w:p>
        </w:tc>
        <w:tc>
          <w:tcPr>
            <w:tcW w:w="1294" w:type="pct"/>
            <w:tcBorders>
              <w:tl2br w:val="nil"/>
              <w:tr2bl w:val="nil"/>
            </w:tcBorders>
            <w:vAlign w:val="center"/>
          </w:tcPr>
          <w:p w14:paraId="0CF711B2">
            <w:pPr>
              <w:spacing w:line="300" w:lineRule="exact"/>
              <w:jc w:val="center"/>
              <w:rPr>
                <w:rFonts w:ascii="Times New Roman" w:hAnsi="Times New Roman"/>
                <w:sz w:val="21"/>
                <w:szCs w:val="21"/>
              </w:rPr>
            </w:pPr>
            <w:r>
              <w:rPr>
                <w:rFonts w:ascii="Times New Roman" w:hAnsi="Times New Roman"/>
                <w:sz w:val="21"/>
                <w:szCs w:val="21"/>
              </w:rPr>
              <w:t>1小时平均</w:t>
            </w:r>
          </w:p>
        </w:tc>
        <w:tc>
          <w:tcPr>
            <w:tcW w:w="1084" w:type="pct"/>
            <w:tcBorders>
              <w:tl2br w:val="nil"/>
              <w:tr2bl w:val="nil"/>
            </w:tcBorders>
            <w:vAlign w:val="center"/>
          </w:tcPr>
          <w:p w14:paraId="4CAA7421">
            <w:pPr>
              <w:spacing w:line="300" w:lineRule="exact"/>
              <w:jc w:val="center"/>
              <w:rPr>
                <w:rFonts w:ascii="Times New Roman" w:hAnsi="Times New Roman"/>
                <w:sz w:val="21"/>
                <w:szCs w:val="21"/>
              </w:rPr>
            </w:pPr>
            <w:r>
              <w:rPr>
                <w:rFonts w:ascii="Times New Roman" w:hAnsi="Times New Roman"/>
                <w:sz w:val="21"/>
                <w:szCs w:val="21"/>
              </w:rPr>
              <w:t>10000</w:t>
            </w:r>
          </w:p>
        </w:tc>
        <w:tc>
          <w:tcPr>
            <w:tcW w:w="1648" w:type="pct"/>
            <w:vMerge w:val="continue"/>
            <w:tcBorders>
              <w:tl2br w:val="nil"/>
              <w:tr2bl w:val="nil"/>
            </w:tcBorders>
            <w:vAlign w:val="center"/>
          </w:tcPr>
          <w:p w14:paraId="1598C3B2">
            <w:pPr>
              <w:spacing w:line="300" w:lineRule="exact"/>
              <w:jc w:val="center"/>
              <w:rPr>
                <w:rFonts w:ascii="Times New Roman" w:hAnsi="Times New Roman" w:cs="Times New Roman"/>
                <w:sz w:val="21"/>
                <w:szCs w:val="21"/>
              </w:rPr>
            </w:pPr>
          </w:p>
        </w:tc>
      </w:tr>
      <w:tr w14:paraId="092CC31F">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97" w:hRule="atLeast"/>
          <w:tblHeader/>
          <w:jc w:val="center"/>
        </w:trPr>
        <w:tc>
          <w:tcPr>
            <w:tcW w:w="971" w:type="pct"/>
            <w:vMerge w:val="restart"/>
            <w:tcBorders>
              <w:tl2br w:val="nil"/>
              <w:tr2bl w:val="nil"/>
            </w:tcBorders>
            <w:vAlign w:val="center"/>
          </w:tcPr>
          <w:p w14:paraId="774414DC">
            <w:pPr>
              <w:spacing w:line="300" w:lineRule="exact"/>
              <w:jc w:val="center"/>
              <w:rPr>
                <w:rFonts w:ascii="Times New Roman" w:hAnsi="Times New Roman" w:cs="Times New Roman"/>
                <w:sz w:val="21"/>
                <w:szCs w:val="21"/>
                <w:vertAlign w:val="subscript"/>
              </w:rPr>
            </w:pPr>
            <w:r>
              <w:rPr>
                <w:rFonts w:ascii="Times New Roman" w:hAnsi="Times New Roman"/>
                <w:sz w:val="21"/>
                <w:szCs w:val="21"/>
              </w:rPr>
              <w:t>PM</w:t>
            </w:r>
            <w:r>
              <w:rPr>
                <w:rFonts w:ascii="Times New Roman" w:hAnsi="Times New Roman"/>
                <w:sz w:val="21"/>
                <w:szCs w:val="21"/>
                <w:vertAlign w:val="subscript"/>
              </w:rPr>
              <w:t>2.5</w:t>
            </w:r>
          </w:p>
        </w:tc>
        <w:tc>
          <w:tcPr>
            <w:tcW w:w="1294" w:type="pct"/>
            <w:tcBorders>
              <w:tl2br w:val="nil"/>
              <w:tr2bl w:val="nil"/>
            </w:tcBorders>
            <w:vAlign w:val="center"/>
          </w:tcPr>
          <w:p w14:paraId="3CF2E1C0">
            <w:pPr>
              <w:spacing w:line="300" w:lineRule="exact"/>
              <w:jc w:val="center"/>
              <w:rPr>
                <w:rFonts w:ascii="Times New Roman" w:hAnsi="Times New Roman"/>
                <w:sz w:val="21"/>
                <w:szCs w:val="18"/>
              </w:rPr>
            </w:pPr>
            <w:r>
              <w:rPr>
                <w:rFonts w:ascii="Times New Roman" w:hAnsi="Times New Roman"/>
                <w:sz w:val="21"/>
                <w:szCs w:val="18"/>
              </w:rPr>
              <w:t>年平均</w:t>
            </w:r>
          </w:p>
        </w:tc>
        <w:tc>
          <w:tcPr>
            <w:tcW w:w="1084" w:type="pct"/>
            <w:tcBorders>
              <w:tl2br w:val="nil"/>
              <w:tr2bl w:val="nil"/>
            </w:tcBorders>
            <w:vAlign w:val="center"/>
          </w:tcPr>
          <w:p w14:paraId="40EE9121">
            <w:pPr>
              <w:spacing w:line="300" w:lineRule="exact"/>
              <w:jc w:val="center"/>
              <w:rPr>
                <w:rFonts w:ascii="Times New Roman" w:hAnsi="Times New Roman"/>
                <w:sz w:val="21"/>
                <w:szCs w:val="18"/>
              </w:rPr>
            </w:pPr>
            <w:r>
              <w:rPr>
                <w:rFonts w:ascii="Times New Roman" w:hAnsi="Times New Roman"/>
                <w:sz w:val="21"/>
                <w:szCs w:val="18"/>
              </w:rPr>
              <w:t>35</w:t>
            </w:r>
          </w:p>
        </w:tc>
        <w:tc>
          <w:tcPr>
            <w:tcW w:w="1648" w:type="pct"/>
            <w:vMerge w:val="continue"/>
            <w:tcBorders>
              <w:tl2br w:val="nil"/>
              <w:tr2bl w:val="nil"/>
            </w:tcBorders>
            <w:vAlign w:val="center"/>
          </w:tcPr>
          <w:p w14:paraId="6A92C0A0">
            <w:pPr>
              <w:spacing w:line="300" w:lineRule="exact"/>
              <w:jc w:val="center"/>
              <w:rPr>
                <w:rFonts w:ascii="Times New Roman" w:hAnsi="Times New Roman" w:cs="Times New Roman"/>
                <w:sz w:val="21"/>
                <w:szCs w:val="21"/>
              </w:rPr>
            </w:pPr>
          </w:p>
        </w:tc>
      </w:tr>
      <w:tr w14:paraId="6817341F">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97" w:hRule="atLeast"/>
          <w:tblHeader/>
          <w:jc w:val="center"/>
        </w:trPr>
        <w:tc>
          <w:tcPr>
            <w:tcW w:w="971" w:type="pct"/>
            <w:vMerge w:val="continue"/>
            <w:tcBorders>
              <w:tl2br w:val="nil"/>
              <w:tr2bl w:val="nil"/>
            </w:tcBorders>
            <w:vAlign w:val="center"/>
          </w:tcPr>
          <w:p w14:paraId="04DB8D5F">
            <w:pPr>
              <w:spacing w:line="300" w:lineRule="exact"/>
              <w:jc w:val="center"/>
              <w:rPr>
                <w:rFonts w:ascii="Times New Roman" w:hAnsi="Times New Roman" w:cs="Times New Roman"/>
                <w:sz w:val="21"/>
                <w:szCs w:val="21"/>
                <w:vertAlign w:val="subscript"/>
              </w:rPr>
            </w:pPr>
          </w:p>
        </w:tc>
        <w:tc>
          <w:tcPr>
            <w:tcW w:w="1294" w:type="pct"/>
            <w:tcBorders>
              <w:tl2br w:val="nil"/>
              <w:tr2bl w:val="nil"/>
            </w:tcBorders>
            <w:vAlign w:val="center"/>
          </w:tcPr>
          <w:p w14:paraId="335E763E">
            <w:pPr>
              <w:spacing w:line="300" w:lineRule="exact"/>
              <w:jc w:val="center"/>
              <w:rPr>
                <w:rFonts w:ascii="Times New Roman" w:hAnsi="Times New Roman"/>
                <w:sz w:val="21"/>
                <w:szCs w:val="18"/>
              </w:rPr>
            </w:pPr>
            <w:r>
              <w:rPr>
                <w:rFonts w:ascii="Times New Roman" w:hAnsi="Times New Roman"/>
                <w:sz w:val="21"/>
                <w:szCs w:val="18"/>
              </w:rPr>
              <w:t>24小时平均</w:t>
            </w:r>
          </w:p>
        </w:tc>
        <w:tc>
          <w:tcPr>
            <w:tcW w:w="1084" w:type="pct"/>
            <w:tcBorders>
              <w:tl2br w:val="nil"/>
              <w:tr2bl w:val="nil"/>
            </w:tcBorders>
            <w:vAlign w:val="center"/>
          </w:tcPr>
          <w:p w14:paraId="1FA870E6">
            <w:pPr>
              <w:spacing w:line="300" w:lineRule="exact"/>
              <w:jc w:val="center"/>
              <w:rPr>
                <w:rFonts w:ascii="Times New Roman" w:hAnsi="Times New Roman"/>
                <w:sz w:val="21"/>
                <w:szCs w:val="18"/>
              </w:rPr>
            </w:pPr>
            <w:r>
              <w:rPr>
                <w:rFonts w:ascii="Times New Roman" w:hAnsi="Times New Roman"/>
                <w:sz w:val="21"/>
                <w:szCs w:val="18"/>
              </w:rPr>
              <w:t>75</w:t>
            </w:r>
          </w:p>
        </w:tc>
        <w:tc>
          <w:tcPr>
            <w:tcW w:w="1648" w:type="pct"/>
            <w:vMerge w:val="continue"/>
            <w:tcBorders>
              <w:tl2br w:val="nil"/>
              <w:tr2bl w:val="nil"/>
            </w:tcBorders>
            <w:vAlign w:val="center"/>
          </w:tcPr>
          <w:p w14:paraId="7A428E64">
            <w:pPr>
              <w:spacing w:line="300" w:lineRule="exact"/>
              <w:jc w:val="center"/>
              <w:rPr>
                <w:rFonts w:ascii="Times New Roman" w:hAnsi="Times New Roman" w:cs="Times New Roman"/>
                <w:sz w:val="21"/>
                <w:szCs w:val="21"/>
              </w:rPr>
            </w:pPr>
          </w:p>
        </w:tc>
      </w:tr>
      <w:tr w14:paraId="25049727">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97" w:hRule="atLeast"/>
          <w:tblHeader/>
          <w:jc w:val="center"/>
        </w:trPr>
        <w:tc>
          <w:tcPr>
            <w:tcW w:w="971" w:type="pct"/>
            <w:vMerge w:val="restart"/>
            <w:tcBorders>
              <w:tl2br w:val="nil"/>
              <w:tr2bl w:val="nil"/>
            </w:tcBorders>
            <w:vAlign w:val="center"/>
          </w:tcPr>
          <w:p w14:paraId="5343C16A">
            <w:pPr>
              <w:spacing w:line="300" w:lineRule="exact"/>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10</w:t>
            </w:r>
          </w:p>
        </w:tc>
        <w:tc>
          <w:tcPr>
            <w:tcW w:w="1294" w:type="pct"/>
            <w:tcBorders>
              <w:tl2br w:val="nil"/>
              <w:tr2bl w:val="nil"/>
            </w:tcBorders>
            <w:vAlign w:val="center"/>
          </w:tcPr>
          <w:p w14:paraId="48567F26">
            <w:pPr>
              <w:spacing w:line="300" w:lineRule="exact"/>
              <w:jc w:val="center"/>
              <w:rPr>
                <w:rFonts w:ascii="Times New Roman" w:hAnsi="Times New Roman" w:cs="Times New Roman"/>
                <w:sz w:val="21"/>
                <w:szCs w:val="21"/>
              </w:rPr>
            </w:pPr>
            <w:r>
              <w:rPr>
                <w:rFonts w:ascii="Times New Roman" w:hAnsi="Times New Roman" w:cs="Times New Roman"/>
                <w:sz w:val="21"/>
                <w:szCs w:val="21"/>
              </w:rPr>
              <w:t>年平均</w:t>
            </w:r>
          </w:p>
        </w:tc>
        <w:tc>
          <w:tcPr>
            <w:tcW w:w="1084" w:type="pct"/>
            <w:tcBorders>
              <w:tl2br w:val="nil"/>
              <w:tr2bl w:val="nil"/>
            </w:tcBorders>
            <w:vAlign w:val="center"/>
          </w:tcPr>
          <w:p w14:paraId="2ECDEC99">
            <w:pPr>
              <w:spacing w:line="300" w:lineRule="exact"/>
              <w:jc w:val="center"/>
              <w:rPr>
                <w:rFonts w:ascii="Times New Roman" w:hAnsi="Times New Roman" w:cs="Times New Roman"/>
                <w:sz w:val="21"/>
                <w:szCs w:val="21"/>
              </w:rPr>
            </w:pPr>
            <w:r>
              <w:rPr>
                <w:rFonts w:ascii="Times New Roman" w:hAnsi="Times New Roman" w:cs="Times New Roman"/>
                <w:sz w:val="21"/>
                <w:szCs w:val="21"/>
              </w:rPr>
              <w:t>70</w:t>
            </w:r>
          </w:p>
        </w:tc>
        <w:tc>
          <w:tcPr>
            <w:tcW w:w="1648" w:type="pct"/>
            <w:vMerge w:val="continue"/>
            <w:tcBorders>
              <w:tl2br w:val="nil"/>
              <w:tr2bl w:val="nil"/>
            </w:tcBorders>
            <w:vAlign w:val="center"/>
          </w:tcPr>
          <w:p w14:paraId="1D5A2A9D">
            <w:pPr>
              <w:spacing w:line="300" w:lineRule="exact"/>
              <w:jc w:val="center"/>
              <w:rPr>
                <w:rFonts w:ascii="Times New Roman" w:hAnsi="Times New Roman" w:cs="Times New Roman"/>
                <w:sz w:val="21"/>
                <w:szCs w:val="21"/>
              </w:rPr>
            </w:pPr>
          </w:p>
        </w:tc>
      </w:tr>
      <w:tr w14:paraId="3EF00332">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97" w:hRule="atLeast"/>
          <w:tblHeader/>
          <w:jc w:val="center"/>
        </w:trPr>
        <w:tc>
          <w:tcPr>
            <w:tcW w:w="971" w:type="pct"/>
            <w:vMerge w:val="continue"/>
            <w:tcBorders>
              <w:tl2br w:val="nil"/>
              <w:tr2bl w:val="nil"/>
            </w:tcBorders>
            <w:vAlign w:val="center"/>
          </w:tcPr>
          <w:p w14:paraId="4823ECF1">
            <w:pPr>
              <w:spacing w:line="300" w:lineRule="exact"/>
              <w:jc w:val="center"/>
              <w:rPr>
                <w:rFonts w:ascii="Times New Roman" w:hAnsi="Times New Roman" w:cs="Times New Roman"/>
                <w:sz w:val="21"/>
                <w:szCs w:val="21"/>
                <w:vertAlign w:val="subscript"/>
              </w:rPr>
            </w:pPr>
          </w:p>
        </w:tc>
        <w:tc>
          <w:tcPr>
            <w:tcW w:w="1294" w:type="pct"/>
            <w:tcBorders>
              <w:tl2br w:val="nil"/>
              <w:tr2bl w:val="nil"/>
            </w:tcBorders>
            <w:vAlign w:val="center"/>
          </w:tcPr>
          <w:p w14:paraId="60DB3EAA">
            <w:pPr>
              <w:spacing w:line="300" w:lineRule="exact"/>
              <w:jc w:val="center"/>
              <w:rPr>
                <w:rFonts w:ascii="Times New Roman" w:hAnsi="Times New Roman" w:cs="Times New Roman"/>
                <w:sz w:val="21"/>
                <w:szCs w:val="21"/>
              </w:rPr>
            </w:pPr>
            <w:r>
              <w:rPr>
                <w:rFonts w:ascii="Times New Roman" w:hAnsi="Times New Roman" w:cs="Times New Roman"/>
                <w:sz w:val="21"/>
                <w:szCs w:val="21"/>
              </w:rPr>
              <w:t>24小时平均</w:t>
            </w:r>
          </w:p>
        </w:tc>
        <w:tc>
          <w:tcPr>
            <w:tcW w:w="1084" w:type="pct"/>
            <w:tcBorders>
              <w:tl2br w:val="nil"/>
              <w:tr2bl w:val="nil"/>
            </w:tcBorders>
            <w:vAlign w:val="center"/>
          </w:tcPr>
          <w:p w14:paraId="5F99422E">
            <w:pPr>
              <w:spacing w:line="300" w:lineRule="exact"/>
              <w:jc w:val="center"/>
              <w:rPr>
                <w:rFonts w:ascii="Times New Roman" w:hAnsi="Times New Roman" w:cs="Times New Roman"/>
                <w:sz w:val="21"/>
                <w:szCs w:val="21"/>
              </w:rPr>
            </w:pPr>
            <w:r>
              <w:rPr>
                <w:rFonts w:ascii="Times New Roman" w:hAnsi="Times New Roman" w:cs="Times New Roman"/>
                <w:sz w:val="21"/>
                <w:szCs w:val="21"/>
              </w:rPr>
              <w:t>150</w:t>
            </w:r>
          </w:p>
        </w:tc>
        <w:tc>
          <w:tcPr>
            <w:tcW w:w="1648" w:type="pct"/>
            <w:vMerge w:val="continue"/>
            <w:tcBorders>
              <w:tl2br w:val="nil"/>
              <w:tr2bl w:val="nil"/>
            </w:tcBorders>
            <w:vAlign w:val="center"/>
          </w:tcPr>
          <w:p w14:paraId="0D992D64">
            <w:pPr>
              <w:spacing w:line="300" w:lineRule="exact"/>
              <w:jc w:val="center"/>
              <w:rPr>
                <w:rFonts w:ascii="Times New Roman" w:hAnsi="Times New Roman" w:cs="Times New Roman"/>
                <w:sz w:val="21"/>
                <w:szCs w:val="21"/>
              </w:rPr>
            </w:pPr>
          </w:p>
        </w:tc>
      </w:tr>
      <w:tr w14:paraId="28C43CDD">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97" w:hRule="atLeast"/>
          <w:tblHeader/>
          <w:jc w:val="center"/>
        </w:trPr>
        <w:tc>
          <w:tcPr>
            <w:tcW w:w="971" w:type="pct"/>
            <w:tcBorders>
              <w:tl2br w:val="nil"/>
              <w:tr2bl w:val="nil"/>
            </w:tcBorders>
            <w:vAlign w:val="center"/>
          </w:tcPr>
          <w:p w14:paraId="74E77AD2">
            <w:pPr>
              <w:pStyle w:val="27"/>
              <w:spacing w:before="0" w:after="0" w:line="300" w:lineRule="exact"/>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氨</w:t>
            </w:r>
          </w:p>
        </w:tc>
        <w:tc>
          <w:tcPr>
            <w:tcW w:w="1294" w:type="pct"/>
            <w:tcBorders>
              <w:tl2br w:val="nil"/>
              <w:tr2bl w:val="nil"/>
            </w:tcBorders>
            <w:vAlign w:val="center"/>
          </w:tcPr>
          <w:p w14:paraId="43F58CBE">
            <w:pPr>
              <w:spacing w:line="300" w:lineRule="exact"/>
              <w:jc w:val="center"/>
              <w:rPr>
                <w:rFonts w:ascii="Times New Roman" w:hAnsi="Times New Roman" w:eastAsia="宋体" w:cs="Times New Roman"/>
                <w:sz w:val="21"/>
                <w:szCs w:val="21"/>
              </w:rPr>
            </w:pPr>
            <w:r>
              <w:rPr>
                <w:rFonts w:ascii="Times New Roman" w:hAnsi="Times New Roman"/>
                <w:sz w:val="21"/>
                <w:szCs w:val="21"/>
              </w:rPr>
              <w:t>1小时平均</w:t>
            </w:r>
          </w:p>
        </w:tc>
        <w:tc>
          <w:tcPr>
            <w:tcW w:w="1084" w:type="pct"/>
            <w:tcBorders>
              <w:tl2br w:val="nil"/>
              <w:tr2bl w:val="nil"/>
            </w:tcBorders>
            <w:vAlign w:val="center"/>
          </w:tcPr>
          <w:p w14:paraId="431FBE8C">
            <w:pPr>
              <w:spacing w:line="300" w:lineRule="exact"/>
              <w:jc w:val="center"/>
              <w:rPr>
                <w:rFonts w:ascii="Times New Roman" w:hAnsi="Times New Roman" w:eastAsia="宋体" w:cs="Times New Roman"/>
                <w:sz w:val="21"/>
                <w:szCs w:val="21"/>
              </w:rPr>
            </w:pPr>
            <w:r>
              <w:rPr>
                <w:rFonts w:hint="eastAsia" w:ascii="Times New Roman" w:hAnsi="Times New Roman" w:cs="Times New Roman"/>
                <w:sz w:val="21"/>
                <w:szCs w:val="21"/>
              </w:rPr>
              <w:t>200</w:t>
            </w:r>
          </w:p>
        </w:tc>
        <w:tc>
          <w:tcPr>
            <w:tcW w:w="1648" w:type="pct"/>
            <w:vMerge w:val="restart"/>
            <w:tcBorders>
              <w:tl2br w:val="nil"/>
              <w:tr2bl w:val="nil"/>
            </w:tcBorders>
            <w:vAlign w:val="center"/>
          </w:tcPr>
          <w:p w14:paraId="05262152">
            <w:pPr>
              <w:spacing w:line="300" w:lineRule="exact"/>
              <w:jc w:val="center"/>
              <w:rPr>
                <w:rFonts w:ascii="Times New Roman" w:hAnsi="Times New Roman" w:cs="Times New Roman"/>
                <w:sz w:val="21"/>
                <w:szCs w:val="21"/>
              </w:rPr>
            </w:pPr>
            <w:r>
              <w:rPr>
                <w:rFonts w:ascii="Times New Roman" w:hAnsi="Times New Roman"/>
                <w:sz w:val="21"/>
                <w:szCs w:val="21"/>
              </w:rPr>
              <w:t>《环境影响评价技术导则 大气环境》（HJ2.2-2018）附录D</w:t>
            </w:r>
          </w:p>
        </w:tc>
      </w:tr>
      <w:tr w14:paraId="5772A9E1">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97" w:hRule="atLeast"/>
          <w:tblHeader/>
          <w:jc w:val="center"/>
        </w:trPr>
        <w:tc>
          <w:tcPr>
            <w:tcW w:w="971" w:type="pct"/>
            <w:tcBorders>
              <w:tl2br w:val="nil"/>
              <w:tr2bl w:val="nil"/>
            </w:tcBorders>
            <w:vAlign w:val="center"/>
          </w:tcPr>
          <w:p w14:paraId="2B8F0EA2">
            <w:pPr>
              <w:spacing w:line="300" w:lineRule="exact"/>
              <w:jc w:val="center"/>
              <w:rPr>
                <w:rFonts w:ascii="Times New Roman" w:hAnsi="Times New Roman" w:cs="Times New Roman"/>
                <w:sz w:val="21"/>
                <w:szCs w:val="21"/>
              </w:rPr>
            </w:pPr>
            <w:r>
              <w:rPr>
                <w:rFonts w:ascii="Times New Roman" w:hAnsi="Times New Roman" w:cs="Times New Roman"/>
                <w:sz w:val="21"/>
                <w:szCs w:val="21"/>
              </w:rPr>
              <w:t>硫化氢</w:t>
            </w:r>
          </w:p>
        </w:tc>
        <w:tc>
          <w:tcPr>
            <w:tcW w:w="1294" w:type="pct"/>
            <w:tcBorders>
              <w:tl2br w:val="nil"/>
              <w:tr2bl w:val="nil"/>
            </w:tcBorders>
            <w:vAlign w:val="center"/>
          </w:tcPr>
          <w:p w14:paraId="15C85FF8">
            <w:pPr>
              <w:spacing w:line="300" w:lineRule="exact"/>
              <w:jc w:val="center"/>
              <w:rPr>
                <w:rFonts w:ascii="Times New Roman" w:hAnsi="Times New Roman" w:cs="Times New Roman"/>
                <w:sz w:val="21"/>
                <w:szCs w:val="21"/>
              </w:rPr>
            </w:pPr>
            <w:r>
              <w:rPr>
                <w:rFonts w:ascii="Times New Roman" w:hAnsi="Times New Roman"/>
                <w:sz w:val="21"/>
                <w:szCs w:val="21"/>
              </w:rPr>
              <w:t>1小时平均</w:t>
            </w:r>
          </w:p>
        </w:tc>
        <w:tc>
          <w:tcPr>
            <w:tcW w:w="1084" w:type="pct"/>
            <w:tcBorders>
              <w:tl2br w:val="nil"/>
              <w:tr2bl w:val="nil"/>
            </w:tcBorders>
            <w:vAlign w:val="center"/>
          </w:tcPr>
          <w:p w14:paraId="3488478A">
            <w:pPr>
              <w:spacing w:line="300" w:lineRule="exact"/>
              <w:jc w:val="center"/>
              <w:rPr>
                <w:rFonts w:ascii="Times New Roman" w:hAnsi="Times New Roman" w:eastAsia="宋体" w:cs="Times New Roman"/>
                <w:sz w:val="21"/>
                <w:szCs w:val="21"/>
              </w:rPr>
            </w:pPr>
            <w:r>
              <w:rPr>
                <w:rFonts w:hint="eastAsia" w:ascii="Times New Roman" w:hAnsi="Times New Roman" w:cs="Times New Roman"/>
                <w:sz w:val="21"/>
                <w:szCs w:val="21"/>
              </w:rPr>
              <w:t>10</w:t>
            </w:r>
          </w:p>
        </w:tc>
        <w:tc>
          <w:tcPr>
            <w:tcW w:w="1648" w:type="pct"/>
            <w:vMerge w:val="continue"/>
            <w:tcBorders>
              <w:tl2br w:val="nil"/>
              <w:tr2bl w:val="nil"/>
            </w:tcBorders>
            <w:vAlign w:val="center"/>
          </w:tcPr>
          <w:p w14:paraId="7552D5CE">
            <w:pPr>
              <w:spacing w:line="300" w:lineRule="exact"/>
              <w:jc w:val="center"/>
              <w:rPr>
                <w:rFonts w:ascii="Times New Roman" w:hAnsi="Times New Roman" w:cs="Times New Roman"/>
                <w:sz w:val="21"/>
                <w:szCs w:val="21"/>
              </w:rPr>
            </w:pPr>
          </w:p>
        </w:tc>
      </w:tr>
    </w:tbl>
    <w:p w14:paraId="7F59A73C">
      <w:pPr>
        <w:pStyle w:val="8"/>
        <w:spacing w:line="460" w:lineRule="exact"/>
      </w:pPr>
      <w:r>
        <w:rPr>
          <w:rFonts w:hint="eastAsia"/>
        </w:rPr>
        <w:t>2</w:t>
      </w:r>
      <w:r>
        <w:t>.</w:t>
      </w:r>
      <w:r>
        <w:rPr>
          <w:rFonts w:hint="eastAsia"/>
        </w:rPr>
        <w:t>4.1</w:t>
      </w:r>
      <w:r>
        <w:t>.</w:t>
      </w:r>
      <w:r>
        <w:rPr>
          <w:rFonts w:hint="eastAsia"/>
        </w:rPr>
        <w:t>2</w:t>
      </w:r>
      <w:r>
        <w:t xml:space="preserve"> </w:t>
      </w:r>
      <w:r>
        <w:rPr>
          <w:rFonts w:hint="eastAsia"/>
        </w:rPr>
        <w:t>地表水环境质量标准</w:t>
      </w:r>
    </w:p>
    <w:p w14:paraId="6B808ED8">
      <w:pPr>
        <w:spacing w:line="460" w:lineRule="exact"/>
        <w:ind w:firstLine="480" w:firstLineChars="200"/>
      </w:pPr>
      <w:r>
        <w:rPr>
          <w:rFonts w:hint="eastAsia"/>
        </w:rPr>
        <w:t>项目所在地附近的功能水体为颜倪</w:t>
      </w:r>
      <w:r>
        <w:t>河</w:t>
      </w:r>
      <w:r>
        <w:rPr>
          <w:rFonts w:hint="eastAsia"/>
        </w:rPr>
        <w:t>，根据《江苏省地表水（环境）功能区划（2021-2030年）》，颜倪河水环境质量执行《地表水环境质量标准》（GB3838-2002）Ⅲ类标准。具体详见表2.4-2。</w:t>
      </w:r>
    </w:p>
    <w:p w14:paraId="1CC19287">
      <w:pPr>
        <w:pStyle w:val="31"/>
        <w:spacing w:before="0" w:line="460" w:lineRule="exact"/>
      </w:pPr>
      <w:r>
        <w:rPr>
          <w:rFonts w:hint="eastAsia"/>
        </w:rPr>
        <w:t>表</w:t>
      </w:r>
      <w:r>
        <w:t>2.</w:t>
      </w:r>
      <w:r>
        <w:rPr>
          <w:rFonts w:hint="eastAsia"/>
        </w:rPr>
        <w:t>4-2</w:t>
      </w:r>
      <w:r>
        <w:t xml:space="preserve">  </w:t>
      </w:r>
      <w:r>
        <w:rPr>
          <w:rFonts w:hint="eastAsia"/>
        </w:rPr>
        <w:t>地表水环境质量标准</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7"/>
        <w:gridCol w:w="3096"/>
      </w:tblGrid>
      <w:tr w14:paraId="56793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Align w:val="center"/>
          </w:tcPr>
          <w:p w14:paraId="568C788F">
            <w:pPr>
              <w:pStyle w:val="61"/>
              <w:spacing w:line="300" w:lineRule="exact"/>
              <w:rPr>
                <w:szCs w:val="21"/>
              </w:rPr>
            </w:pPr>
            <w:r>
              <w:rPr>
                <w:rFonts w:hint="eastAsia"/>
              </w:rPr>
              <w:t>污染物名称</w:t>
            </w:r>
          </w:p>
        </w:tc>
        <w:tc>
          <w:tcPr>
            <w:tcW w:w="1667" w:type="pct"/>
            <w:vAlign w:val="center"/>
          </w:tcPr>
          <w:p w14:paraId="02F01ADC">
            <w:pPr>
              <w:pStyle w:val="61"/>
              <w:spacing w:line="300" w:lineRule="exact"/>
              <w:rPr>
                <w:szCs w:val="21"/>
              </w:rPr>
            </w:pPr>
            <w:r>
              <w:rPr>
                <w:rFonts w:hint="eastAsia"/>
              </w:rPr>
              <w:t>Ⅲ类</w:t>
            </w:r>
          </w:p>
        </w:tc>
        <w:tc>
          <w:tcPr>
            <w:tcW w:w="1666" w:type="pct"/>
            <w:vAlign w:val="center"/>
          </w:tcPr>
          <w:p w14:paraId="095F9E2F">
            <w:pPr>
              <w:pStyle w:val="61"/>
              <w:spacing w:line="300" w:lineRule="exact"/>
              <w:rPr>
                <w:szCs w:val="21"/>
              </w:rPr>
            </w:pPr>
            <w:r>
              <w:rPr>
                <w:rFonts w:hint="eastAsia"/>
                <w:szCs w:val="21"/>
              </w:rPr>
              <w:t>标准来源</w:t>
            </w:r>
          </w:p>
        </w:tc>
      </w:tr>
      <w:tr w14:paraId="617B0A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6" w:type="pct"/>
            <w:vAlign w:val="center"/>
          </w:tcPr>
          <w:p w14:paraId="2F7EC9B3">
            <w:pPr>
              <w:pStyle w:val="61"/>
              <w:spacing w:line="300" w:lineRule="exact"/>
              <w:rPr>
                <w:szCs w:val="21"/>
              </w:rPr>
            </w:pPr>
            <w:r>
              <w:t>pH</w:t>
            </w:r>
            <w:r>
              <w:rPr>
                <w:rFonts w:hint="eastAsia"/>
              </w:rPr>
              <w:t>（无量纲）</w:t>
            </w:r>
          </w:p>
        </w:tc>
        <w:tc>
          <w:tcPr>
            <w:tcW w:w="1667" w:type="pct"/>
            <w:vAlign w:val="center"/>
          </w:tcPr>
          <w:p w14:paraId="3DC52B26">
            <w:pPr>
              <w:pStyle w:val="61"/>
              <w:spacing w:line="300" w:lineRule="exact"/>
              <w:rPr>
                <w:szCs w:val="21"/>
              </w:rPr>
            </w:pPr>
            <w:r>
              <w:rPr>
                <w:rFonts w:hint="eastAsia"/>
                <w:szCs w:val="21"/>
              </w:rPr>
              <w:t>6～9</w:t>
            </w:r>
          </w:p>
        </w:tc>
        <w:tc>
          <w:tcPr>
            <w:tcW w:w="1666" w:type="pct"/>
            <w:vMerge w:val="restart"/>
            <w:vAlign w:val="center"/>
          </w:tcPr>
          <w:p w14:paraId="4B84C657">
            <w:pPr>
              <w:pStyle w:val="61"/>
              <w:spacing w:line="300" w:lineRule="exact"/>
              <w:rPr>
                <w:szCs w:val="21"/>
              </w:rPr>
            </w:pPr>
            <w:r>
              <w:rPr>
                <w:rFonts w:hint="eastAsia"/>
                <w:szCs w:val="21"/>
              </w:rPr>
              <w:t>《地表水环境质量标准》（GB3838-2002）</w:t>
            </w:r>
          </w:p>
        </w:tc>
      </w:tr>
      <w:tr w14:paraId="16997D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6" w:type="pct"/>
            <w:vAlign w:val="center"/>
          </w:tcPr>
          <w:p w14:paraId="65151EBA">
            <w:pPr>
              <w:pStyle w:val="61"/>
              <w:spacing w:line="300" w:lineRule="exact"/>
            </w:pPr>
            <w:r>
              <w:rPr>
                <w:rFonts w:hint="eastAsia"/>
              </w:rPr>
              <w:t>溶解氧</w:t>
            </w:r>
          </w:p>
        </w:tc>
        <w:tc>
          <w:tcPr>
            <w:tcW w:w="1667" w:type="pct"/>
            <w:vAlign w:val="center"/>
          </w:tcPr>
          <w:p w14:paraId="572F3BE4">
            <w:pPr>
              <w:pStyle w:val="61"/>
              <w:spacing w:line="300" w:lineRule="exact"/>
              <w:rPr>
                <w:szCs w:val="21"/>
              </w:rPr>
            </w:pPr>
            <w:r>
              <w:rPr>
                <w:rFonts w:hint="eastAsia" w:ascii="宋体" w:hAnsi="宋体" w:cs="宋体"/>
                <w:szCs w:val="21"/>
              </w:rPr>
              <w:t>≥</w:t>
            </w:r>
            <w:r>
              <w:rPr>
                <w:szCs w:val="21"/>
              </w:rPr>
              <w:t>5</w:t>
            </w:r>
          </w:p>
        </w:tc>
        <w:tc>
          <w:tcPr>
            <w:tcW w:w="1666" w:type="pct"/>
            <w:vMerge w:val="continue"/>
            <w:vAlign w:val="center"/>
          </w:tcPr>
          <w:p w14:paraId="177DE7C7">
            <w:pPr>
              <w:pStyle w:val="61"/>
              <w:spacing w:line="300" w:lineRule="exact"/>
              <w:rPr>
                <w:szCs w:val="21"/>
              </w:rPr>
            </w:pPr>
          </w:p>
        </w:tc>
      </w:tr>
      <w:tr w14:paraId="3CB917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6" w:type="pct"/>
            <w:vAlign w:val="center"/>
          </w:tcPr>
          <w:p w14:paraId="69EAAF66">
            <w:pPr>
              <w:pStyle w:val="61"/>
              <w:spacing w:line="300" w:lineRule="exact"/>
              <w:rPr>
                <w:szCs w:val="21"/>
              </w:rPr>
            </w:pPr>
            <w:r>
              <w:rPr>
                <w:rFonts w:hint="eastAsia"/>
              </w:rPr>
              <w:t>化学需氧量（mg/L）</w:t>
            </w:r>
          </w:p>
        </w:tc>
        <w:tc>
          <w:tcPr>
            <w:tcW w:w="1667" w:type="pct"/>
            <w:vAlign w:val="center"/>
          </w:tcPr>
          <w:p w14:paraId="0526447F">
            <w:pPr>
              <w:pStyle w:val="61"/>
              <w:spacing w:line="300" w:lineRule="exact"/>
              <w:rPr>
                <w:szCs w:val="21"/>
              </w:rPr>
            </w:pPr>
            <w:r>
              <w:rPr>
                <w:rFonts w:asciiTheme="minorEastAsia" w:hAnsiTheme="minorEastAsia"/>
              </w:rPr>
              <w:t>≤</w:t>
            </w:r>
            <w:r>
              <w:t>20</w:t>
            </w:r>
          </w:p>
        </w:tc>
        <w:tc>
          <w:tcPr>
            <w:tcW w:w="1666" w:type="pct"/>
            <w:vMerge w:val="continue"/>
            <w:vAlign w:val="center"/>
          </w:tcPr>
          <w:p w14:paraId="6D564C7B">
            <w:pPr>
              <w:pStyle w:val="61"/>
              <w:spacing w:line="300" w:lineRule="exact"/>
              <w:rPr>
                <w:szCs w:val="21"/>
              </w:rPr>
            </w:pPr>
          </w:p>
        </w:tc>
      </w:tr>
      <w:tr w14:paraId="341B26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6" w:type="pct"/>
            <w:vAlign w:val="center"/>
          </w:tcPr>
          <w:p w14:paraId="502D002A">
            <w:pPr>
              <w:pStyle w:val="61"/>
              <w:spacing w:line="300" w:lineRule="exact"/>
            </w:pPr>
            <w:r>
              <w:rPr>
                <w:rFonts w:hint="eastAsia"/>
              </w:rPr>
              <w:t>五日生化需氧量（mg/L）</w:t>
            </w:r>
          </w:p>
        </w:tc>
        <w:tc>
          <w:tcPr>
            <w:tcW w:w="1667" w:type="pct"/>
            <w:vAlign w:val="center"/>
          </w:tcPr>
          <w:p w14:paraId="61FE3124">
            <w:pPr>
              <w:pStyle w:val="61"/>
              <w:spacing w:line="300" w:lineRule="exact"/>
              <w:rPr>
                <w:rFonts w:asciiTheme="minorEastAsia" w:hAnsiTheme="minorEastAsia"/>
              </w:rPr>
            </w:pPr>
            <w:r>
              <w:rPr>
                <w:rFonts w:asciiTheme="minorEastAsia" w:hAnsiTheme="minorEastAsia"/>
              </w:rPr>
              <w:t>≤</w:t>
            </w:r>
            <w:r>
              <w:t>4</w:t>
            </w:r>
          </w:p>
        </w:tc>
        <w:tc>
          <w:tcPr>
            <w:tcW w:w="1666" w:type="pct"/>
            <w:vMerge w:val="continue"/>
            <w:vAlign w:val="center"/>
          </w:tcPr>
          <w:p w14:paraId="220278FE">
            <w:pPr>
              <w:pStyle w:val="61"/>
              <w:spacing w:line="300" w:lineRule="exact"/>
              <w:rPr>
                <w:szCs w:val="21"/>
              </w:rPr>
            </w:pPr>
          </w:p>
        </w:tc>
      </w:tr>
      <w:tr w14:paraId="54D986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6" w:type="pct"/>
            <w:vAlign w:val="center"/>
          </w:tcPr>
          <w:p w14:paraId="61CF261F">
            <w:pPr>
              <w:pStyle w:val="61"/>
              <w:spacing w:line="300" w:lineRule="exact"/>
              <w:rPr>
                <w:szCs w:val="21"/>
              </w:rPr>
            </w:pPr>
            <w:r>
              <w:rPr>
                <w:rFonts w:hint="eastAsia"/>
              </w:rPr>
              <w:t>总磷（mg/L）</w:t>
            </w:r>
          </w:p>
        </w:tc>
        <w:tc>
          <w:tcPr>
            <w:tcW w:w="1667" w:type="pct"/>
            <w:vAlign w:val="center"/>
          </w:tcPr>
          <w:p w14:paraId="73CA9F2A">
            <w:pPr>
              <w:pStyle w:val="61"/>
              <w:spacing w:line="300" w:lineRule="exact"/>
              <w:rPr>
                <w:szCs w:val="21"/>
              </w:rPr>
            </w:pPr>
            <w:r>
              <w:rPr>
                <w:rFonts w:asciiTheme="minorEastAsia" w:hAnsiTheme="minorEastAsia"/>
              </w:rPr>
              <w:t>≤</w:t>
            </w:r>
            <w:r>
              <w:t>0.2</w:t>
            </w:r>
          </w:p>
        </w:tc>
        <w:tc>
          <w:tcPr>
            <w:tcW w:w="1666" w:type="pct"/>
            <w:vMerge w:val="continue"/>
            <w:vAlign w:val="center"/>
          </w:tcPr>
          <w:p w14:paraId="55CFC087">
            <w:pPr>
              <w:pStyle w:val="61"/>
              <w:spacing w:line="300" w:lineRule="exact"/>
              <w:rPr>
                <w:szCs w:val="21"/>
              </w:rPr>
            </w:pPr>
          </w:p>
        </w:tc>
      </w:tr>
      <w:tr w14:paraId="25A9F5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6" w:type="pct"/>
            <w:vAlign w:val="center"/>
          </w:tcPr>
          <w:p w14:paraId="0AEAF97D">
            <w:pPr>
              <w:pStyle w:val="61"/>
              <w:spacing w:line="300" w:lineRule="exact"/>
            </w:pPr>
            <w:r>
              <w:rPr>
                <w:rFonts w:hint="eastAsia"/>
              </w:rPr>
              <w:t>氨氮（mg/L）</w:t>
            </w:r>
          </w:p>
        </w:tc>
        <w:tc>
          <w:tcPr>
            <w:tcW w:w="1667" w:type="pct"/>
            <w:vAlign w:val="center"/>
          </w:tcPr>
          <w:p w14:paraId="73626718">
            <w:pPr>
              <w:pStyle w:val="61"/>
              <w:spacing w:line="300" w:lineRule="exact"/>
              <w:rPr>
                <w:rFonts w:asciiTheme="minorEastAsia" w:hAnsiTheme="minorEastAsia"/>
              </w:rPr>
            </w:pPr>
            <w:r>
              <w:rPr>
                <w:rFonts w:asciiTheme="minorEastAsia" w:hAnsiTheme="minorEastAsia"/>
              </w:rPr>
              <w:t>≤</w:t>
            </w:r>
            <w:r>
              <w:t>1.0</w:t>
            </w:r>
          </w:p>
        </w:tc>
        <w:tc>
          <w:tcPr>
            <w:tcW w:w="1666" w:type="pct"/>
            <w:vMerge w:val="continue"/>
            <w:vAlign w:val="center"/>
          </w:tcPr>
          <w:p w14:paraId="69D135B4">
            <w:pPr>
              <w:pStyle w:val="61"/>
              <w:spacing w:line="300" w:lineRule="exact"/>
              <w:rPr>
                <w:szCs w:val="21"/>
              </w:rPr>
            </w:pPr>
          </w:p>
        </w:tc>
      </w:tr>
      <w:tr w14:paraId="700939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66" w:type="pct"/>
            <w:vAlign w:val="center"/>
          </w:tcPr>
          <w:p w14:paraId="34E82708">
            <w:pPr>
              <w:pStyle w:val="61"/>
              <w:spacing w:line="300" w:lineRule="exact"/>
              <w:rPr>
                <w:szCs w:val="21"/>
              </w:rPr>
            </w:pPr>
            <w:r>
              <w:rPr>
                <w:rFonts w:hint="eastAsia"/>
                <w:szCs w:val="21"/>
              </w:rPr>
              <w:t>粪大肠菌群</w:t>
            </w:r>
            <w:r>
              <w:rPr>
                <w:rFonts w:hint="eastAsia"/>
              </w:rPr>
              <w:t>（个/</w:t>
            </w:r>
            <w:r>
              <w:t>L</w:t>
            </w:r>
            <w:r>
              <w:rPr>
                <w:rFonts w:hint="eastAsia"/>
              </w:rPr>
              <w:t>）</w:t>
            </w:r>
          </w:p>
        </w:tc>
        <w:tc>
          <w:tcPr>
            <w:tcW w:w="1667" w:type="pct"/>
            <w:vAlign w:val="center"/>
          </w:tcPr>
          <w:p w14:paraId="39F1D120">
            <w:pPr>
              <w:pStyle w:val="61"/>
              <w:spacing w:line="300" w:lineRule="exact"/>
              <w:rPr>
                <w:szCs w:val="21"/>
              </w:rPr>
            </w:pPr>
            <w:r>
              <w:rPr>
                <w:rFonts w:asciiTheme="minorEastAsia" w:hAnsiTheme="minorEastAsia"/>
              </w:rPr>
              <w:t>≤</w:t>
            </w:r>
            <w:r>
              <w:t>10000</w:t>
            </w:r>
          </w:p>
        </w:tc>
        <w:tc>
          <w:tcPr>
            <w:tcW w:w="1666" w:type="pct"/>
            <w:vMerge w:val="continue"/>
            <w:vAlign w:val="center"/>
          </w:tcPr>
          <w:p w14:paraId="2BD7B509">
            <w:pPr>
              <w:pStyle w:val="61"/>
              <w:spacing w:line="300" w:lineRule="exact"/>
              <w:rPr>
                <w:szCs w:val="21"/>
              </w:rPr>
            </w:pPr>
          </w:p>
        </w:tc>
      </w:tr>
    </w:tbl>
    <w:p w14:paraId="11E91645">
      <w:pPr>
        <w:pStyle w:val="8"/>
        <w:spacing w:line="480" w:lineRule="exact"/>
      </w:pPr>
      <w:r>
        <w:rPr>
          <w:rFonts w:hint="eastAsia"/>
        </w:rPr>
        <w:t>2</w:t>
      </w:r>
      <w:r>
        <w:t>.</w:t>
      </w:r>
      <w:r>
        <w:rPr>
          <w:rFonts w:hint="eastAsia"/>
        </w:rPr>
        <w:t>4.1</w:t>
      </w:r>
      <w:r>
        <w:t>.</w:t>
      </w:r>
      <w:r>
        <w:rPr>
          <w:rFonts w:hint="eastAsia"/>
        </w:rPr>
        <w:t>3</w:t>
      </w:r>
      <w:r>
        <w:t xml:space="preserve"> </w:t>
      </w:r>
      <w:r>
        <w:rPr>
          <w:rFonts w:hint="eastAsia"/>
        </w:rPr>
        <w:t>地下水环境质量标准</w:t>
      </w:r>
    </w:p>
    <w:p w14:paraId="3B2DF127">
      <w:pPr>
        <w:spacing w:line="480" w:lineRule="exact"/>
        <w:ind w:firstLine="480" w:firstLineChars="200"/>
      </w:pPr>
      <w:r>
        <w:rPr>
          <w:rFonts w:hint="eastAsia"/>
        </w:rPr>
        <w:t>项目周边地下水环境质量执行《地下水质量标准》（GB/T14848-2017）标准。具体见表2.4-3。</w:t>
      </w:r>
    </w:p>
    <w:p w14:paraId="6C630C13">
      <w:pPr>
        <w:pStyle w:val="31"/>
        <w:spacing w:before="0" w:line="480" w:lineRule="exact"/>
      </w:pPr>
      <w:r>
        <w:rPr>
          <w:rFonts w:hint="eastAsia"/>
        </w:rPr>
        <w:t>表</w:t>
      </w:r>
      <w:r>
        <w:t>2.</w:t>
      </w:r>
      <w:r>
        <w:rPr>
          <w:rFonts w:hint="eastAsia"/>
        </w:rPr>
        <w:t>4-3</w:t>
      </w:r>
      <w:r>
        <w:t xml:space="preserve"> </w:t>
      </w:r>
      <w:r>
        <w:rPr>
          <w:rFonts w:hint="eastAsia"/>
        </w:rPr>
        <w:t>地下水环境质量标准</w:t>
      </w:r>
    </w:p>
    <w:tbl>
      <w:tblPr>
        <w:tblStyle w:val="4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33"/>
        <w:gridCol w:w="1211"/>
        <w:gridCol w:w="1211"/>
        <w:gridCol w:w="1211"/>
        <w:gridCol w:w="1362"/>
        <w:gridCol w:w="1356"/>
      </w:tblGrid>
      <w:tr w14:paraId="60360F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3D546C97">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项目</w:t>
            </w:r>
          </w:p>
        </w:tc>
        <w:tc>
          <w:tcPr>
            <w:tcW w:w="652" w:type="pct"/>
            <w:tcBorders>
              <w:tl2br w:val="nil"/>
              <w:tr2bl w:val="nil"/>
            </w:tcBorders>
            <w:vAlign w:val="center"/>
          </w:tcPr>
          <w:p w14:paraId="6AC14C08">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Ⅰ类</w:t>
            </w:r>
          </w:p>
        </w:tc>
        <w:tc>
          <w:tcPr>
            <w:tcW w:w="652" w:type="pct"/>
            <w:tcBorders>
              <w:tl2br w:val="nil"/>
              <w:tr2bl w:val="nil"/>
            </w:tcBorders>
            <w:vAlign w:val="center"/>
          </w:tcPr>
          <w:p w14:paraId="3D569469">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Ⅱ类</w:t>
            </w:r>
          </w:p>
        </w:tc>
        <w:tc>
          <w:tcPr>
            <w:tcW w:w="652" w:type="pct"/>
            <w:tcBorders>
              <w:tl2br w:val="nil"/>
              <w:tr2bl w:val="nil"/>
            </w:tcBorders>
            <w:vAlign w:val="center"/>
          </w:tcPr>
          <w:p w14:paraId="1D33509F">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Ⅲ类</w:t>
            </w:r>
          </w:p>
        </w:tc>
        <w:tc>
          <w:tcPr>
            <w:tcW w:w="733" w:type="pct"/>
            <w:tcBorders>
              <w:tl2br w:val="nil"/>
              <w:tr2bl w:val="nil"/>
            </w:tcBorders>
            <w:vAlign w:val="center"/>
          </w:tcPr>
          <w:p w14:paraId="45AFC2D8">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Ⅳ类</w:t>
            </w:r>
          </w:p>
        </w:tc>
        <w:tc>
          <w:tcPr>
            <w:tcW w:w="730" w:type="pct"/>
            <w:tcBorders>
              <w:tl2br w:val="nil"/>
              <w:tr2bl w:val="nil"/>
            </w:tcBorders>
            <w:vAlign w:val="center"/>
          </w:tcPr>
          <w:p w14:paraId="7C0AD123">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Ⅴ类</w:t>
            </w:r>
          </w:p>
        </w:tc>
      </w:tr>
      <w:tr w14:paraId="5AD9DE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4E7BA32C">
            <w:pPr>
              <w:pStyle w:val="88"/>
              <w:spacing w:before="0" w:after="0" w:line="300" w:lineRule="exact"/>
              <w:rPr>
                <w:rFonts w:ascii="Times New Roman" w:hAnsi="Times New Roman" w:eastAsia="宋体" w:cs="Times New Roman"/>
                <w:bCs/>
                <w:sz w:val="21"/>
                <w:szCs w:val="21"/>
              </w:rPr>
            </w:pPr>
            <w:r>
              <w:rPr>
                <w:rFonts w:ascii="Times New Roman" w:hAnsi="Times New Roman" w:eastAsia="宋体" w:cs="Times New Roman"/>
                <w:bCs/>
                <w:sz w:val="21"/>
                <w:szCs w:val="21"/>
              </w:rPr>
              <w:t>pH</w:t>
            </w:r>
          </w:p>
        </w:tc>
        <w:tc>
          <w:tcPr>
            <w:tcW w:w="1956" w:type="pct"/>
            <w:gridSpan w:val="3"/>
            <w:tcBorders>
              <w:tl2br w:val="nil"/>
              <w:tr2bl w:val="nil"/>
            </w:tcBorders>
            <w:vAlign w:val="center"/>
          </w:tcPr>
          <w:p w14:paraId="50D81096">
            <w:pPr>
              <w:pStyle w:val="88"/>
              <w:spacing w:before="0" w:after="0" w:line="300" w:lineRule="exact"/>
              <w:rPr>
                <w:rFonts w:ascii="Times New Roman" w:hAnsi="Times New Roman" w:eastAsia="宋体" w:cs="Times New Roman"/>
                <w:bCs/>
                <w:sz w:val="21"/>
                <w:szCs w:val="21"/>
              </w:rPr>
            </w:pPr>
            <w:r>
              <w:rPr>
                <w:rFonts w:ascii="Times New Roman" w:hAnsi="Times New Roman" w:eastAsia="宋体" w:cs="Times New Roman"/>
                <w:bCs/>
                <w:sz w:val="21"/>
                <w:szCs w:val="21"/>
              </w:rPr>
              <w:t>6.5≤pH≤8.5</w:t>
            </w:r>
          </w:p>
        </w:tc>
        <w:tc>
          <w:tcPr>
            <w:tcW w:w="733" w:type="pct"/>
            <w:tcBorders>
              <w:tl2br w:val="nil"/>
              <w:tr2bl w:val="nil"/>
            </w:tcBorders>
            <w:vAlign w:val="center"/>
          </w:tcPr>
          <w:p w14:paraId="280ED785">
            <w:pPr>
              <w:pStyle w:val="88"/>
              <w:spacing w:before="0" w:after="0" w:line="300" w:lineRule="exact"/>
              <w:rPr>
                <w:rFonts w:ascii="Times New Roman" w:hAnsi="Times New Roman" w:eastAsia="宋体" w:cs="Times New Roman"/>
                <w:bCs/>
                <w:sz w:val="21"/>
                <w:szCs w:val="21"/>
              </w:rPr>
            </w:pPr>
            <w:r>
              <w:rPr>
                <w:rFonts w:ascii="Times New Roman" w:hAnsi="Times New Roman" w:eastAsia="宋体" w:cs="Times New Roman"/>
                <w:bCs/>
                <w:sz w:val="21"/>
                <w:szCs w:val="21"/>
              </w:rPr>
              <w:t>5.5≤pH≤6.5</w:t>
            </w:r>
          </w:p>
          <w:p w14:paraId="526A303D">
            <w:pPr>
              <w:pStyle w:val="88"/>
              <w:spacing w:before="0" w:after="0" w:line="300" w:lineRule="exact"/>
              <w:rPr>
                <w:rFonts w:ascii="Times New Roman" w:hAnsi="Times New Roman" w:eastAsia="宋体" w:cs="Times New Roman"/>
                <w:bCs/>
                <w:sz w:val="21"/>
                <w:szCs w:val="21"/>
              </w:rPr>
            </w:pPr>
            <w:r>
              <w:rPr>
                <w:rFonts w:ascii="Times New Roman" w:hAnsi="Times New Roman" w:eastAsia="宋体" w:cs="Times New Roman"/>
                <w:bCs/>
                <w:sz w:val="21"/>
                <w:szCs w:val="21"/>
              </w:rPr>
              <w:t>8.5≤pH≤9</w:t>
            </w:r>
          </w:p>
        </w:tc>
        <w:tc>
          <w:tcPr>
            <w:tcW w:w="730" w:type="pct"/>
            <w:tcBorders>
              <w:tl2br w:val="nil"/>
              <w:tr2bl w:val="nil"/>
            </w:tcBorders>
            <w:vAlign w:val="center"/>
          </w:tcPr>
          <w:p w14:paraId="6C53C8F1">
            <w:pPr>
              <w:pStyle w:val="88"/>
              <w:spacing w:before="0" w:after="0" w:line="300" w:lineRule="exact"/>
              <w:rPr>
                <w:rFonts w:ascii="Times New Roman" w:hAnsi="Times New Roman" w:eastAsia="宋体" w:cs="Times New Roman"/>
                <w:bCs/>
                <w:sz w:val="21"/>
                <w:szCs w:val="21"/>
              </w:rPr>
            </w:pPr>
            <w:r>
              <w:rPr>
                <w:rFonts w:ascii="Times New Roman" w:hAnsi="Times New Roman" w:eastAsia="宋体" w:cs="Times New Roman"/>
                <w:bCs/>
                <w:sz w:val="21"/>
                <w:szCs w:val="21"/>
              </w:rPr>
              <w:t>pH＜5.5或pH＞9</w:t>
            </w:r>
          </w:p>
        </w:tc>
      </w:tr>
      <w:tr w14:paraId="227F94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1BDCBCAA">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氨氮（以N计）</w:t>
            </w:r>
          </w:p>
        </w:tc>
        <w:tc>
          <w:tcPr>
            <w:tcW w:w="652" w:type="pct"/>
            <w:tcBorders>
              <w:tl2br w:val="nil"/>
              <w:tr2bl w:val="nil"/>
            </w:tcBorders>
            <w:vAlign w:val="center"/>
          </w:tcPr>
          <w:p w14:paraId="0BAD0311">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≤0.02</w:t>
            </w:r>
          </w:p>
        </w:tc>
        <w:tc>
          <w:tcPr>
            <w:tcW w:w="652" w:type="pct"/>
            <w:tcBorders>
              <w:tl2br w:val="nil"/>
              <w:tr2bl w:val="nil"/>
            </w:tcBorders>
            <w:vAlign w:val="center"/>
          </w:tcPr>
          <w:p w14:paraId="4A859739">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≤0.1</w:t>
            </w:r>
          </w:p>
        </w:tc>
        <w:tc>
          <w:tcPr>
            <w:tcW w:w="652" w:type="pct"/>
            <w:tcBorders>
              <w:tl2br w:val="nil"/>
              <w:tr2bl w:val="nil"/>
            </w:tcBorders>
            <w:vAlign w:val="center"/>
          </w:tcPr>
          <w:p w14:paraId="3B80B925">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≤0.5</w:t>
            </w:r>
          </w:p>
        </w:tc>
        <w:tc>
          <w:tcPr>
            <w:tcW w:w="733" w:type="pct"/>
            <w:tcBorders>
              <w:tl2br w:val="nil"/>
              <w:tr2bl w:val="nil"/>
            </w:tcBorders>
            <w:vAlign w:val="center"/>
          </w:tcPr>
          <w:p w14:paraId="4ABAB2F5">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w:t>
            </w:r>
          </w:p>
        </w:tc>
        <w:tc>
          <w:tcPr>
            <w:tcW w:w="730" w:type="pct"/>
            <w:tcBorders>
              <w:tl2br w:val="nil"/>
              <w:tr2bl w:val="nil"/>
            </w:tcBorders>
            <w:vAlign w:val="center"/>
          </w:tcPr>
          <w:p w14:paraId="22D96E02">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w:t>
            </w:r>
          </w:p>
        </w:tc>
      </w:tr>
      <w:tr w14:paraId="22117F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3B93CD96">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总硬度（以CaCO</w:t>
            </w:r>
            <w:r>
              <w:rPr>
                <w:rFonts w:ascii="Times New Roman" w:hAnsi="Times New Roman" w:eastAsia="宋体" w:cs="Times New Roman"/>
                <w:color w:val="000000"/>
                <w:sz w:val="21"/>
                <w:szCs w:val="21"/>
                <w:vertAlign w:val="subscript"/>
              </w:rPr>
              <w:t>3</w:t>
            </w:r>
            <w:r>
              <w:rPr>
                <w:rFonts w:ascii="Times New Roman" w:hAnsi="Times New Roman" w:eastAsia="宋体" w:cs="Times New Roman"/>
                <w:color w:val="000000"/>
                <w:sz w:val="21"/>
                <w:szCs w:val="21"/>
              </w:rPr>
              <w:t>计）</w:t>
            </w:r>
          </w:p>
        </w:tc>
        <w:tc>
          <w:tcPr>
            <w:tcW w:w="652" w:type="pct"/>
            <w:tcBorders>
              <w:tl2br w:val="nil"/>
              <w:tr2bl w:val="nil"/>
            </w:tcBorders>
            <w:vAlign w:val="center"/>
          </w:tcPr>
          <w:p w14:paraId="350B719D">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≤150</w:t>
            </w:r>
          </w:p>
        </w:tc>
        <w:tc>
          <w:tcPr>
            <w:tcW w:w="652" w:type="pct"/>
            <w:tcBorders>
              <w:tl2br w:val="nil"/>
              <w:tr2bl w:val="nil"/>
            </w:tcBorders>
            <w:vAlign w:val="center"/>
          </w:tcPr>
          <w:p w14:paraId="69136030">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≤300</w:t>
            </w:r>
          </w:p>
        </w:tc>
        <w:tc>
          <w:tcPr>
            <w:tcW w:w="652" w:type="pct"/>
            <w:tcBorders>
              <w:tl2br w:val="nil"/>
              <w:tr2bl w:val="nil"/>
            </w:tcBorders>
            <w:vAlign w:val="center"/>
          </w:tcPr>
          <w:p w14:paraId="77387F3A">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≤450</w:t>
            </w:r>
          </w:p>
        </w:tc>
        <w:tc>
          <w:tcPr>
            <w:tcW w:w="733" w:type="pct"/>
            <w:tcBorders>
              <w:tl2br w:val="nil"/>
              <w:tr2bl w:val="nil"/>
            </w:tcBorders>
            <w:vAlign w:val="center"/>
          </w:tcPr>
          <w:p w14:paraId="268D1C94">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≤650</w:t>
            </w:r>
          </w:p>
        </w:tc>
        <w:tc>
          <w:tcPr>
            <w:tcW w:w="730" w:type="pct"/>
            <w:tcBorders>
              <w:tl2br w:val="nil"/>
              <w:tr2bl w:val="nil"/>
            </w:tcBorders>
            <w:vAlign w:val="center"/>
          </w:tcPr>
          <w:p w14:paraId="7EA1331C">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＞650</w:t>
            </w:r>
          </w:p>
        </w:tc>
      </w:tr>
      <w:tr w14:paraId="065749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48DBFC65">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溶解性总固体</w:t>
            </w:r>
          </w:p>
        </w:tc>
        <w:tc>
          <w:tcPr>
            <w:tcW w:w="652" w:type="pct"/>
            <w:tcBorders>
              <w:tl2br w:val="nil"/>
              <w:tr2bl w:val="nil"/>
            </w:tcBorders>
            <w:vAlign w:val="center"/>
          </w:tcPr>
          <w:p w14:paraId="2B7824A5">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≤300</w:t>
            </w:r>
          </w:p>
        </w:tc>
        <w:tc>
          <w:tcPr>
            <w:tcW w:w="652" w:type="pct"/>
            <w:tcBorders>
              <w:tl2br w:val="nil"/>
              <w:tr2bl w:val="nil"/>
            </w:tcBorders>
            <w:vAlign w:val="center"/>
          </w:tcPr>
          <w:p w14:paraId="4846E408">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≤500</w:t>
            </w:r>
          </w:p>
        </w:tc>
        <w:tc>
          <w:tcPr>
            <w:tcW w:w="652" w:type="pct"/>
            <w:tcBorders>
              <w:tl2br w:val="nil"/>
              <w:tr2bl w:val="nil"/>
            </w:tcBorders>
            <w:vAlign w:val="center"/>
          </w:tcPr>
          <w:p w14:paraId="512519FD">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≤1000</w:t>
            </w:r>
          </w:p>
        </w:tc>
        <w:tc>
          <w:tcPr>
            <w:tcW w:w="733" w:type="pct"/>
            <w:tcBorders>
              <w:tl2br w:val="nil"/>
              <w:tr2bl w:val="nil"/>
            </w:tcBorders>
            <w:vAlign w:val="center"/>
          </w:tcPr>
          <w:p w14:paraId="26431F29">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≤2000</w:t>
            </w:r>
          </w:p>
        </w:tc>
        <w:tc>
          <w:tcPr>
            <w:tcW w:w="730" w:type="pct"/>
            <w:tcBorders>
              <w:tl2br w:val="nil"/>
              <w:tr2bl w:val="nil"/>
            </w:tcBorders>
            <w:vAlign w:val="center"/>
          </w:tcPr>
          <w:p w14:paraId="03696C15">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＞2000</w:t>
            </w:r>
          </w:p>
        </w:tc>
      </w:tr>
      <w:tr w14:paraId="4DE566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7DEEEE7F">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挥发性酚类（以苯酚计）</w:t>
            </w:r>
          </w:p>
        </w:tc>
        <w:tc>
          <w:tcPr>
            <w:tcW w:w="652" w:type="pct"/>
            <w:tcBorders>
              <w:tl2br w:val="nil"/>
              <w:tr2bl w:val="nil"/>
            </w:tcBorders>
            <w:vAlign w:val="center"/>
          </w:tcPr>
          <w:p w14:paraId="277ED350">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≤0.001</w:t>
            </w:r>
          </w:p>
        </w:tc>
        <w:tc>
          <w:tcPr>
            <w:tcW w:w="652" w:type="pct"/>
            <w:tcBorders>
              <w:tl2br w:val="nil"/>
              <w:tr2bl w:val="nil"/>
            </w:tcBorders>
            <w:vAlign w:val="center"/>
          </w:tcPr>
          <w:p w14:paraId="64E0199F">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≤0.001</w:t>
            </w:r>
          </w:p>
        </w:tc>
        <w:tc>
          <w:tcPr>
            <w:tcW w:w="652" w:type="pct"/>
            <w:tcBorders>
              <w:tl2br w:val="nil"/>
              <w:tr2bl w:val="nil"/>
            </w:tcBorders>
            <w:vAlign w:val="center"/>
          </w:tcPr>
          <w:p w14:paraId="080C107D">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≤0.002</w:t>
            </w:r>
          </w:p>
        </w:tc>
        <w:tc>
          <w:tcPr>
            <w:tcW w:w="733" w:type="pct"/>
            <w:tcBorders>
              <w:tl2br w:val="nil"/>
              <w:tr2bl w:val="nil"/>
            </w:tcBorders>
            <w:vAlign w:val="center"/>
          </w:tcPr>
          <w:p w14:paraId="0E87D7B9">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≤0.01</w:t>
            </w:r>
          </w:p>
        </w:tc>
        <w:tc>
          <w:tcPr>
            <w:tcW w:w="730" w:type="pct"/>
            <w:tcBorders>
              <w:tl2br w:val="nil"/>
              <w:tr2bl w:val="nil"/>
            </w:tcBorders>
            <w:vAlign w:val="center"/>
          </w:tcPr>
          <w:p w14:paraId="15459505">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&gt;0.01</w:t>
            </w:r>
          </w:p>
        </w:tc>
      </w:tr>
      <w:tr w14:paraId="170C1B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74771E0D">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亚硝酸盐（以N计）</w:t>
            </w:r>
          </w:p>
        </w:tc>
        <w:tc>
          <w:tcPr>
            <w:tcW w:w="652" w:type="pct"/>
            <w:tcBorders>
              <w:tl2br w:val="nil"/>
              <w:tr2bl w:val="nil"/>
            </w:tcBorders>
            <w:vAlign w:val="center"/>
          </w:tcPr>
          <w:p w14:paraId="1FC264B3">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≤0.01</w:t>
            </w:r>
          </w:p>
        </w:tc>
        <w:tc>
          <w:tcPr>
            <w:tcW w:w="652" w:type="pct"/>
            <w:tcBorders>
              <w:tl2br w:val="nil"/>
              <w:tr2bl w:val="nil"/>
            </w:tcBorders>
            <w:vAlign w:val="center"/>
          </w:tcPr>
          <w:p w14:paraId="2DD01F44">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≤0.1</w:t>
            </w:r>
          </w:p>
        </w:tc>
        <w:tc>
          <w:tcPr>
            <w:tcW w:w="652" w:type="pct"/>
            <w:tcBorders>
              <w:tl2br w:val="nil"/>
              <w:tr2bl w:val="nil"/>
            </w:tcBorders>
            <w:vAlign w:val="center"/>
          </w:tcPr>
          <w:p w14:paraId="6550FF8D">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p>
        </w:tc>
        <w:tc>
          <w:tcPr>
            <w:tcW w:w="733" w:type="pct"/>
            <w:tcBorders>
              <w:tl2br w:val="nil"/>
              <w:tr2bl w:val="nil"/>
            </w:tcBorders>
            <w:vAlign w:val="center"/>
          </w:tcPr>
          <w:p w14:paraId="55110CCC">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≤4.8</w:t>
            </w:r>
          </w:p>
        </w:tc>
        <w:tc>
          <w:tcPr>
            <w:tcW w:w="730" w:type="pct"/>
            <w:tcBorders>
              <w:tl2br w:val="nil"/>
              <w:tr2bl w:val="nil"/>
            </w:tcBorders>
            <w:vAlign w:val="center"/>
          </w:tcPr>
          <w:p w14:paraId="0D843376">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＞4.8</w:t>
            </w:r>
          </w:p>
        </w:tc>
      </w:tr>
      <w:tr w14:paraId="695EFC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587336AF">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硝酸盐（以N计）</w:t>
            </w:r>
          </w:p>
        </w:tc>
        <w:tc>
          <w:tcPr>
            <w:tcW w:w="652" w:type="pct"/>
            <w:tcBorders>
              <w:tl2br w:val="nil"/>
              <w:tr2bl w:val="nil"/>
            </w:tcBorders>
            <w:vAlign w:val="center"/>
          </w:tcPr>
          <w:p w14:paraId="27D2110A">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w:t>
            </w:r>
          </w:p>
        </w:tc>
        <w:tc>
          <w:tcPr>
            <w:tcW w:w="652" w:type="pct"/>
            <w:tcBorders>
              <w:tl2br w:val="nil"/>
              <w:tr2bl w:val="nil"/>
            </w:tcBorders>
            <w:vAlign w:val="center"/>
          </w:tcPr>
          <w:p w14:paraId="33DB291D">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≤5.0</w:t>
            </w:r>
          </w:p>
        </w:tc>
        <w:tc>
          <w:tcPr>
            <w:tcW w:w="652" w:type="pct"/>
            <w:tcBorders>
              <w:tl2br w:val="nil"/>
              <w:tr2bl w:val="nil"/>
            </w:tcBorders>
            <w:vAlign w:val="center"/>
          </w:tcPr>
          <w:p w14:paraId="3DBB2ACE">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w:t>
            </w:r>
          </w:p>
        </w:tc>
        <w:tc>
          <w:tcPr>
            <w:tcW w:w="733" w:type="pct"/>
            <w:tcBorders>
              <w:tl2br w:val="nil"/>
              <w:tr2bl w:val="nil"/>
            </w:tcBorders>
            <w:vAlign w:val="center"/>
          </w:tcPr>
          <w:p w14:paraId="50E7F7B5">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≤30</w:t>
            </w:r>
          </w:p>
        </w:tc>
        <w:tc>
          <w:tcPr>
            <w:tcW w:w="730" w:type="pct"/>
            <w:tcBorders>
              <w:tl2br w:val="nil"/>
              <w:tr2bl w:val="nil"/>
            </w:tcBorders>
            <w:vAlign w:val="center"/>
          </w:tcPr>
          <w:p w14:paraId="33BCBC81">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＞30</w:t>
            </w:r>
          </w:p>
        </w:tc>
      </w:tr>
      <w:tr w14:paraId="616A91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6AE78399">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高锰酸盐指数</w:t>
            </w:r>
          </w:p>
        </w:tc>
        <w:tc>
          <w:tcPr>
            <w:tcW w:w="652" w:type="pct"/>
            <w:tcBorders>
              <w:tl2br w:val="nil"/>
              <w:tr2bl w:val="nil"/>
            </w:tcBorders>
            <w:vAlign w:val="center"/>
          </w:tcPr>
          <w:p w14:paraId="7FE5519C">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w:t>
            </w:r>
          </w:p>
        </w:tc>
        <w:tc>
          <w:tcPr>
            <w:tcW w:w="652" w:type="pct"/>
            <w:tcBorders>
              <w:tl2br w:val="nil"/>
              <w:tr2bl w:val="nil"/>
            </w:tcBorders>
            <w:vAlign w:val="center"/>
          </w:tcPr>
          <w:p w14:paraId="101888AA">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w:t>
            </w:r>
          </w:p>
        </w:tc>
        <w:tc>
          <w:tcPr>
            <w:tcW w:w="652" w:type="pct"/>
            <w:tcBorders>
              <w:tl2br w:val="nil"/>
              <w:tr2bl w:val="nil"/>
            </w:tcBorders>
            <w:vAlign w:val="center"/>
          </w:tcPr>
          <w:p w14:paraId="2A5AEF53">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≤3.0</w:t>
            </w:r>
          </w:p>
        </w:tc>
        <w:tc>
          <w:tcPr>
            <w:tcW w:w="733" w:type="pct"/>
            <w:tcBorders>
              <w:tl2br w:val="nil"/>
              <w:tr2bl w:val="nil"/>
            </w:tcBorders>
            <w:vAlign w:val="center"/>
          </w:tcPr>
          <w:p w14:paraId="4DF99816">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w:t>
            </w:r>
          </w:p>
        </w:tc>
        <w:tc>
          <w:tcPr>
            <w:tcW w:w="730" w:type="pct"/>
            <w:tcBorders>
              <w:tl2br w:val="nil"/>
              <w:tr2bl w:val="nil"/>
            </w:tcBorders>
            <w:vAlign w:val="center"/>
          </w:tcPr>
          <w:p w14:paraId="1E827093">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w:t>
            </w:r>
          </w:p>
        </w:tc>
      </w:tr>
      <w:tr w14:paraId="09A0BE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08C628F1">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铬(六价)(Cr</w:t>
            </w:r>
            <w:r>
              <w:rPr>
                <w:rFonts w:ascii="Times New Roman" w:hAnsi="Times New Roman" w:eastAsia="宋体" w:cs="Times New Roman"/>
                <w:color w:val="000000"/>
                <w:sz w:val="21"/>
                <w:szCs w:val="21"/>
                <w:vertAlign w:val="superscript"/>
              </w:rPr>
              <w:t>6+</w:t>
            </w:r>
            <w:r>
              <w:rPr>
                <w:rFonts w:ascii="Times New Roman" w:hAnsi="Times New Roman" w:eastAsia="宋体" w:cs="Times New Roman"/>
                <w:color w:val="000000"/>
                <w:sz w:val="21"/>
                <w:szCs w:val="21"/>
              </w:rPr>
              <w:t>)</w:t>
            </w:r>
          </w:p>
        </w:tc>
        <w:tc>
          <w:tcPr>
            <w:tcW w:w="652" w:type="pct"/>
            <w:tcBorders>
              <w:tl2br w:val="nil"/>
              <w:tr2bl w:val="nil"/>
            </w:tcBorders>
            <w:vAlign w:val="center"/>
          </w:tcPr>
          <w:p w14:paraId="60560BC3">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≤0.005</w:t>
            </w:r>
          </w:p>
        </w:tc>
        <w:tc>
          <w:tcPr>
            <w:tcW w:w="652" w:type="pct"/>
            <w:tcBorders>
              <w:tl2br w:val="nil"/>
              <w:tr2bl w:val="nil"/>
            </w:tcBorders>
            <w:vAlign w:val="center"/>
          </w:tcPr>
          <w:p w14:paraId="4C70FE1D">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≤0.01</w:t>
            </w:r>
          </w:p>
        </w:tc>
        <w:tc>
          <w:tcPr>
            <w:tcW w:w="652" w:type="pct"/>
            <w:tcBorders>
              <w:tl2br w:val="nil"/>
              <w:tr2bl w:val="nil"/>
            </w:tcBorders>
            <w:vAlign w:val="center"/>
          </w:tcPr>
          <w:p w14:paraId="45E65F55">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≤0.05</w:t>
            </w:r>
          </w:p>
        </w:tc>
        <w:tc>
          <w:tcPr>
            <w:tcW w:w="733" w:type="pct"/>
            <w:tcBorders>
              <w:tl2br w:val="nil"/>
              <w:tr2bl w:val="nil"/>
            </w:tcBorders>
            <w:vAlign w:val="center"/>
          </w:tcPr>
          <w:p w14:paraId="2EE30844">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≤0.1</w:t>
            </w:r>
          </w:p>
        </w:tc>
        <w:tc>
          <w:tcPr>
            <w:tcW w:w="730" w:type="pct"/>
            <w:tcBorders>
              <w:tl2br w:val="nil"/>
              <w:tr2bl w:val="nil"/>
            </w:tcBorders>
            <w:vAlign w:val="center"/>
          </w:tcPr>
          <w:p w14:paraId="74244B02">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&gt;0.1</w:t>
            </w:r>
          </w:p>
        </w:tc>
      </w:tr>
      <w:tr w14:paraId="3CD5BB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64A05F70">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氟化物</w:t>
            </w:r>
          </w:p>
        </w:tc>
        <w:tc>
          <w:tcPr>
            <w:tcW w:w="652" w:type="pct"/>
            <w:tcBorders>
              <w:tl2br w:val="nil"/>
              <w:tr2bl w:val="nil"/>
            </w:tcBorders>
            <w:vAlign w:val="center"/>
          </w:tcPr>
          <w:p w14:paraId="2A12424C">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w:t>
            </w:r>
          </w:p>
        </w:tc>
        <w:tc>
          <w:tcPr>
            <w:tcW w:w="652" w:type="pct"/>
            <w:tcBorders>
              <w:tl2br w:val="nil"/>
              <w:tr2bl w:val="nil"/>
            </w:tcBorders>
            <w:vAlign w:val="center"/>
          </w:tcPr>
          <w:p w14:paraId="10CAF3B2">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w:t>
            </w:r>
          </w:p>
        </w:tc>
        <w:tc>
          <w:tcPr>
            <w:tcW w:w="652" w:type="pct"/>
            <w:tcBorders>
              <w:tl2br w:val="nil"/>
              <w:tr2bl w:val="nil"/>
            </w:tcBorders>
            <w:vAlign w:val="center"/>
          </w:tcPr>
          <w:p w14:paraId="33472927">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w:t>
            </w:r>
          </w:p>
        </w:tc>
        <w:tc>
          <w:tcPr>
            <w:tcW w:w="733" w:type="pct"/>
            <w:tcBorders>
              <w:tl2br w:val="nil"/>
              <w:tr2bl w:val="nil"/>
            </w:tcBorders>
            <w:vAlign w:val="center"/>
          </w:tcPr>
          <w:p w14:paraId="3A36E4B1">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w:t>
            </w:r>
          </w:p>
        </w:tc>
        <w:tc>
          <w:tcPr>
            <w:tcW w:w="730" w:type="pct"/>
            <w:tcBorders>
              <w:tl2br w:val="nil"/>
              <w:tr2bl w:val="nil"/>
            </w:tcBorders>
            <w:vAlign w:val="center"/>
          </w:tcPr>
          <w:p w14:paraId="0B07A9C3">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w:t>
            </w:r>
          </w:p>
        </w:tc>
      </w:tr>
      <w:tr w14:paraId="393D43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53ED82E3">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氰化物</w:t>
            </w:r>
          </w:p>
        </w:tc>
        <w:tc>
          <w:tcPr>
            <w:tcW w:w="652" w:type="pct"/>
            <w:tcBorders>
              <w:tl2br w:val="nil"/>
              <w:tr2bl w:val="nil"/>
            </w:tcBorders>
            <w:vAlign w:val="center"/>
          </w:tcPr>
          <w:p w14:paraId="30007F80">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≤0.001</w:t>
            </w:r>
          </w:p>
        </w:tc>
        <w:tc>
          <w:tcPr>
            <w:tcW w:w="652" w:type="pct"/>
            <w:tcBorders>
              <w:tl2br w:val="nil"/>
              <w:tr2bl w:val="nil"/>
            </w:tcBorders>
            <w:vAlign w:val="center"/>
          </w:tcPr>
          <w:p w14:paraId="7D842DFA">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≤0.01</w:t>
            </w:r>
          </w:p>
        </w:tc>
        <w:tc>
          <w:tcPr>
            <w:tcW w:w="652" w:type="pct"/>
            <w:tcBorders>
              <w:tl2br w:val="nil"/>
              <w:tr2bl w:val="nil"/>
            </w:tcBorders>
            <w:vAlign w:val="center"/>
          </w:tcPr>
          <w:p w14:paraId="737546CE">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≤0.05</w:t>
            </w:r>
          </w:p>
        </w:tc>
        <w:tc>
          <w:tcPr>
            <w:tcW w:w="733" w:type="pct"/>
            <w:tcBorders>
              <w:tl2br w:val="nil"/>
              <w:tr2bl w:val="nil"/>
            </w:tcBorders>
            <w:vAlign w:val="center"/>
          </w:tcPr>
          <w:p w14:paraId="1B9DE05D">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≤0.1</w:t>
            </w:r>
          </w:p>
        </w:tc>
        <w:tc>
          <w:tcPr>
            <w:tcW w:w="730" w:type="pct"/>
            <w:tcBorders>
              <w:tl2br w:val="nil"/>
              <w:tr2bl w:val="nil"/>
            </w:tcBorders>
            <w:vAlign w:val="center"/>
          </w:tcPr>
          <w:p w14:paraId="23F2700C">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&gt;0.1</w:t>
            </w:r>
          </w:p>
        </w:tc>
      </w:tr>
      <w:tr w14:paraId="131F6D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0FFA14DD">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铁（Fe）</w:t>
            </w:r>
          </w:p>
        </w:tc>
        <w:tc>
          <w:tcPr>
            <w:tcW w:w="652" w:type="pct"/>
            <w:tcBorders>
              <w:tl2br w:val="nil"/>
              <w:tr2bl w:val="nil"/>
            </w:tcBorders>
            <w:vAlign w:val="center"/>
          </w:tcPr>
          <w:p w14:paraId="0194E02F">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≤0.1</w:t>
            </w:r>
          </w:p>
        </w:tc>
        <w:tc>
          <w:tcPr>
            <w:tcW w:w="652" w:type="pct"/>
            <w:tcBorders>
              <w:tl2br w:val="nil"/>
              <w:tr2bl w:val="nil"/>
            </w:tcBorders>
            <w:vAlign w:val="center"/>
          </w:tcPr>
          <w:p w14:paraId="05C3952E">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≤0.2</w:t>
            </w:r>
          </w:p>
        </w:tc>
        <w:tc>
          <w:tcPr>
            <w:tcW w:w="652" w:type="pct"/>
            <w:tcBorders>
              <w:tl2br w:val="nil"/>
              <w:tr2bl w:val="nil"/>
            </w:tcBorders>
            <w:vAlign w:val="center"/>
          </w:tcPr>
          <w:p w14:paraId="5EF07A8A">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≤0.3</w:t>
            </w:r>
          </w:p>
        </w:tc>
        <w:tc>
          <w:tcPr>
            <w:tcW w:w="733" w:type="pct"/>
            <w:tcBorders>
              <w:tl2br w:val="nil"/>
              <w:tr2bl w:val="nil"/>
            </w:tcBorders>
            <w:vAlign w:val="center"/>
          </w:tcPr>
          <w:p w14:paraId="6497BF21">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w:t>
            </w:r>
          </w:p>
        </w:tc>
        <w:tc>
          <w:tcPr>
            <w:tcW w:w="730" w:type="pct"/>
            <w:tcBorders>
              <w:tl2br w:val="nil"/>
              <w:tr2bl w:val="nil"/>
            </w:tcBorders>
            <w:vAlign w:val="center"/>
          </w:tcPr>
          <w:p w14:paraId="52001A27">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w:t>
            </w:r>
          </w:p>
        </w:tc>
      </w:tr>
      <w:tr w14:paraId="7E35B4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572FD448">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锰（Mn）</w:t>
            </w:r>
          </w:p>
        </w:tc>
        <w:tc>
          <w:tcPr>
            <w:tcW w:w="652" w:type="pct"/>
            <w:tcBorders>
              <w:tl2br w:val="nil"/>
              <w:tr2bl w:val="nil"/>
            </w:tcBorders>
            <w:vAlign w:val="center"/>
          </w:tcPr>
          <w:p w14:paraId="7C863670">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≤0.05</w:t>
            </w:r>
          </w:p>
        </w:tc>
        <w:tc>
          <w:tcPr>
            <w:tcW w:w="652" w:type="pct"/>
            <w:tcBorders>
              <w:tl2br w:val="nil"/>
              <w:tr2bl w:val="nil"/>
            </w:tcBorders>
            <w:vAlign w:val="center"/>
          </w:tcPr>
          <w:p w14:paraId="5BC41AEA">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≤0.05</w:t>
            </w:r>
          </w:p>
        </w:tc>
        <w:tc>
          <w:tcPr>
            <w:tcW w:w="652" w:type="pct"/>
            <w:tcBorders>
              <w:tl2br w:val="nil"/>
              <w:tr2bl w:val="nil"/>
            </w:tcBorders>
            <w:vAlign w:val="center"/>
          </w:tcPr>
          <w:p w14:paraId="14E04E4F">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≤0.1</w:t>
            </w:r>
          </w:p>
        </w:tc>
        <w:tc>
          <w:tcPr>
            <w:tcW w:w="733" w:type="pct"/>
            <w:tcBorders>
              <w:tl2br w:val="nil"/>
              <w:tr2bl w:val="nil"/>
            </w:tcBorders>
            <w:vAlign w:val="center"/>
          </w:tcPr>
          <w:p w14:paraId="19930667">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w:t>
            </w:r>
          </w:p>
        </w:tc>
        <w:tc>
          <w:tcPr>
            <w:tcW w:w="730" w:type="pct"/>
            <w:tcBorders>
              <w:tl2br w:val="nil"/>
              <w:tr2bl w:val="nil"/>
            </w:tcBorders>
            <w:vAlign w:val="center"/>
          </w:tcPr>
          <w:p w14:paraId="1ACB2095">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w:t>
            </w:r>
          </w:p>
        </w:tc>
      </w:tr>
      <w:tr w14:paraId="7CD3BF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10564C76">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镉（Cd）</w:t>
            </w:r>
          </w:p>
        </w:tc>
        <w:tc>
          <w:tcPr>
            <w:tcW w:w="652" w:type="pct"/>
            <w:tcBorders>
              <w:tl2br w:val="nil"/>
              <w:tr2bl w:val="nil"/>
            </w:tcBorders>
            <w:vAlign w:val="center"/>
          </w:tcPr>
          <w:p w14:paraId="2345CC0D">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≤0.0001</w:t>
            </w:r>
          </w:p>
        </w:tc>
        <w:tc>
          <w:tcPr>
            <w:tcW w:w="652" w:type="pct"/>
            <w:tcBorders>
              <w:tl2br w:val="nil"/>
              <w:tr2bl w:val="nil"/>
            </w:tcBorders>
            <w:vAlign w:val="center"/>
          </w:tcPr>
          <w:p w14:paraId="7B2721CB">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≤0.001</w:t>
            </w:r>
          </w:p>
        </w:tc>
        <w:tc>
          <w:tcPr>
            <w:tcW w:w="652" w:type="pct"/>
            <w:tcBorders>
              <w:tl2br w:val="nil"/>
              <w:tr2bl w:val="nil"/>
            </w:tcBorders>
            <w:vAlign w:val="center"/>
          </w:tcPr>
          <w:p w14:paraId="07F705E5">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≤0.005</w:t>
            </w:r>
          </w:p>
        </w:tc>
        <w:tc>
          <w:tcPr>
            <w:tcW w:w="733" w:type="pct"/>
            <w:tcBorders>
              <w:tl2br w:val="nil"/>
              <w:tr2bl w:val="nil"/>
            </w:tcBorders>
            <w:vAlign w:val="center"/>
          </w:tcPr>
          <w:p w14:paraId="642848F8">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≤0.01</w:t>
            </w:r>
          </w:p>
        </w:tc>
        <w:tc>
          <w:tcPr>
            <w:tcW w:w="730" w:type="pct"/>
            <w:tcBorders>
              <w:tl2br w:val="nil"/>
              <w:tr2bl w:val="nil"/>
            </w:tcBorders>
            <w:vAlign w:val="center"/>
          </w:tcPr>
          <w:p w14:paraId="0645F278">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&gt;0.01</w:t>
            </w:r>
          </w:p>
        </w:tc>
      </w:tr>
      <w:tr w14:paraId="6FF80F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73319EDE">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铅（Pb）</w:t>
            </w:r>
          </w:p>
        </w:tc>
        <w:tc>
          <w:tcPr>
            <w:tcW w:w="652" w:type="pct"/>
            <w:tcBorders>
              <w:tl2br w:val="nil"/>
              <w:tr2bl w:val="nil"/>
            </w:tcBorders>
            <w:vAlign w:val="center"/>
          </w:tcPr>
          <w:p w14:paraId="3BC147FF">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≤0.005</w:t>
            </w:r>
          </w:p>
        </w:tc>
        <w:tc>
          <w:tcPr>
            <w:tcW w:w="652" w:type="pct"/>
            <w:tcBorders>
              <w:tl2br w:val="nil"/>
              <w:tr2bl w:val="nil"/>
            </w:tcBorders>
            <w:vAlign w:val="center"/>
          </w:tcPr>
          <w:p w14:paraId="29E1C65C">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≤0.005</w:t>
            </w:r>
          </w:p>
        </w:tc>
        <w:tc>
          <w:tcPr>
            <w:tcW w:w="652" w:type="pct"/>
            <w:tcBorders>
              <w:tl2br w:val="nil"/>
              <w:tr2bl w:val="nil"/>
            </w:tcBorders>
            <w:vAlign w:val="center"/>
          </w:tcPr>
          <w:p w14:paraId="0C380F8D">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≤0.01</w:t>
            </w:r>
          </w:p>
        </w:tc>
        <w:tc>
          <w:tcPr>
            <w:tcW w:w="733" w:type="pct"/>
            <w:tcBorders>
              <w:tl2br w:val="nil"/>
              <w:tr2bl w:val="nil"/>
            </w:tcBorders>
            <w:vAlign w:val="center"/>
          </w:tcPr>
          <w:p w14:paraId="77F75886">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≤0.1</w:t>
            </w:r>
          </w:p>
        </w:tc>
        <w:tc>
          <w:tcPr>
            <w:tcW w:w="730" w:type="pct"/>
            <w:tcBorders>
              <w:tl2br w:val="nil"/>
              <w:tr2bl w:val="nil"/>
            </w:tcBorders>
            <w:vAlign w:val="center"/>
          </w:tcPr>
          <w:p w14:paraId="36F7E0AD">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&gt;0.1</w:t>
            </w:r>
          </w:p>
        </w:tc>
      </w:tr>
      <w:tr w14:paraId="56BEAC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3A2E2711">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铜（Cu）</w:t>
            </w:r>
          </w:p>
        </w:tc>
        <w:tc>
          <w:tcPr>
            <w:tcW w:w="652" w:type="pct"/>
            <w:tcBorders>
              <w:tl2br w:val="nil"/>
              <w:tr2bl w:val="nil"/>
            </w:tcBorders>
            <w:vAlign w:val="center"/>
          </w:tcPr>
          <w:p w14:paraId="78836D0A">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≤0.01</w:t>
            </w:r>
          </w:p>
        </w:tc>
        <w:tc>
          <w:tcPr>
            <w:tcW w:w="652" w:type="pct"/>
            <w:tcBorders>
              <w:tl2br w:val="nil"/>
              <w:tr2bl w:val="nil"/>
            </w:tcBorders>
            <w:vAlign w:val="center"/>
          </w:tcPr>
          <w:p w14:paraId="432F6858">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≤0.05</w:t>
            </w:r>
          </w:p>
        </w:tc>
        <w:tc>
          <w:tcPr>
            <w:tcW w:w="652" w:type="pct"/>
            <w:tcBorders>
              <w:tl2br w:val="nil"/>
              <w:tr2bl w:val="nil"/>
            </w:tcBorders>
            <w:vAlign w:val="center"/>
          </w:tcPr>
          <w:p w14:paraId="0740737C">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w:t>
            </w:r>
          </w:p>
        </w:tc>
        <w:tc>
          <w:tcPr>
            <w:tcW w:w="733" w:type="pct"/>
            <w:tcBorders>
              <w:tl2br w:val="nil"/>
              <w:tr2bl w:val="nil"/>
            </w:tcBorders>
            <w:vAlign w:val="center"/>
          </w:tcPr>
          <w:p w14:paraId="7DA46C4C">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w:t>
            </w:r>
          </w:p>
        </w:tc>
        <w:tc>
          <w:tcPr>
            <w:tcW w:w="730" w:type="pct"/>
            <w:tcBorders>
              <w:tl2br w:val="nil"/>
              <w:tr2bl w:val="nil"/>
            </w:tcBorders>
            <w:vAlign w:val="center"/>
          </w:tcPr>
          <w:p w14:paraId="0BE02324">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&gt;1.5</w:t>
            </w:r>
          </w:p>
        </w:tc>
      </w:tr>
      <w:tr w14:paraId="5D9FD3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017B8699">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锌（Zn）</w:t>
            </w:r>
          </w:p>
        </w:tc>
        <w:tc>
          <w:tcPr>
            <w:tcW w:w="652" w:type="pct"/>
            <w:tcBorders>
              <w:tl2br w:val="nil"/>
              <w:tr2bl w:val="nil"/>
            </w:tcBorders>
            <w:vAlign w:val="center"/>
          </w:tcPr>
          <w:p w14:paraId="0113BDE9">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≤0.05</w:t>
            </w:r>
          </w:p>
        </w:tc>
        <w:tc>
          <w:tcPr>
            <w:tcW w:w="652" w:type="pct"/>
            <w:tcBorders>
              <w:tl2br w:val="nil"/>
              <w:tr2bl w:val="nil"/>
            </w:tcBorders>
            <w:vAlign w:val="center"/>
          </w:tcPr>
          <w:p w14:paraId="6CAE3561">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≤0.5</w:t>
            </w:r>
          </w:p>
        </w:tc>
        <w:tc>
          <w:tcPr>
            <w:tcW w:w="652" w:type="pct"/>
            <w:tcBorders>
              <w:tl2br w:val="nil"/>
              <w:tr2bl w:val="nil"/>
            </w:tcBorders>
            <w:vAlign w:val="center"/>
          </w:tcPr>
          <w:p w14:paraId="1EB4FF7A">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w:t>
            </w:r>
          </w:p>
        </w:tc>
        <w:tc>
          <w:tcPr>
            <w:tcW w:w="733" w:type="pct"/>
            <w:tcBorders>
              <w:tl2br w:val="nil"/>
              <w:tr2bl w:val="nil"/>
            </w:tcBorders>
            <w:vAlign w:val="center"/>
          </w:tcPr>
          <w:p w14:paraId="064CF89A">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≤5.0</w:t>
            </w:r>
          </w:p>
        </w:tc>
        <w:tc>
          <w:tcPr>
            <w:tcW w:w="730" w:type="pct"/>
            <w:tcBorders>
              <w:tl2br w:val="nil"/>
              <w:tr2bl w:val="nil"/>
            </w:tcBorders>
            <w:vAlign w:val="center"/>
          </w:tcPr>
          <w:p w14:paraId="1B1C41DC">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&gt;5.0</w:t>
            </w:r>
          </w:p>
        </w:tc>
      </w:tr>
      <w:tr w14:paraId="18202C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42CC2042">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汞（Hg）</w:t>
            </w:r>
          </w:p>
        </w:tc>
        <w:tc>
          <w:tcPr>
            <w:tcW w:w="652" w:type="pct"/>
            <w:tcBorders>
              <w:tl2br w:val="nil"/>
              <w:tr2bl w:val="nil"/>
            </w:tcBorders>
            <w:vAlign w:val="center"/>
          </w:tcPr>
          <w:p w14:paraId="74C5A021">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≤0.0001</w:t>
            </w:r>
          </w:p>
        </w:tc>
        <w:tc>
          <w:tcPr>
            <w:tcW w:w="652" w:type="pct"/>
            <w:tcBorders>
              <w:tl2br w:val="nil"/>
              <w:tr2bl w:val="nil"/>
            </w:tcBorders>
            <w:vAlign w:val="center"/>
          </w:tcPr>
          <w:p w14:paraId="3FE768C9">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≤0.0001</w:t>
            </w:r>
          </w:p>
        </w:tc>
        <w:tc>
          <w:tcPr>
            <w:tcW w:w="652" w:type="pct"/>
            <w:tcBorders>
              <w:tl2br w:val="nil"/>
              <w:tr2bl w:val="nil"/>
            </w:tcBorders>
            <w:vAlign w:val="center"/>
          </w:tcPr>
          <w:p w14:paraId="6EB70DAC">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≤0.001</w:t>
            </w:r>
          </w:p>
        </w:tc>
        <w:tc>
          <w:tcPr>
            <w:tcW w:w="733" w:type="pct"/>
            <w:tcBorders>
              <w:tl2br w:val="nil"/>
              <w:tr2bl w:val="nil"/>
            </w:tcBorders>
            <w:vAlign w:val="center"/>
          </w:tcPr>
          <w:p w14:paraId="4FA365E3">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≤0.002</w:t>
            </w:r>
          </w:p>
        </w:tc>
        <w:tc>
          <w:tcPr>
            <w:tcW w:w="730" w:type="pct"/>
            <w:tcBorders>
              <w:tl2br w:val="nil"/>
              <w:tr2bl w:val="nil"/>
            </w:tcBorders>
            <w:vAlign w:val="center"/>
          </w:tcPr>
          <w:p w14:paraId="36570C64">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&gt;0.002</w:t>
            </w:r>
          </w:p>
        </w:tc>
      </w:tr>
      <w:tr w14:paraId="6412A9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70C03F64">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砷（As）</w:t>
            </w:r>
          </w:p>
        </w:tc>
        <w:tc>
          <w:tcPr>
            <w:tcW w:w="652" w:type="pct"/>
            <w:tcBorders>
              <w:tl2br w:val="nil"/>
              <w:tr2bl w:val="nil"/>
            </w:tcBorders>
            <w:vAlign w:val="center"/>
          </w:tcPr>
          <w:p w14:paraId="0965BD3F">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≤0.001</w:t>
            </w:r>
          </w:p>
        </w:tc>
        <w:tc>
          <w:tcPr>
            <w:tcW w:w="652" w:type="pct"/>
            <w:tcBorders>
              <w:tl2br w:val="nil"/>
              <w:tr2bl w:val="nil"/>
            </w:tcBorders>
            <w:vAlign w:val="center"/>
          </w:tcPr>
          <w:p w14:paraId="3452BAD0">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≤0.001</w:t>
            </w:r>
          </w:p>
        </w:tc>
        <w:tc>
          <w:tcPr>
            <w:tcW w:w="652" w:type="pct"/>
            <w:tcBorders>
              <w:tl2br w:val="nil"/>
              <w:tr2bl w:val="nil"/>
            </w:tcBorders>
            <w:vAlign w:val="center"/>
          </w:tcPr>
          <w:p w14:paraId="1F9738F4">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≤0.01</w:t>
            </w:r>
          </w:p>
        </w:tc>
        <w:tc>
          <w:tcPr>
            <w:tcW w:w="733" w:type="pct"/>
            <w:tcBorders>
              <w:tl2br w:val="nil"/>
              <w:tr2bl w:val="nil"/>
            </w:tcBorders>
            <w:vAlign w:val="center"/>
          </w:tcPr>
          <w:p w14:paraId="36665A4B">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≤0.05</w:t>
            </w:r>
          </w:p>
        </w:tc>
        <w:tc>
          <w:tcPr>
            <w:tcW w:w="730" w:type="pct"/>
            <w:tcBorders>
              <w:tl2br w:val="nil"/>
              <w:tr2bl w:val="nil"/>
            </w:tcBorders>
            <w:vAlign w:val="center"/>
          </w:tcPr>
          <w:p w14:paraId="01A41191">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&gt;0.05</w:t>
            </w:r>
          </w:p>
        </w:tc>
      </w:tr>
      <w:tr w14:paraId="6D79E3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15F06E7B">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镍</w:t>
            </w:r>
          </w:p>
        </w:tc>
        <w:tc>
          <w:tcPr>
            <w:tcW w:w="652" w:type="pct"/>
            <w:tcBorders>
              <w:tl2br w:val="nil"/>
              <w:tr2bl w:val="nil"/>
            </w:tcBorders>
            <w:vAlign w:val="center"/>
          </w:tcPr>
          <w:p w14:paraId="0378D91E">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≤0.002</w:t>
            </w:r>
          </w:p>
        </w:tc>
        <w:tc>
          <w:tcPr>
            <w:tcW w:w="652" w:type="pct"/>
            <w:tcBorders>
              <w:tl2br w:val="nil"/>
              <w:tr2bl w:val="nil"/>
            </w:tcBorders>
            <w:vAlign w:val="center"/>
          </w:tcPr>
          <w:p w14:paraId="30F74D42">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≤0.002</w:t>
            </w:r>
          </w:p>
        </w:tc>
        <w:tc>
          <w:tcPr>
            <w:tcW w:w="652" w:type="pct"/>
            <w:tcBorders>
              <w:tl2br w:val="nil"/>
              <w:tr2bl w:val="nil"/>
            </w:tcBorders>
            <w:vAlign w:val="center"/>
          </w:tcPr>
          <w:p w14:paraId="25ECC67E">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≤0.02</w:t>
            </w:r>
          </w:p>
        </w:tc>
        <w:tc>
          <w:tcPr>
            <w:tcW w:w="733" w:type="pct"/>
            <w:tcBorders>
              <w:tl2br w:val="nil"/>
              <w:tr2bl w:val="nil"/>
            </w:tcBorders>
            <w:vAlign w:val="center"/>
          </w:tcPr>
          <w:p w14:paraId="30D7D26D">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≤0.1</w:t>
            </w:r>
          </w:p>
        </w:tc>
        <w:tc>
          <w:tcPr>
            <w:tcW w:w="730" w:type="pct"/>
            <w:tcBorders>
              <w:tl2br w:val="nil"/>
              <w:tr2bl w:val="nil"/>
            </w:tcBorders>
            <w:vAlign w:val="center"/>
          </w:tcPr>
          <w:p w14:paraId="35F67D3B">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&gt;0.1</w:t>
            </w:r>
          </w:p>
        </w:tc>
      </w:tr>
      <w:tr w14:paraId="09D24D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3FEE9F72">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氯化物</w:t>
            </w:r>
          </w:p>
        </w:tc>
        <w:tc>
          <w:tcPr>
            <w:tcW w:w="652" w:type="pct"/>
            <w:tcBorders>
              <w:tl2br w:val="nil"/>
              <w:tr2bl w:val="nil"/>
            </w:tcBorders>
            <w:vAlign w:val="center"/>
          </w:tcPr>
          <w:p w14:paraId="0310BBD8">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≤50</w:t>
            </w:r>
          </w:p>
        </w:tc>
        <w:tc>
          <w:tcPr>
            <w:tcW w:w="652" w:type="pct"/>
            <w:tcBorders>
              <w:tl2br w:val="nil"/>
              <w:tr2bl w:val="nil"/>
            </w:tcBorders>
            <w:vAlign w:val="center"/>
          </w:tcPr>
          <w:p w14:paraId="2DCA7DC9">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≤150</w:t>
            </w:r>
          </w:p>
        </w:tc>
        <w:tc>
          <w:tcPr>
            <w:tcW w:w="652" w:type="pct"/>
            <w:tcBorders>
              <w:tl2br w:val="nil"/>
              <w:tr2bl w:val="nil"/>
            </w:tcBorders>
            <w:vAlign w:val="center"/>
          </w:tcPr>
          <w:p w14:paraId="6EF25E7B">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≤250</w:t>
            </w:r>
          </w:p>
        </w:tc>
        <w:tc>
          <w:tcPr>
            <w:tcW w:w="733" w:type="pct"/>
            <w:tcBorders>
              <w:tl2br w:val="nil"/>
              <w:tr2bl w:val="nil"/>
            </w:tcBorders>
            <w:vAlign w:val="center"/>
          </w:tcPr>
          <w:p w14:paraId="60AC46B6">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≤350</w:t>
            </w:r>
          </w:p>
        </w:tc>
        <w:tc>
          <w:tcPr>
            <w:tcW w:w="730" w:type="pct"/>
            <w:tcBorders>
              <w:tl2br w:val="nil"/>
              <w:tr2bl w:val="nil"/>
            </w:tcBorders>
            <w:vAlign w:val="center"/>
          </w:tcPr>
          <w:p w14:paraId="2E6FF755">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&gt;350</w:t>
            </w:r>
          </w:p>
        </w:tc>
      </w:tr>
      <w:tr w14:paraId="3D50B7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042EFEEC">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硫酸盐</w:t>
            </w:r>
          </w:p>
        </w:tc>
        <w:tc>
          <w:tcPr>
            <w:tcW w:w="652" w:type="pct"/>
            <w:tcBorders>
              <w:tl2br w:val="nil"/>
              <w:tr2bl w:val="nil"/>
            </w:tcBorders>
            <w:vAlign w:val="center"/>
          </w:tcPr>
          <w:p w14:paraId="38326315">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≤50</w:t>
            </w:r>
          </w:p>
        </w:tc>
        <w:tc>
          <w:tcPr>
            <w:tcW w:w="652" w:type="pct"/>
            <w:tcBorders>
              <w:tl2br w:val="nil"/>
              <w:tr2bl w:val="nil"/>
            </w:tcBorders>
            <w:vAlign w:val="center"/>
          </w:tcPr>
          <w:p w14:paraId="69125432">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≤150</w:t>
            </w:r>
          </w:p>
        </w:tc>
        <w:tc>
          <w:tcPr>
            <w:tcW w:w="652" w:type="pct"/>
            <w:tcBorders>
              <w:tl2br w:val="nil"/>
              <w:tr2bl w:val="nil"/>
            </w:tcBorders>
            <w:vAlign w:val="center"/>
          </w:tcPr>
          <w:p w14:paraId="66315966">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≤250</w:t>
            </w:r>
          </w:p>
        </w:tc>
        <w:tc>
          <w:tcPr>
            <w:tcW w:w="733" w:type="pct"/>
            <w:tcBorders>
              <w:tl2br w:val="nil"/>
              <w:tr2bl w:val="nil"/>
            </w:tcBorders>
            <w:vAlign w:val="center"/>
          </w:tcPr>
          <w:p w14:paraId="5F9C2400">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≤350</w:t>
            </w:r>
          </w:p>
        </w:tc>
        <w:tc>
          <w:tcPr>
            <w:tcW w:w="730" w:type="pct"/>
            <w:tcBorders>
              <w:tl2br w:val="nil"/>
              <w:tr2bl w:val="nil"/>
            </w:tcBorders>
            <w:vAlign w:val="center"/>
          </w:tcPr>
          <w:p w14:paraId="19B3880C">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&gt;350</w:t>
            </w:r>
          </w:p>
        </w:tc>
      </w:tr>
      <w:tr w14:paraId="728F77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7F4C6454">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总大肠菌群/（MPN</w:t>
            </w:r>
            <w:r>
              <w:rPr>
                <w:rFonts w:ascii="Times New Roman" w:hAnsi="Times New Roman" w:eastAsia="宋体" w:cs="Times New Roman"/>
                <w:color w:val="000000"/>
                <w:sz w:val="21"/>
                <w:szCs w:val="21"/>
                <w:vertAlign w:val="superscript"/>
              </w:rPr>
              <w:t>b</w:t>
            </w:r>
            <w:r>
              <w:rPr>
                <w:rFonts w:ascii="Times New Roman" w:hAnsi="Times New Roman" w:eastAsia="宋体" w:cs="Times New Roman"/>
                <w:color w:val="000000"/>
                <w:sz w:val="21"/>
                <w:szCs w:val="21"/>
              </w:rPr>
              <w:t>/100ml或CFU</w:t>
            </w:r>
            <w:r>
              <w:rPr>
                <w:rFonts w:ascii="Times New Roman" w:hAnsi="Times New Roman" w:eastAsia="宋体" w:cs="Times New Roman"/>
                <w:color w:val="000000"/>
                <w:sz w:val="21"/>
                <w:szCs w:val="21"/>
                <w:vertAlign w:val="superscript"/>
              </w:rPr>
              <w:t>c</w:t>
            </w:r>
            <w:r>
              <w:rPr>
                <w:rFonts w:ascii="Times New Roman" w:hAnsi="Times New Roman" w:eastAsia="宋体" w:cs="Times New Roman"/>
                <w:color w:val="000000"/>
                <w:sz w:val="21"/>
                <w:szCs w:val="21"/>
              </w:rPr>
              <w:t>/100ml）</w:t>
            </w:r>
          </w:p>
        </w:tc>
        <w:tc>
          <w:tcPr>
            <w:tcW w:w="652" w:type="pct"/>
            <w:tcBorders>
              <w:tl2br w:val="nil"/>
              <w:tr2bl w:val="nil"/>
            </w:tcBorders>
            <w:vAlign w:val="center"/>
          </w:tcPr>
          <w:p w14:paraId="16684E9A">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p>
        </w:tc>
        <w:tc>
          <w:tcPr>
            <w:tcW w:w="652" w:type="pct"/>
            <w:tcBorders>
              <w:tl2br w:val="nil"/>
              <w:tr2bl w:val="nil"/>
            </w:tcBorders>
            <w:vAlign w:val="center"/>
          </w:tcPr>
          <w:p w14:paraId="2FD8CCB6">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p>
        </w:tc>
        <w:tc>
          <w:tcPr>
            <w:tcW w:w="652" w:type="pct"/>
            <w:tcBorders>
              <w:tl2br w:val="nil"/>
              <w:tr2bl w:val="nil"/>
            </w:tcBorders>
            <w:vAlign w:val="center"/>
          </w:tcPr>
          <w:p w14:paraId="324AA25D">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p>
        </w:tc>
        <w:tc>
          <w:tcPr>
            <w:tcW w:w="733" w:type="pct"/>
            <w:tcBorders>
              <w:tl2br w:val="nil"/>
              <w:tr2bl w:val="nil"/>
            </w:tcBorders>
            <w:vAlign w:val="center"/>
          </w:tcPr>
          <w:p w14:paraId="6D6910C7">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≤100</w:t>
            </w:r>
          </w:p>
        </w:tc>
        <w:tc>
          <w:tcPr>
            <w:tcW w:w="730" w:type="pct"/>
            <w:tcBorders>
              <w:tl2br w:val="nil"/>
              <w:tr2bl w:val="nil"/>
            </w:tcBorders>
            <w:vAlign w:val="center"/>
          </w:tcPr>
          <w:p w14:paraId="44AB44D4">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&gt;100</w:t>
            </w:r>
          </w:p>
        </w:tc>
      </w:tr>
      <w:tr w14:paraId="55C784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9" w:type="pct"/>
            <w:tcBorders>
              <w:tl2br w:val="nil"/>
              <w:tr2bl w:val="nil"/>
            </w:tcBorders>
            <w:vAlign w:val="center"/>
          </w:tcPr>
          <w:p w14:paraId="16D5CCD1">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菌落总数（CFU/mL）</w:t>
            </w:r>
          </w:p>
        </w:tc>
        <w:tc>
          <w:tcPr>
            <w:tcW w:w="652" w:type="pct"/>
            <w:tcBorders>
              <w:tl2br w:val="nil"/>
              <w:tr2bl w:val="nil"/>
            </w:tcBorders>
            <w:vAlign w:val="center"/>
          </w:tcPr>
          <w:p w14:paraId="22575FEA">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≤100</w:t>
            </w:r>
          </w:p>
        </w:tc>
        <w:tc>
          <w:tcPr>
            <w:tcW w:w="652" w:type="pct"/>
            <w:tcBorders>
              <w:tl2br w:val="nil"/>
              <w:tr2bl w:val="nil"/>
            </w:tcBorders>
            <w:vAlign w:val="center"/>
          </w:tcPr>
          <w:p w14:paraId="344ED276">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≤100</w:t>
            </w:r>
          </w:p>
        </w:tc>
        <w:tc>
          <w:tcPr>
            <w:tcW w:w="652" w:type="pct"/>
            <w:tcBorders>
              <w:tl2br w:val="nil"/>
              <w:tr2bl w:val="nil"/>
            </w:tcBorders>
            <w:vAlign w:val="center"/>
          </w:tcPr>
          <w:p w14:paraId="0C17D63E">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≤100</w:t>
            </w:r>
          </w:p>
        </w:tc>
        <w:tc>
          <w:tcPr>
            <w:tcW w:w="733" w:type="pct"/>
            <w:tcBorders>
              <w:tl2br w:val="nil"/>
              <w:tr2bl w:val="nil"/>
            </w:tcBorders>
            <w:vAlign w:val="center"/>
          </w:tcPr>
          <w:p w14:paraId="3E5C2A26">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≤1000</w:t>
            </w:r>
          </w:p>
        </w:tc>
        <w:tc>
          <w:tcPr>
            <w:tcW w:w="730" w:type="pct"/>
            <w:tcBorders>
              <w:tl2br w:val="nil"/>
              <w:tr2bl w:val="nil"/>
            </w:tcBorders>
            <w:vAlign w:val="center"/>
          </w:tcPr>
          <w:p w14:paraId="04B06ED6">
            <w:pPr>
              <w:pStyle w:val="89"/>
              <w:adjustRightInd w:val="0"/>
              <w:snapToGrid w:val="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&gt;1000</w:t>
            </w:r>
          </w:p>
        </w:tc>
      </w:tr>
    </w:tbl>
    <w:p w14:paraId="0B70EDBC">
      <w:pPr>
        <w:pStyle w:val="8"/>
        <w:spacing w:line="480" w:lineRule="exact"/>
      </w:pPr>
      <w:r>
        <w:rPr>
          <w:rFonts w:hint="eastAsia"/>
        </w:rPr>
        <w:t>2</w:t>
      </w:r>
      <w:r>
        <w:t>.</w:t>
      </w:r>
      <w:r>
        <w:rPr>
          <w:rFonts w:hint="eastAsia"/>
        </w:rPr>
        <w:t>4.1</w:t>
      </w:r>
      <w:r>
        <w:t>.</w:t>
      </w:r>
      <w:r>
        <w:rPr>
          <w:rFonts w:hint="eastAsia"/>
        </w:rPr>
        <w:t>4声环境质量标准</w:t>
      </w:r>
    </w:p>
    <w:p w14:paraId="6CB3120B">
      <w:pPr>
        <w:spacing w:line="480" w:lineRule="exact"/>
        <w:ind w:firstLine="480" w:firstLineChars="200"/>
      </w:pPr>
      <w:r>
        <w:rPr>
          <w:rFonts w:hint="eastAsia"/>
        </w:rPr>
        <w:t>本项目选址位于宿迁市泗阳县穿城镇向阳村，周围根据声环境质量标准（GB3096-2008）7.2乡村声环境功能的确定：</w:t>
      </w:r>
      <w:r>
        <w:rPr>
          <w:rFonts w:ascii="Times New Roman" w:hAnsi="Times New Roman" w:eastAsia="宋体" w:cs="Times New Roman"/>
          <w:szCs w:val="24"/>
        </w:rPr>
        <w:t>村庄原则上执行1类声环境功能区要求，工业活动较多的村庄以及有交通干线经过的村庄可局部或全部执行2类声环境功能区要求。</w:t>
      </w:r>
      <w:r>
        <w:rPr>
          <w:rFonts w:hint="eastAsia" w:ascii="Times New Roman" w:hAnsi="Times New Roman" w:eastAsia="宋体" w:cs="Times New Roman"/>
          <w:szCs w:val="24"/>
        </w:rPr>
        <w:t>本项目周边主要为农田，因此</w:t>
      </w:r>
      <w:r>
        <w:rPr>
          <w:rFonts w:ascii="Times New Roman" w:hAnsi="Times New Roman" w:eastAsia="宋体" w:cs="Times New Roman"/>
          <w:szCs w:val="24"/>
        </w:rPr>
        <w:t>评价区域声环境执行《声环境质量标准》（GB3096-2008）</w:t>
      </w:r>
      <w:r>
        <w:rPr>
          <w:rFonts w:hint="eastAsia" w:ascii="Times New Roman" w:hAnsi="Times New Roman" w:eastAsia="宋体" w:cs="Times New Roman"/>
          <w:szCs w:val="24"/>
        </w:rPr>
        <w:t>1</w:t>
      </w:r>
      <w:r>
        <w:rPr>
          <w:rFonts w:ascii="Times New Roman" w:hAnsi="Times New Roman" w:eastAsia="宋体" w:cs="Times New Roman"/>
          <w:szCs w:val="24"/>
        </w:rPr>
        <w:t>类标准</w:t>
      </w:r>
      <w:r>
        <w:rPr>
          <w:rFonts w:hint="eastAsia"/>
        </w:rPr>
        <w:t>，具体标准值见表2.4-4。</w:t>
      </w:r>
    </w:p>
    <w:p w14:paraId="1FD79B12">
      <w:pPr>
        <w:pStyle w:val="31"/>
        <w:spacing w:before="0" w:line="480" w:lineRule="exact"/>
        <w:rPr>
          <w:rFonts w:ascii="Times New Roman" w:hAnsi="Times New Roman" w:cs="Times New Roman"/>
        </w:rPr>
      </w:pPr>
      <w:r>
        <w:rPr>
          <w:rFonts w:ascii="Times New Roman" w:hAnsi="Times New Roman" w:cs="Times New Roman"/>
        </w:rPr>
        <w:t>表2.4-4</w:t>
      </w:r>
      <w:r>
        <w:rPr>
          <w:rFonts w:hint="eastAsia" w:ascii="Times New Roman" w:hAnsi="Times New Roman" w:cs="Times New Roman"/>
        </w:rPr>
        <w:t xml:space="preserve">  </w:t>
      </w:r>
      <w:r>
        <w:rPr>
          <w:rFonts w:hAnsi="宋体"/>
          <w:color w:val="000000"/>
          <w:szCs w:val="24"/>
        </w:rPr>
        <w:t>区域环境噪声标准一览表</w:t>
      </w:r>
      <w:r>
        <w:rPr>
          <w:rFonts w:ascii="Times New Roman" w:hAnsi="Times New Roman" w:cs="Times New Roman"/>
        </w:rPr>
        <w:t xml:space="preserve">  </w:t>
      </w:r>
    </w:p>
    <w:tbl>
      <w:tblPr>
        <w:tblStyle w:val="41"/>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62"/>
        <w:gridCol w:w="1165"/>
        <w:gridCol w:w="1457"/>
        <w:gridCol w:w="4739"/>
      </w:tblGrid>
      <w:tr w14:paraId="68CB2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462" w:type="dxa"/>
            <w:vMerge w:val="restart"/>
            <w:tcBorders>
              <w:left w:val="nil"/>
            </w:tcBorders>
            <w:vAlign w:val="center"/>
          </w:tcPr>
          <w:p w14:paraId="1ABD05F2">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区域名</w:t>
            </w:r>
          </w:p>
        </w:tc>
        <w:tc>
          <w:tcPr>
            <w:tcW w:w="2622" w:type="dxa"/>
            <w:gridSpan w:val="2"/>
            <w:vAlign w:val="center"/>
          </w:tcPr>
          <w:p w14:paraId="3B19BB11">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标准值（Leq：dB（A））</w:t>
            </w:r>
          </w:p>
        </w:tc>
        <w:tc>
          <w:tcPr>
            <w:tcW w:w="4739" w:type="dxa"/>
            <w:vMerge w:val="restart"/>
            <w:tcBorders>
              <w:right w:val="nil"/>
            </w:tcBorders>
            <w:vAlign w:val="center"/>
          </w:tcPr>
          <w:p w14:paraId="1A8EBBA3">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执行标准</w:t>
            </w:r>
          </w:p>
        </w:tc>
      </w:tr>
      <w:tr w14:paraId="46F07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462" w:type="dxa"/>
            <w:vMerge w:val="continue"/>
            <w:tcBorders>
              <w:left w:val="nil"/>
            </w:tcBorders>
            <w:vAlign w:val="center"/>
          </w:tcPr>
          <w:p w14:paraId="5882E62B">
            <w:pPr>
              <w:spacing w:line="300" w:lineRule="exact"/>
              <w:jc w:val="center"/>
              <w:rPr>
                <w:rFonts w:ascii="Times New Roman" w:hAnsi="Times New Roman" w:eastAsia="宋体" w:cs="Times New Roman"/>
                <w:sz w:val="21"/>
                <w:szCs w:val="21"/>
              </w:rPr>
            </w:pPr>
          </w:p>
        </w:tc>
        <w:tc>
          <w:tcPr>
            <w:tcW w:w="1165" w:type="dxa"/>
            <w:vAlign w:val="center"/>
          </w:tcPr>
          <w:p w14:paraId="1DA0006E">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昼间</w:t>
            </w:r>
          </w:p>
        </w:tc>
        <w:tc>
          <w:tcPr>
            <w:tcW w:w="1457" w:type="dxa"/>
            <w:vAlign w:val="center"/>
          </w:tcPr>
          <w:p w14:paraId="3FD2E855">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夜间</w:t>
            </w:r>
          </w:p>
        </w:tc>
        <w:tc>
          <w:tcPr>
            <w:tcW w:w="4739" w:type="dxa"/>
            <w:vMerge w:val="continue"/>
            <w:tcBorders>
              <w:right w:val="nil"/>
            </w:tcBorders>
            <w:vAlign w:val="center"/>
          </w:tcPr>
          <w:p w14:paraId="16646A57">
            <w:pPr>
              <w:spacing w:line="300" w:lineRule="exact"/>
              <w:jc w:val="center"/>
              <w:rPr>
                <w:rFonts w:ascii="Times New Roman" w:hAnsi="Times New Roman" w:eastAsia="宋体" w:cs="Times New Roman"/>
                <w:sz w:val="21"/>
                <w:szCs w:val="21"/>
              </w:rPr>
            </w:pPr>
          </w:p>
        </w:tc>
      </w:tr>
      <w:tr w14:paraId="6C9F9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462" w:type="dxa"/>
            <w:tcBorders>
              <w:left w:val="nil"/>
            </w:tcBorders>
            <w:vAlign w:val="center"/>
          </w:tcPr>
          <w:p w14:paraId="0654F5B8">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项目所在地</w:t>
            </w:r>
          </w:p>
        </w:tc>
        <w:tc>
          <w:tcPr>
            <w:tcW w:w="1165" w:type="dxa"/>
            <w:vAlign w:val="center"/>
          </w:tcPr>
          <w:p w14:paraId="39D109C5">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55</w:t>
            </w:r>
          </w:p>
        </w:tc>
        <w:tc>
          <w:tcPr>
            <w:tcW w:w="1457" w:type="dxa"/>
            <w:vAlign w:val="center"/>
          </w:tcPr>
          <w:p w14:paraId="788C75F4">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45</w:t>
            </w:r>
          </w:p>
        </w:tc>
        <w:tc>
          <w:tcPr>
            <w:tcW w:w="4739" w:type="dxa"/>
            <w:tcBorders>
              <w:right w:val="nil"/>
            </w:tcBorders>
            <w:vAlign w:val="center"/>
          </w:tcPr>
          <w:p w14:paraId="7C8CF9D4">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《声环境质量标准》（GB3096-2008）中的1标准</w:t>
            </w:r>
          </w:p>
        </w:tc>
      </w:tr>
    </w:tbl>
    <w:p w14:paraId="05146AB9">
      <w:pPr>
        <w:pStyle w:val="8"/>
        <w:pageBreakBefore w:val="0"/>
        <w:widowControl w:val="0"/>
        <w:kinsoku/>
        <w:wordWrap/>
        <w:overflowPunct/>
        <w:topLinePunct w:val="0"/>
        <w:autoSpaceDE/>
        <w:autoSpaceDN/>
        <w:bidi w:val="0"/>
        <w:adjustRightInd/>
        <w:snapToGrid/>
        <w:spacing w:line="440" w:lineRule="exact"/>
        <w:textAlignment w:val="auto"/>
      </w:pPr>
      <w:r>
        <w:rPr>
          <w:rFonts w:hint="eastAsia"/>
        </w:rPr>
        <w:t>2</w:t>
      </w:r>
      <w:r>
        <w:t>.</w:t>
      </w:r>
      <w:r>
        <w:rPr>
          <w:rFonts w:hint="eastAsia"/>
        </w:rPr>
        <w:t>4.1</w:t>
      </w:r>
      <w:r>
        <w:t>.</w:t>
      </w:r>
      <w:r>
        <w:rPr>
          <w:rFonts w:hint="eastAsia"/>
        </w:rPr>
        <w:t>5土壤环境质量标准</w:t>
      </w:r>
    </w:p>
    <w:p w14:paraId="04551DFD">
      <w:pPr>
        <w:pageBreakBefore w:val="0"/>
        <w:widowControl w:val="0"/>
        <w:kinsoku/>
        <w:wordWrap/>
        <w:overflowPunct/>
        <w:topLinePunct w:val="0"/>
        <w:autoSpaceDE/>
        <w:autoSpaceDN/>
        <w:bidi w:val="0"/>
        <w:adjustRightInd/>
        <w:snapToGrid/>
        <w:spacing w:line="440" w:lineRule="exact"/>
        <w:ind w:firstLine="480" w:firstLineChars="200"/>
        <w:textAlignment w:val="auto"/>
      </w:pPr>
      <w:r>
        <w:rPr>
          <w:rFonts w:hint="eastAsia"/>
        </w:rPr>
        <w:t>本项目选址位于宿迁市泗阳县穿城镇向阳村，项目所在地土壤环境质量执行《土壤环境质量农用地土壤污染风险管控标准（试行）》（GB15618-2018）</w:t>
      </w:r>
      <w:r>
        <w:rPr>
          <w:color w:val="000000"/>
          <w:szCs w:val="24"/>
        </w:rPr>
        <w:t>表1农用地土壤污染风险筛选值（基本项目）</w:t>
      </w:r>
      <w:r>
        <w:rPr>
          <w:rFonts w:hint="eastAsia"/>
        </w:rPr>
        <w:t>。土壤质量标准具体见表2.4-5。</w:t>
      </w:r>
    </w:p>
    <w:p w14:paraId="1D4ABFE0">
      <w:pPr>
        <w:pStyle w:val="31"/>
        <w:pageBreakBefore w:val="0"/>
        <w:widowControl w:val="0"/>
        <w:kinsoku/>
        <w:wordWrap/>
        <w:overflowPunct/>
        <w:topLinePunct w:val="0"/>
        <w:autoSpaceDE/>
        <w:autoSpaceDN/>
        <w:bidi w:val="0"/>
        <w:adjustRightInd/>
        <w:snapToGrid/>
        <w:spacing w:before="0" w:line="440" w:lineRule="exact"/>
        <w:textAlignment w:val="auto"/>
      </w:pPr>
      <w:r>
        <w:rPr>
          <w:rFonts w:hint="eastAsia"/>
        </w:rPr>
        <w:t>表</w:t>
      </w:r>
      <w:r>
        <w:t>2.</w:t>
      </w:r>
      <w:r>
        <w:rPr>
          <w:rFonts w:hint="eastAsia"/>
        </w:rPr>
        <w:t>4-5</w:t>
      </w:r>
      <w:r>
        <w:t xml:space="preserve">  </w:t>
      </w:r>
      <w:r>
        <w:rPr>
          <w:rFonts w:hint="eastAsia"/>
        </w:rPr>
        <w:t>农用地土壤污染风险筛选值  单位：</w:t>
      </w:r>
      <w:r>
        <w:t>mg/kg</w:t>
      </w:r>
    </w:p>
    <w:tbl>
      <w:tblPr>
        <w:tblStyle w:val="4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906"/>
        <w:gridCol w:w="1163"/>
        <w:gridCol w:w="1592"/>
        <w:gridCol w:w="1592"/>
        <w:gridCol w:w="1592"/>
        <w:gridCol w:w="1597"/>
      </w:tblGrid>
      <w:tr w14:paraId="1B2BC9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vMerge w:val="restart"/>
            <w:vAlign w:val="center"/>
          </w:tcPr>
          <w:p w14:paraId="0CC3EF84">
            <w:pPr>
              <w:pStyle w:val="61"/>
              <w:spacing w:line="300" w:lineRule="exact"/>
            </w:pPr>
            <w:r>
              <w:rPr>
                <w:rFonts w:hint="eastAsia"/>
              </w:rPr>
              <w:t>序号</w:t>
            </w:r>
          </w:p>
        </w:tc>
        <w:tc>
          <w:tcPr>
            <w:tcW w:w="1114" w:type="pct"/>
            <w:gridSpan w:val="2"/>
            <w:vMerge w:val="restart"/>
            <w:vAlign w:val="center"/>
          </w:tcPr>
          <w:p w14:paraId="370A3AB1">
            <w:pPr>
              <w:pStyle w:val="61"/>
              <w:spacing w:line="300" w:lineRule="exact"/>
            </w:pPr>
            <w:r>
              <w:rPr>
                <w:rFonts w:hint="eastAsia"/>
              </w:rPr>
              <w:t>污染物项目</w:t>
            </w:r>
            <w:r>
              <w:rPr>
                <w:vertAlign w:val="superscript"/>
              </w:rPr>
              <w:t>a,b</w:t>
            </w:r>
          </w:p>
        </w:tc>
        <w:tc>
          <w:tcPr>
            <w:tcW w:w="3429" w:type="pct"/>
            <w:gridSpan w:val="4"/>
            <w:vAlign w:val="center"/>
          </w:tcPr>
          <w:p w14:paraId="621D5F13">
            <w:pPr>
              <w:pStyle w:val="61"/>
              <w:spacing w:line="300" w:lineRule="exact"/>
            </w:pPr>
            <w:r>
              <w:rPr>
                <w:rFonts w:hint="eastAsia"/>
              </w:rPr>
              <w:t>风险筛选值</w:t>
            </w:r>
          </w:p>
        </w:tc>
      </w:tr>
      <w:tr w14:paraId="38A89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vMerge w:val="continue"/>
            <w:vAlign w:val="center"/>
          </w:tcPr>
          <w:p w14:paraId="1B7D6F02">
            <w:pPr>
              <w:pStyle w:val="61"/>
              <w:spacing w:line="300" w:lineRule="exact"/>
            </w:pPr>
          </w:p>
        </w:tc>
        <w:tc>
          <w:tcPr>
            <w:tcW w:w="1114" w:type="pct"/>
            <w:gridSpan w:val="2"/>
            <w:vMerge w:val="continue"/>
            <w:vAlign w:val="center"/>
          </w:tcPr>
          <w:p w14:paraId="1B68F502">
            <w:pPr>
              <w:pStyle w:val="61"/>
              <w:spacing w:line="300" w:lineRule="exact"/>
            </w:pPr>
          </w:p>
        </w:tc>
        <w:tc>
          <w:tcPr>
            <w:tcW w:w="857" w:type="pct"/>
            <w:vAlign w:val="center"/>
          </w:tcPr>
          <w:p w14:paraId="08D10CCB">
            <w:pPr>
              <w:pStyle w:val="61"/>
              <w:spacing w:line="300" w:lineRule="exact"/>
            </w:pPr>
            <w:r>
              <w:t>pH</w:t>
            </w:r>
            <w:r>
              <w:rPr>
                <w:rFonts w:hint="eastAsia" w:ascii="宋体" w:hAnsi="宋体"/>
              </w:rPr>
              <w:t>≤</w:t>
            </w:r>
            <w:r>
              <w:t>5.5</w:t>
            </w:r>
          </w:p>
        </w:tc>
        <w:tc>
          <w:tcPr>
            <w:tcW w:w="857" w:type="pct"/>
            <w:vAlign w:val="center"/>
          </w:tcPr>
          <w:p w14:paraId="6C9E2369">
            <w:pPr>
              <w:pStyle w:val="61"/>
              <w:spacing w:line="300" w:lineRule="exact"/>
            </w:pPr>
            <w:r>
              <w:t>5.5</w:t>
            </w:r>
            <w:r>
              <w:rPr>
                <w:rFonts w:hint="eastAsia"/>
              </w:rPr>
              <w:t>＜</w:t>
            </w:r>
            <w:r>
              <w:t>pH</w:t>
            </w:r>
            <w:r>
              <w:rPr>
                <w:rFonts w:hint="eastAsia" w:ascii="宋体" w:hAnsi="宋体"/>
              </w:rPr>
              <w:t>≤</w:t>
            </w:r>
            <w:r>
              <w:t>6.5</w:t>
            </w:r>
          </w:p>
        </w:tc>
        <w:tc>
          <w:tcPr>
            <w:tcW w:w="857" w:type="pct"/>
            <w:vAlign w:val="center"/>
          </w:tcPr>
          <w:p w14:paraId="69539EC0">
            <w:pPr>
              <w:pStyle w:val="61"/>
              <w:spacing w:line="300" w:lineRule="exact"/>
            </w:pPr>
            <w:r>
              <w:t>6.5</w:t>
            </w:r>
            <w:r>
              <w:rPr>
                <w:rFonts w:hint="eastAsia"/>
              </w:rPr>
              <w:t>＜</w:t>
            </w:r>
            <w:r>
              <w:t>pH</w:t>
            </w:r>
            <w:r>
              <w:rPr>
                <w:rFonts w:hint="eastAsia" w:ascii="宋体" w:hAnsi="宋体"/>
              </w:rPr>
              <w:t>≤</w:t>
            </w:r>
            <w:r>
              <w:t>7.5</w:t>
            </w:r>
          </w:p>
        </w:tc>
        <w:tc>
          <w:tcPr>
            <w:tcW w:w="858" w:type="pct"/>
            <w:vAlign w:val="center"/>
          </w:tcPr>
          <w:p w14:paraId="67EC8B9F">
            <w:pPr>
              <w:pStyle w:val="61"/>
              <w:spacing w:line="300" w:lineRule="exact"/>
            </w:pPr>
            <w:r>
              <w:t>pH</w:t>
            </w:r>
            <w:r>
              <w:rPr>
                <w:rFonts w:hint="eastAsia" w:ascii="宋体" w:hAnsi="宋体"/>
              </w:rPr>
              <w:t>＞</w:t>
            </w:r>
            <w:r>
              <w:t>7.5</w:t>
            </w:r>
          </w:p>
        </w:tc>
      </w:tr>
      <w:tr w14:paraId="0278C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vMerge w:val="restart"/>
            <w:vAlign w:val="center"/>
          </w:tcPr>
          <w:p w14:paraId="360740F0">
            <w:pPr>
              <w:pStyle w:val="61"/>
              <w:spacing w:line="300" w:lineRule="exact"/>
            </w:pPr>
            <w:r>
              <w:t>1</w:t>
            </w:r>
          </w:p>
        </w:tc>
        <w:tc>
          <w:tcPr>
            <w:tcW w:w="488" w:type="pct"/>
            <w:vMerge w:val="restart"/>
            <w:vAlign w:val="center"/>
          </w:tcPr>
          <w:p w14:paraId="346557C2">
            <w:pPr>
              <w:pStyle w:val="61"/>
              <w:spacing w:line="300" w:lineRule="exact"/>
            </w:pPr>
            <w:r>
              <w:rPr>
                <w:rFonts w:hint="eastAsia"/>
              </w:rPr>
              <w:t>镉</w:t>
            </w:r>
          </w:p>
        </w:tc>
        <w:tc>
          <w:tcPr>
            <w:tcW w:w="626" w:type="pct"/>
            <w:vAlign w:val="center"/>
          </w:tcPr>
          <w:p w14:paraId="61C2A141">
            <w:pPr>
              <w:pStyle w:val="61"/>
              <w:spacing w:line="300" w:lineRule="exact"/>
            </w:pPr>
            <w:r>
              <w:rPr>
                <w:rFonts w:hint="eastAsia"/>
              </w:rPr>
              <w:t>水田</w:t>
            </w:r>
          </w:p>
        </w:tc>
        <w:tc>
          <w:tcPr>
            <w:tcW w:w="857" w:type="pct"/>
            <w:vAlign w:val="center"/>
          </w:tcPr>
          <w:p w14:paraId="3EA23960">
            <w:pPr>
              <w:pStyle w:val="61"/>
              <w:spacing w:line="300" w:lineRule="exact"/>
            </w:pPr>
            <w:r>
              <w:t>0.3</w:t>
            </w:r>
          </w:p>
        </w:tc>
        <w:tc>
          <w:tcPr>
            <w:tcW w:w="857" w:type="pct"/>
            <w:vAlign w:val="center"/>
          </w:tcPr>
          <w:p w14:paraId="61052440">
            <w:pPr>
              <w:pStyle w:val="61"/>
              <w:spacing w:line="300" w:lineRule="exact"/>
            </w:pPr>
            <w:r>
              <w:t>0.4</w:t>
            </w:r>
          </w:p>
        </w:tc>
        <w:tc>
          <w:tcPr>
            <w:tcW w:w="857" w:type="pct"/>
            <w:vAlign w:val="center"/>
          </w:tcPr>
          <w:p w14:paraId="1883AA81">
            <w:pPr>
              <w:pStyle w:val="61"/>
              <w:spacing w:line="300" w:lineRule="exact"/>
            </w:pPr>
            <w:r>
              <w:t>0.6</w:t>
            </w:r>
          </w:p>
        </w:tc>
        <w:tc>
          <w:tcPr>
            <w:tcW w:w="858" w:type="pct"/>
            <w:vAlign w:val="center"/>
          </w:tcPr>
          <w:p w14:paraId="01E00B0A">
            <w:pPr>
              <w:pStyle w:val="61"/>
              <w:spacing w:line="300" w:lineRule="exact"/>
            </w:pPr>
            <w:r>
              <w:t>0.8</w:t>
            </w:r>
          </w:p>
        </w:tc>
      </w:tr>
      <w:tr w14:paraId="2748B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vMerge w:val="continue"/>
            <w:vAlign w:val="center"/>
          </w:tcPr>
          <w:p w14:paraId="53D15C74">
            <w:pPr>
              <w:pStyle w:val="61"/>
              <w:spacing w:line="300" w:lineRule="exact"/>
            </w:pPr>
          </w:p>
        </w:tc>
        <w:tc>
          <w:tcPr>
            <w:tcW w:w="488" w:type="pct"/>
            <w:vMerge w:val="continue"/>
            <w:vAlign w:val="center"/>
          </w:tcPr>
          <w:p w14:paraId="675D00FC">
            <w:pPr>
              <w:pStyle w:val="61"/>
              <w:spacing w:line="300" w:lineRule="exact"/>
            </w:pPr>
          </w:p>
        </w:tc>
        <w:tc>
          <w:tcPr>
            <w:tcW w:w="626" w:type="pct"/>
            <w:vAlign w:val="center"/>
          </w:tcPr>
          <w:p w14:paraId="66B14E00">
            <w:pPr>
              <w:pStyle w:val="61"/>
              <w:spacing w:line="300" w:lineRule="exact"/>
            </w:pPr>
            <w:r>
              <w:rPr>
                <w:rFonts w:hint="eastAsia"/>
              </w:rPr>
              <w:t>其他</w:t>
            </w:r>
          </w:p>
        </w:tc>
        <w:tc>
          <w:tcPr>
            <w:tcW w:w="857" w:type="pct"/>
            <w:vAlign w:val="center"/>
          </w:tcPr>
          <w:p w14:paraId="471AD839">
            <w:pPr>
              <w:pStyle w:val="61"/>
              <w:spacing w:line="300" w:lineRule="exact"/>
            </w:pPr>
            <w:r>
              <w:t>0.3</w:t>
            </w:r>
          </w:p>
        </w:tc>
        <w:tc>
          <w:tcPr>
            <w:tcW w:w="857" w:type="pct"/>
            <w:vAlign w:val="center"/>
          </w:tcPr>
          <w:p w14:paraId="5F6FC2EF">
            <w:pPr>
              <w:pStyle w:val="61"/>
              <w:spacing w:line="300" w:lineRule="exact"/>
            </w:pPr>
            <w:r>
              <w:t>0.3</w:t>
            </w:r>
          </w:p>
        </w:tc>
        <w:tc>
          <w:tcPr>
            <w:tcW w:w="857" w:type="pct"/>
            <w:vAlign w:val="center"/>
          </w:tcPr>
          <w:p w14:paraId="7046EB68">
            <w:pPr>
              <w:pStyle w:val="61"/>
              <w:spacing w:line="300" w:lineRule="exact"/>
            </w:pPr>
            <w:r>
              <w:t>0.3</w:t>
            </w:r>
          </w:p>
        </w:tc>
        <w:tc>
          <w:tcPr>
            <w:tcW w:w="858" w:type="pct"/>
            <w:vAlign w:val="center"/>
          </w:tcPr>
          <w:p w14:paraId="397BDD0E">
            <w:pPr>
              <w:pStyle w:val="61"/>
              <w:spacing w:line="300" w:lineRule="exact"/>
            </w:pPr>
            <w:r>
              <w:t>0.6</w:t>
            </w:r>
          </w:p>
        </w:tc>
      </w:tr>
      <w:tr w14:paraId="67A4C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5" w:type="pct"/>
            <w:vMerge w:val="restart"/>
            <w:vAlign w:val="center"/>
          </w:tcPr>
          <w:p w14:paraId="2A056C2B">
            <w:pPr>
              <w:pStyle w:val="61"/>
              <w:spacing w:line="300" w:lineRule="exact"/>
            </w:pPr>
            <w:r>
              <w:t>2</w:t>
            </w:r>
          </w:p>
        </w:tc>
        <w:tc>
          <w:tcPr>
            <w:tcW w:w="488" w:type="pct"/>
            <w:vMerge w:val="restart"/>
            <w:vAlign w:val="center"/>
          </w:tcPr>
          <w:p w14:paraId="1C40479D">
            <w:pPr>
              <w:pStyle w:val="61"/>
              <w:spacing w:line="300" w:lineRule="exact"/>
            </w:pPr>
            <w:r>
              <w:rPr>
                <w:rFonts w:hint="eastAsia"/>
              </w:rPr>
              <w:t>汞</w:t>
            </w:r>
          </w:p>
        </w:tc>
        <w:tc>
          <w:tcPr>
            <w:tcW w:w="626" w:type="pct"/>
            <w:vAlign w:val="center"/>
          </w:tcPr>
          <w:p w14:paraId="358797A1">
            <w:pPr>
              <w:pStyle w:val="61"/>
              <w:spacing w:line="300" w:lineRule="exact"/>
            </w:pPr>
            <w:r>
              <w:rPr>
                <w:rFonts w:hint="eastAsia"/>
              </w:rPr>
              <w:t>水田</w:t>
            </w:r>
          </w:p>
        </w:tc>
        <w:tc>
          <w:tcPr>
            <w:tcW w:w="857" w:type="pct"/>
            <w:vAlign w:val="center"/>
          </w:tcPr>
          <w:p w14:paraId="0029CC03">
            <w:pPr>
              <w:pStyle w:val="61"/>
              <w:spacing w:line="300" w:lineRule="exact"/>
            </w:pPr>
            <w:r>
              <w:t>0.5</w:t>
            </w:r>
          </w:p>
        </w:tc>
        <w:tc>
          <w:tcPr>
            <w:tcW w:w="857" w:type="pct"/>
            <w:vAlign w:val="center"/>
          </w:tcPr>
          <w:p w14:paraId="69474132">
            <w:pPr>
              <w:pStyle w:val="61"/>
              <w:spacing w:line="300" w:lineRule="exact"/>
            </w:pPr>
            <w:r>
              <w:t>0.5</w:t>
            </w:r>
          </w:p>
        </w:tc>
        <w:tc>
          <w:tcPr>
            <w:tcW w:w="857" w:type="pct"/>
            <w:vAlign w:val="center"/>
          </w:tcPr>
          <w:p w14:paraId="5B6EEE79">
            <w:pPr>
              <w:pStyle w:val="61"/>
              <w:spacing w:line="300" w:lineRule="exact"/>
            </w:pPr>
            <w:r>
              <w:t>0.6</w:t>
            </w:r>
          </w:p>
        </w:tc>
        <w:tc>
          <w:tcPr>
            <w:tcW w:w="858" w:type="pct"/>
            <w:vAlign w:val="center"/>
          </w:tcPr>
          <w:p w14:paraId="7049AD67">
            <w:pPr>
              <w:pStyle w:val="61"/>
              <w:spacing w:line="300" w:lineRule="exact"/>
            </w:pPr>
            <w:r>
              <w:t>1.0</w:t>
            </w:r>
          </w:p>
        </w:tc>
      </w:tr>
      <w:tr w14:paraId="2E694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5" w:type="pct"/>
            <w:vMerge w:val="continue"/>
            <w:vAlign w:val="center"/>
          </w:tcPr>
          <w:p w14:paraId="54625139">
            <w:pPr>
              <w:pStyle w:val="61"/>
              <w:spacing w:line="300" w:lineRule="exact"/>
            </w:pPr>
          </w:p>
        </w:tc>
        <w:tc>
          <w:tcPr>
            <w:tcW w:w="488" w:type="pct"/>
            <w:vMerge w:val="continue"/>
            <w:vAlign w:val="center"/>
          </w:tcPr>
          <w:p w14:paraId="63B86BB1">
            <w:pPr>
              <w:pStyle w:val="61"/>
              <w:spacing w:line="300" w:lineRule="exact"/>
            </w:pPr>
          </w:p>
        </w:tc>
        <w:tc>
          <w:tcPr>
            <w:tcW w:w="626" w:type="pct"/>
            <w:vAlign w:val="center"/>
          </w:tcPr>
          <w:p w14:paraId="563349E9">
            <w:pPr>
              <w:pStyle w:val="61"/>
              <w:spacing w:line="300" w:lineRule="exact"/>
            </w:pPr>
            <w:r>
              <w:rPr>
                <w:rFonts w:hint="eastAsia"/>
              </w:rPr>
              <w:t>其他</w:t>
            </w:r>
          </w:p>
        </w:tc>
        <w:tc>
          <w:tcPr>
            <w:tcW w:w="857" w:type="pct"/>
            <w:vAlign w:val="center"/>
          </w:tcPr>
          <w:p w14:paraId="4F90D3A9">
            <w:pPr>
              <w:pStyle w:val="61"/>
              <w:spacing w:line="300" w:lineRule="exact"/>
            </w:pPr>
            <w:r>
              <w:t>1.3</w:t>
            </w:r>
          </w:p>
        </w:tc>
        <w:tc>
          <w:tcPr>
            <w:tcW w:w="857" w:type="pct"/>
            <w:vAlign w:val="center"/>
          </w:tcPr>
          <w:p w14:paraId="5019D960">
            <w:pPr>
              <w:pStyle w:val="61"/>
              <w:spacing w:line="300" w:lineRule="exact"/>
            </w:pPr>
            <w:r>
              <w:t>1.8</w:t>
            </w:r>
          </w:p>
        </w:tc>
        <w:tc>
          <w:tcPr>
            <w:tcW w:w="857" w:type="pct"/>
            <w:vAlign w:val="center"/>
          </w:tcPr>
          <w:p w14:paraId="7E8F1A31">
            <w:pPr>
              <w:pStyle w:val="61"/>
              <w:spacing w:line="300" w:lineRule="exact"/>
            </w:pPr>
            <w:r>
              <w:t>2.4</w:t>
            </w:r>
          </w:p>
        </w:tc>
        <w:tc>
          <w:tcPr>
            <w:tcW w:w="858" w:type="pct"/>
            <w:vAlign w:val="center"/>
          </w:tcPr>
          <w:p w14:paraId="7F7CAB3E">
            <w:pPr>
              <w:pStyle w:val="61"/>
              <w:spacing w:line="300" w:lineRule="exact"/>
            </w:pPr>
            <w:r>
              <w:t>3.4</w:t>
            </w:r>
          </w:p>
        </w:tc>
      </w:tr>
      <w:tr w14:paraId="1E5EA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5" w:type="pct"/>
            <w:vMerge w:val="restart"/>
            <w:vAlign w:val="center"/>
          </w:tcPr>
          <w:p w14:paraId="6BE89E0E">
            <w:pPr>
              <w:pStyle w:val="61"/>
              <w:spacing w:line="300" w:lineRule="exact"/>
            </w:pPr>
            <w:r>
              <w:t>3</w:t>
            </w:r>
          </w:p>
        </w:tc>
        <w:tc>
          <w:tcPr>
            <w:tcW w:w="488" w:type="pct"/>
            <w:vMerge w:val="restart"/>
            <w:vAlign w:val="center"/>
          </w:tcPr>
          <w:p w14:paraId="04D8D3DC">
            <w:pPr>
              <w:pStyle w:val="61"/>
              <w:spacing w:line="300" w:lineRule="exact"/>
            </w:pPr>
            <w:r>
              <w:rPr>
                <w:rFonts w:hint="eastAsia"/>
              </w:rPr>
              <w:t>砷</w:t>
            </w:r>
          </w:p>
        </w:tc>
        <w:tc>
          <w:tcPr>
            <w:tcW w:w="626" w:type="pct"/>
            <w:vAlign w:val="center"/>
          </w:tcPr>
          <w:p w14:paraId="0BD0694C">
            <w:pPr>
              <w:pStyle w:val="61"/>
              <w:spacing w:line="300" w:lineRule="exact"/>
            </w:pPr>
            <w:r>
              <w:rPr>
                <w:rFonts w:hint="eastAsia"/>
              </w:rPr>
              <w:t>水田</w:t>
            </w:r>
          </w:p>
        </w:tc>
        <w:tc>
          <w:tcPr>
            <w:tcW w:w="857" w:type="pct"/>
            <w:vAlign w:val="center"/>
          </w:tcPr>
          <w:p w14:paraId="755EFA32">
            <w:pPr>
              <w:pStyle w:val="61"/>
              <w:spacing w:line="300" w:lineRule="exact"/>
            </w:pPr>
            <w:r>
              <w:t>30</w:t>
            </w:r>
          </w:p>
        </w:tc>
        <w:tc>
          <w:tcPr>
            <w:tcW w:w="857" w:type="pct"/>
            <w:vAlign w:val="center"/>
          </w:tcPr>
          <w:p w14:paraId="49CB6ACF">
            <w:pPr>
              <w:pStyle w:val="61"/>
              <w:spacing w:line="300" w:lineRule="exact"/>
            </w:pPr>
            <w:r>
              <w:t>30</w:t>
            </w:r>
          </w:p>
        </w:tc>
        <w:tc>
          <w:tcPr>
            <w:tcW w:w="857" w:type="pct"/>
            <w:vAlign w:val="center"/>
          </w:tcPr>
          <w:p w14:paraId="7B9A4AF0">
            <w:pPr>
              <w:pStyle w:val="61"/>
              <w:spacing w:line="300" w:lineRule="exact"/>
            </w:pPr>
            <w:r>
              <w:t>25</w:t>
            </w:r>
          </w:p>
        </w:tc>
        <w:tc>
          <w:tcPr>
            <w:tcW w:w="858" w:type="pct"/>
            <w:vAlign w:val="center"/>
          </w:tcPr>
          <w:p w14:paraId="4455BCD2">
            <w:pPr>
              <w:pStyle w:val="61"/>
              <w:spacing w:line="300" w:lineRule="exact"/>
            </w:pPr>
            <w:r>
              <w:t>20</w:t>
            </w:r>
          </w:p>
        </w:tc>
      </w:tr>
      <w:tr w14:paraId="309164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5" w:type="pct"/>
            <w:vMerge w:val="continue"/>
            <w:vAlign w:val="center"/>
          </w:tcPr>
          <w:p w14:paraId="3B71F0C7">
            <w:pPr>
              <w:pStyle w:val="61"/>
              <w:spacing w:line="300" w:lineRule="exact"/>
            </w:pPr>
          </w:p>
        </w:tc>
        <w:tc>
          <w:tcPr>
            <w:tcW w:w="488" w:type="pct"/>
            <w:vMerge w:val="continue"/>
            <w:vAlign w:val="center"/>
          </w:tcPr>
          <w:p w14:paraId="142BC53B">
            <w:pPr>
              <w:pStyle w:val="61"/>
              <w:spacing w:line="300" w:lineRule="exact"/>
            </w:pPr>
          </w:p>
        </w:tc>
        <w:tc>
          <w:tcPr>
            <w:tcW w:w="626" w:type="pct"/>
            <w:vAlign w:val="center"/>
          </w:tcPr>
          <w:p w14:paraId="5E24DBBB">
            <w:pPr>
              <w:pStyle w:val="61"/>
              <w:spacing w:line="300" w:lineRule="exact"/>
            </w:pPr>
            <w:r>
              <w:rPr>
                <w:rFonts w:hint="eastAsia"/>
              </w:rPr>
              <w:t>其他</w:t>
            </w:r>
          </w:p>
        </w:tc>
        <w:tc>
          <w:tcPr>
            <w:tcW w:w="857" w:type="pct"/>
            <w:vAlign w:val="center"/>
          </w:tcPr>
          <w:p w14:paraId="74C36302">
            <w:pPr>
              <w:pStyle w:val="61"/>
              <w:spacing w:line="300" w:lineRule="exact"/>
            </w:pPr>
            <w:r>
              <w:t>40</w:t>
            </w:r>
          </w:p>
        </w:tc>
        <w:tc>
          <w:tcPr>
            <w:tcW w:w="857" w:type="pct"/>
            <w:vAlign w:val="center"/>
          </w:tcPr>
          <w:p w14:paraId="33EB41D5">
            <w:pPr>
              <w:pStyle w:val="61"/>
              <w:spacing w:line="300" w:lineRule="exact"/>
            </w:pPr>
            <w:r>
              <w:t>40</w:t>
            </w:r>
          </w:p>
        </w:tc>
        <w:tc>
          <w:tcPr>
            <w:tcW w:w="857" w:type="pct"/>
            <w:vAlign w:val="center"/>
          </w:tcPr>
          <w:p w14:paraId="21700B2A">
            <w:pPr>
              <w:pStyle w:val="61"/>
              <w:spacing w:line="300" w:lineRule="exact"/>
            </w:pPr>
            <w:r>
              <w:t>30</w:t>
            </w:r>
          </w:p>
        </w:tc>
        <w:tc>
          <w:tcPr>
            <w:tcW w:w="858" w:type="pct"/>
            <w:vAlign w:val="center"/>
          </w:tcPr>
          <w:p w14:paraId="2A418924">
            <w:pPr>
              <w:pStyle w:val="61"/>
              <w:spacing w:line="300" w:lineRule="exact"/>
            </w:pPr>
            <w:r>
              <w:t>25</w:t>
            </w:r>
          </w:p>
        </w:tc>
      </w:tr>
      <w:tr w14:paraId="4B23A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5" w:type="pct"/>
            <w:vMerge w:val="restart"/>
            <w:vAlign w:val="center"/>
          </w:tcPr>
          <w:p w14:paraId="5DC2E9D2">
            <w:pPr>
              <w:pStyle w:val="61"/>
              <w:spacing w:line="300" w:lineRule="exact"/>
            </w:pPr>
            <w:r>
              <w:t>4</w:t>
            </w:r>
          </w:p>
        </w:tc>
        <w:tc>
          <w:tcPr>
            <w:tcW w:w="488" w:type="pct"/>
            <w:vMerge w:val="restart"/>
            <w:vAlign w:val="center"/>
          </w:tcPr>
          <w:p w14:paraId="4F909DDE">
            <w:pPr>
              <w:pStyle w:val="61"/>
              <w:spacing w:line="300" w:lineRule="exact"/>
            </w:pPr>
            <w:r>
              <w:rPr>
                <w:rFonts w:hint="eastAsia"/>
              </w:rPr>
              <w:t>铅</w:t>
            </w:r>
          </w:p>
        </w:tc>
        <w:tc>
          <w:tcPr>
            <w:tcW w:w="626" w:type="pct"/>
            <w:vAlign w:val="center"/>
          </w:tcPr>
          <w:p w14:paraId="6CCD6F56">
            <w:pPr>
              <w:pStyle w:val="61"/>
              <w:spacing w:line="300" w:lineRule="exact"/>
            </w:pPr>
            <w:r>
              <w:rPr>
                <w:rFonts w:hint="eastAsia"/>
              </w:rPr>
              <w:t>水田</w:t>
            </w:r>
          </w:p>
        </w:tc>
        <w:tc>
          <w:tcPr>
            <w:tcW w:w="857" w:type="pct"/>
            <w:vAlign w:val="center"/>
          </w:tcPr>
          <w:p w14:paraId="5777B63F">
            <w:pPr>
              <w:pStyle w:val="61"/>
              <w:spacing w:line="300" w:lineRule="exact"/>
            </w:pPr>
            <w:r>
              <w:t>80</w:t>
            </w:r>
          </w:p>
        </w:tc>
        <w:tc>
          <w:tcPr>
            <w:tcW w:w="857" w:type="pct"/>
            <w:vAlign w:val="center"/>
          </w:tcPr>
          <w:p w14:paraId="192D9A34">
            <w:pPr>
              <w:pStyle w:val="61"/>
              <w:spacing w:line="300" w:lineRule="exact"/>
            </w:pPr>
            <w:r>
              <w:t>100</w:t>
            </w:r>
          </w:p>
        </w:tc>
        <w:tc>
          <w:tcPr>
            <w:tcW w:w="857" w:type="pct"/>
            <w:vAlign w:val="center"/>
          </w:tcPr>
          <w:p w14:paraId="64ED6A83">
            <w:pPr>
              <w:pStyle w:val="61"/>
              <w:spacing w:line="300" w:lineRule="exact"/>
            </w:pPr>
            <w:r>
              <w:t>140</w:t>
            </w:r>
          </w:p>
        </w:tc>
        <w:tc>
          <w:tcPr>
            <w:tcW w:w="858" w:type="pct"/>
            <w:vAlign w:val="center"/>
          </w:tcPr>
          <w:p w14:paraId="13E9B4C0">
            <w:pPr>
              <w:pStyle w:val="61"/>
              <w:spacing w:line="300" w:lineRule="exact"/>
            </w:pPr>
            <w:r>
              <w:t>240</w:t>
            </w:r>
          </w:p>
        </w:tc>
      </w:tr>
      <w:tr w14:paraId="074059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5" w:type="pct"/>
            <w:vMerge w:val="continue"/>
            <w:vAlign w:val="center"/>
          </w:tcPr>
          <w:p w14:paraId="6BB6E1A4">
            <w:pPr>
              <w:pStyle w:val="61"/>
              <w:spacing w:line="300" w:lineRule="exact"/>
            </w:pPr>
          </w:p>
        </w:tc>
        <w:tc>
          <w:tcPr>
            <w:tcW w:w="488" w:type="pct"/>
            <w:vMerge w:val="continue"/>
            <w:vAlign w:val="center"/>
          </w:tcPr>
          <w:p w14:paraId="6F399570">
            <w:pPr>
              <w:pStyle w:val="61"/>
              <w:spacing w:line="300" w:lineRule="exact"/>
            </w:pPr>
          </w:p>
        </w:tc>
        <w:tc>
          <w:tcPr>
            <w:tcW w:w="626" w:type="pct"/>
            <w:vAlign w:val="center"/>
          </w:tcPr>
          <w:p w14:paraId="6692C605">
            <w:pPr>
              <w:pStyle w:val="61"/>
              <w:spacing w:line="300" w:lineRule="exact"/>
            </w:pPr>
            <w:r>
              <w:rPr>
                <w:rFonts w:hint="eastAsia"/>
              </w:rPr>
              <w:t>其他</w:t>
            </w:r>
          </w:p>
        </w:tc>
        <w:tc>
          <w:tcPr>
            <w:tcW w:w="857" w:type="pct"/>
            <w:vAlign w:val="center"/>
          </w:tcPr>
          <w:p w14:paraId="4B99A794">
            <w:pPr>
              <w:pStyle w:val="61"/>
              <w:spacing w:line="300" w:lineRule="exact"/>
            </w:pPr>
            <w:r>
              <w:t>70</w:t>
            </w:r>
          </w:p>
        </w:tc>
        <w:tc>
          <w:tcPr>
            <w:tcW w:w="857" w:type="pct"/>
            <w:vAlign w:val="center"/>
          </w:tcPr>
          <w:p w14:paraId="56A0DAB7">
            <w:pPr>
              <w:pStyle w:val="61"/>
              <w:spacing w:line="300" w:lineRule="exact"/>
            </w:pPr>
            <w:r>
              <w:t>90</w:t>
            </w:r>
          </w:p>
        </w:tc>
        <w:tc>
          <w:tcPr>
            <w:tcW w:w="857" w:type="pct"/>
            <w:vAlign w:val="center"/>
          </w:tcPr>
          <w:p w14:paraId="6BC0EB7A">
            <w:pPr>
              <w:pStyle w:val="61"/>
              <w:spacing w:line="300" w:lineRule="exact"/>
            </w:pPr>
            <w:r>
              <w:t>120</w:t>
            </w:r>
          </w:p>
        </w:tc>
        <w:tc>
          <w:tcPr>
            <w:tcW w:w="858" w:type="pct"/>
            <w:vAlign w:val="center"/>
          </w:tcPr>
          <w:p w14:paraId="3409DEDD">
            <w:pPr>
              <w:pStyle w:val="61"/>
              <w:spacing w:line="300" w:lineRule="exact"/>
            </w:pPr>
            <w:r>
              <w:t>170</w:t>
            </w:r>
          </w:p>
        </w:tc>
      </w:tr>
      <w:tr w14:paraId="630B0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5" w:type="pct"/>
            <w:vMerge w:val="restart"/>
            <w:vAlign w:val="center"/>
          </w:tcPr>
          <w:p w14:paraId="4EEF4691">
            <w:pPr>
              <w:pStyle w:val="61"/>
              <w:spacing w:line="300" w:lineRule="exact"/>
            </w:pPr>
            <w:r>
              <w:t>5</w:t>
            </w:r>
          </w:p>
        </w:tc>
        <w:tc>
          <w:tcPr>
            <w:tcW w:w="488" w:type="pct"/>
            <w:vMerge w:val="restart"/>
            <w:vAlign w:val="center"/>
          </w:tcPr>
          <w:p w14:paraId="2A4AD88F">
            <w:pPr>
              <w:pStyle w:val="61"/>
              <w:spacing w:line="300" w:lineRule="exact"/>
            </w:pPr>
            <w:r>
              <w:rPr>
                <w:rFonts w:hint="eastAsia"/>
              </w:rPr>
              <w:t>铬</w:t>
            </w:r>
          </w:p>
        </w:tc>
        <w:tc>
          <w:tcPr>
            <w:tcW w:w="626" w:type="pct"/>
            <w:vAlign w:val="center"/>
          </w:tcPr>
          <w:p w14:paraId="352E287C">
            <w:pPr>
              <w:pStyle w:val="61"/>
              <w:spacing w:line="300" w:lineRule="exact"/>
            </w:pPr>
            <w:r>
              <w:rPr>
                <w:rFonts w:hint="eastAsia"/>
              </w:rPr>
              <w:t>水田</w:t>
            </w:r>
          </w:p>
        </w:tc>
        <w:tc>
          <w:tcPr>
            <w:tcW w:w="857" w:type="pct"/>
            <w:vAlign w:val="center"/>
          </w:tcPr>
          <w:p w14:paraId="6CE6DFB1">
            <w:pPr>
              <w:pStyle w:val="61"/>
              <w:spacing w:line="300" w:lineRule="exact"/>
            </w:pPr>
            <w:r>
              <w:t>250</w:t>
            </w:r>
          </w:p>
        </w:tc>
        <w:tc>
          <w:tcPr>
            <w:tcW w:w="857" w:type="pct"/>
            <w:vAlign w:val="center"/>
          </w:tcPr>
          <w:p w14:paraId="5487D293">
            <w:pPr>
              <w:pStyle w:val="61"/>
              <w:spacing w:line="300" w:lineRule="exact"/>
            </w:pPr>
            <w:r>
              <w:t>250</w:t>
            </w:r>
          </w:p>
        </w:tc>
        <w:tc>
          <w:tcPr>
            <w:tcW w:w="857" w:type="pct"/>
            <w:vAlign w:val="center"/>
          </w:tcPr>
          <w:p w14:paraId="400A59A5">
            <w:pPr>
              <w:pStyle w:val="61"/>
              <w:spacing w:line="300" w:lineRule="exact"/>
            </w:pPr>
            <w:r>
              <w:t>300</w:t>
            </w:r>
          </w:p>
        </w:tc>
        <w:tc>
          <w:tcPr>
            <w:tcW w:w="858" w:type="pct"/>
            <w:vAlign w:val="center"/>
          </w:tcPr>
          <w:p w14:paraId="47F3E387">
            <w:pPr>
              <w:pStyle w:val="61"/>
              <w:spacing w:line="300" w:lineRule="exact"/>
            </w:pPr>
            <w:r>
              <w:t>350</w:t>
            </w:r>
          </w:p>
        </w:tc>
      </w:tr>
      <w:tr w14:paraId="57EF3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5" w:type="pct"/>
            <w:vMerge w:val="continue"/>
            <w:vAlign w:val="center"/>
          </w:tcPr>
          <w:p w14:paraId="1FB805A4">
            <w:pPr>
              <w:pStyle w:val="61"/>
              <w:spacing w:line="300" w:lineRule="exact"/>
            </w:pPr>
          </w:p>
        </w:tc>
        <w:tc>
          <w:tcPr>
            <w:tcW w:w="488" w:type="pct"/>
            <w:vMerge w:val="continue"/>
            <w:vAlign w:val="center"/>
          </w:tcPr>
          <w:p w14:paraId="6150D0F3">
            <w:pPr>
              <w:pStyle w:val="61"/>
              <w:spacing w:line="300" w:lineRule="exact"/>
            </w:pPr>
          </w:p>
        </w:tc>
        <w:tc>
          <w:tcPr>
            <w:tcW w:w="626" w:type="pct"/>
            <w:vAlign w:val="center"/>
          </w:tcPr>
          <w:p w14:paraId="15491562">
            <w:pPr>
              <w:pStyle w:val="61"/>
              <w:spacing w:line="300" w:lineRule="exact"/>
            </w:pPr>
            <w:r>
              <w:rPr>
                <w:rFonts w:hint="eastAsia"/>
              </w:rPr>
              <w:t>其他</w:t>
            </w:r>
          </w:p>
        </w:tc>
        <w:tc>
          <w:tcPr>
            <w:tcW w:w="857" w:type="pct"/>
            <w:vAlign w:val="center"/>
          </w:tcPr>
          <w:p w14:paraId="0C486323">
            <w:pPr>
              <w:pStyle w:val="61"/>
              <w:spacing w:line="300" w:lineRule="exact"/>
            </w:pPr>
            <w:r>
              <w:t>150</w:t>
            </w:r>
          </w:p>
        </w:tc>
        <w:tc>
          <w:tcPr>
            <w:tcW w:w="857" w:type="pct"/>
            <w:vAlign w:val="center"/>
          </w:tcPr>
          <w:p w14:paraId="024014A2">
            <w:pPr>
              <w:pStyle w:val="61"/>
              <w:spacing w:line="300" w:lineRule="exact"/>
            </w:pPr>
            <w:r>
              <w:t>150</w:t>
            </w:r>
          </w:p>
        </w:tc>
        <w:tc>
          <w:tcPr>
            <w:tcW w:w="857" w:type="pct"/>
            <w:vAlign w:val="center"/>
          </w:tcPr>
          <w:p w14:paraId="02962BD7">
            <w:pPr>
              <w:pStyle w:val="61"/>
              <w:spacing w:line="300" w:lineRule="exact"/>
            </w:pPr>
            <w:r>
              <w:t>200</w:t>
            </w:r>
          </w:p>
        </w:tc>
        <w:tc>
          <w:tcPr>
            <w:tcW w:w="858" w:type="pct"/>
            <w:vAlign w:val="center"/>
          </w:tcPr>
          <w:p w14:paraId="75365387">
            <w:pPr>
              <w:pStyle w:val="61"/>
              <w:spacing w:line="300" w:lineRule="exact"/>
            </w:pPr>
            <w:r>
              <w:t>250</w:t>
            </w:r>
          </w:p>
        </w:tc>
      </w:tr>
      <w:tr w14:paraId="0AA1A5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5" w:type="pct"/>
            <w:vMerge w:val="restart"/>
            <w:vAlign w:val="center"/>
          </w:tcPr>
          <w:p w14:paraId="12B29DD4">
            <w:pPr>
              <w:pStyle w:val="61"/>
              <w:spacing w:line="300" w:lineRule="exact"/>
            </w:pPr>
            <w:r>
              <w:t>6</w:t>
            </w:r>
          </w:p>
        </w:tc>
        <w:tc>
          <w:tcPr>
            <w:tcW w:w="488" w:type="pct"/>
            <w:vMerge w:val="restart"/>
            <w:vAlign w:val="center"/>
          </w:tcPr>
          <w:p w14:paraId="2548F97A">
            <w:pPr>
              <w:pStyle w:val="61"/>
              <w:spacing w:line="300" w:lineRule="exact"/>
            </w:pPr>
            <w:r>
              <w:rPr>
                <w:rFonts w:hint="eastAsia"/>
              </w:rPr>
              <w:t>铜</w:t>
            </w:r>
          </w:p>
        </w:tc>
        <w:tc>
          <w:tcPr>
            <w:tcW w:w="626" w:type="pct"/>
            <w:vAlign w:val="center"/>
          </w:tcPr>
          <w:p w14:paraId="519606B0">
            <w:pPr>
              <w:pStyle w:val="61"/>
              <w:spacing w:line="300" w:lineRule="exact"/>
            </w:pPr>
            <w:r>
              <w:rPr>
                <w:rFonts w:hint="eastAsia"/>
              </w:rPr>
              <w:t>果园</w:t>
            </w:r>
          </w:p>
        </w:tc>
        <w:tc>
          <w:tcPr>
            <w:tcW w:w="857" w:type="pct"/>
            <w:vAlign w:val="center"/>
          </w:tcPr>
          <w:p w14:paraId="2CEBAE2A">
            <w:pPr>
              <w:pStyle w:val="61"/>
              <w:spacing w:line="300" w:lineRule="exact"/>
            </w:pPr>
            <w:r>
              <w:t>150</w:t>
            </w:r>
          </w:p>
        </w:tc>
        <w:tc>
          <w:tcPr>
            <w:tcW w:w="857" w:type="pct"/>
            <w:vAlign w:val="center"/>
          </w:tcPr>
          <w:p w14:paraId="7FA4D3EA">
            <w:pPr>
              <w:pStyle w:val="61"/>
              <w:spacing w:line="300" w:lineRule="exact"/>
            </w:pPr>
            <w:r>
              <w:t>150</w:t>
            </w:r>
          </w:p>
        </w:tc>
        <w:tc>
          <w:tcPr>
            <w:tcW w:w="857" w:type="pct"/>
            <w:vAlign w:val="center"/>
          </w:tcPr>
          <w:p w14:paraId="50F88632">
            <w:pPr>
              <w:pStyle w:val="61"/>
              <w:spacing w:line="300" w:lineRule="exact"/>
            </w:pPr>
            <w:r>
              <w:t>200</w:t>
            </w:r>
          </w:p>
        </w:tc>
        <w:tc>
          <w:tcPr>
            <w:tcW w:w="858" w:type="pct"/>
            <w:vAlign w:val="center"/>
          </w:tcPr>
          <w:p w14:paraId="0026D317">
            <w:pPr>
              <w:pStyle w:val="61"/>
              <w:spacing w:line="300" w:lineRule="exact"/>
            </w:pPr>
            <w:r>
              <w:t>200</w:t>
            </w:r>
          </w:p>
        </w:tc>
      </w:tr>
      <w:tr w14:paraId="53F60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5" w:type="pct"/>
            <w:vMerge w:val="continue"/>
            <w:vAlign w:val="center"/>
          </w:tcPr>
          <w:p w14:paraId="1FFD41F8">
            <w:pPr>
              <w:pStyle w:val="61"/>
              <w:spacing w:line="300" w:lineRule="exact"/>
            </w:pPr>
          </w:p>
        </w:tc>
        <w:tc>
          <w:tcPr>
            <w:tcW w:w="488" w:type="pct"/>
            <w:vMerge w:val="continue"/>
            <w:vAlign w:val="center"/>
          </w:tcPr>
          <w:p w14:paraId="2417D3E5">
            <w:pPr>
              <w:pStyle w:val="61"/>
              <w:spacing w:line="300" w:lineRule="exact"/>
            </w:pPr>
          </w:p>
        </w:tc>
        <w:tc>
          <w:tcPr>
            <w:tcW w:w="626" w:type="pct"/>
            <w:vAlign w:val="center"/>
          </w:tcPr>
          <w:p w14:paraId="53B07369">
            <w:pPr>
              <w:pStyle w:val="61"/>
              <w:spacing w:line="300" w:lineRule="exact"/>
            </w:pPr>
            <w:r>
              <w:rPr>
                <w:rFonts w:hint="eastAsia"/>
              </w:rPr>
              <w:t>其他</w:t>
            </w:r>
          </w:p>
        </w:tc>
        <w:tc>
          <w:tcPr>
            <w:tcW w:w="857" w:type="pct"/>
            <w:vAlign w:val="center"/>
          </w:tcPr>
          <w:p w14:paraId="5709B2FE">
            <w:pPr>
              <w:pStyle w:val="61"/>
              <w:spacing w:line="300" w:lineRule="exact"/>
            </w:pPr>
            <w:r>
              <w:t>50</w:t>
            </w:r>
          </w:p>
        </w:tc>
        <w:tc>
          <w:tcPr>
            <w:tcW w:w="857" w:type="pct"/>
            <w:vAlign w:val="center"/>
          </w:tcPr>
          <w:p w14:paraId="0D84BF65">
            <w:pPr>
              <w:pStyle w:val="61"/>
              <w:spacing w:line="300" w:lineRule="exact"/>
            </w:pPr>
            <w:r>
              <w:t>50</w:t>
            </w:r>
          </w:p>
        </w:tc>
        <w:tc>
          <w:tcPr>
            <w:tcW w:w="857" w:type="pct"/>
            <w:vAlign w:val="center"/>
          </w:tcPr>
          <w:p w14:paraId="140BA233">
            <w:pPr>
              <w:pStyle w:val="61"/>
              <w:spacing w:line="300" w:lineRule="exact"/>
            </w:pPr>
            <w:r>
              <w:t>100</w:t>
            </w:r>
          </w:p>
        </w:tc>
        <w:tc>
          <w:tcPr>
            <w:tcW w:w="858" w:type="pct"/>
            <w:vAlign w:val="center"/>
          </w:tcPr>
          <w:p w14:paraId="1018A2A3">
            <w:pPr>
              <w:pStyle w:val="61"/>
              <w:spacing w:line="300" w:lineRule="exact"/>
            </w:pPr>
            <w:r>
              <w:t>100</w:t>
            </w:r>
          </w:p>
        </w:tc>
      </w:tr>
      <w:tr w14:paraId="3FEA3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5" w:type="pct"/>
            <w:vAlign w:val="center"/>
          </w:tcPr>
          <w:p w14:paraId="4FF0CA35">
            <w:pPr>
              <w:pStyle w:val="61"/>
              <w:spacing w:line="300" w:lineRule="exact"/>
            </w:pPr>
            <w:r>
              <w:t>7</w:t>
            </w:r>
          </w:p>
        </w:tc>
        <w:tc>
          <w:tcPr>
            <w:tcW w:w="1114" w:type="pct"/>
            <w:gridSpan w:val="2"/>
            <w:vAlign w:val="center"/>
          </w:tcPr>
          <w:p w14:paraId="6DCEEEA4">
            <w:pPr>
              <w:pStyle w:val="61"/>
              <w:spacing w:line="300" w:lineRule="exact"/>
            </w:pPr>
            <w:r>
              <w:rPr>
                <w:rFonts w:hint="eastAsia"/>
              </w:rPr>
              <w:t>镍</w:t>
            </w:r>
          </w:p>
        </w:tc>
        <w:tc>
          <w:tcPr>
            <w:tcW w:w="857" w:type="pct"/>
            <w:vAlign w:val="center"/>
          </w:tcPr>
          <w:p w14:paraId="79A09359">
            <w:pPr>
              <w:pStyle w:val="61"/>
              <w:spacing w:line="300" w:lineRule="exact"/>
            </w:pPr>
            <w:r>
              <w:t>60</w:t>
            </w:r>
          </w:p>
        </w:tc>
        <w:tc>
          <w:tcPr>
            <w:tcW w:w="857" w:type="pct"/>
            <w:vAlign w:val="center"/>
          </w:tcPr>
          <w:p w14:paraId="7288AB85">
            <w:pPr>
              <w:pStyle w:val="61"/>
              <w:spacing w:line="300" w:lineRule="exact"/>
            </w:pPr>
            <w:r>
              <w:t>70</w:t>
            </w:r>
          </w:p>
        </w:tc>
        <w:tc>
          <w:tcPr>
            <w:tcW w:w="857" w:type="pct"/>
            <w:vAlign w:val="center"/>
          </w:tcPr>
          <w:p w14:paraId="38A23874">
            <w:pPr>
              <w:pStyle w:val="61"/>
              <w:spacing w:line="300" w:lineRule="exact"/>
            </w:pPr>
            <w:r>
              <w:t>100</w:t>
            </w:r>
          </w:p>
        </w:tc>
        <w:tc>
          <w:tcPr>
            <w:tcW w:w="858" w:type="pct"/>
            <w:vAlign w:val="center"/>
          </w:tcPr>
          <w:p w14:paraId="56463A91">
            <w:pPr>
              <w:pStyle w:val="61"/>
              <w:spacing w:line="300" w:lineRule="exact"/>
            </w:pPr>
            <w:r>
              <w:t>190</w:t>
            </w:r>
          </w:p>
        </w:tc>
      </w:tr>
      <w:tr w14:paraId="64B1D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5" w:type="pct"/>
            <w:vAlign w:val="center"/>
          </w:tcPr>
          <w:p w14:paraId="6027C56D">
            <w:pPr>
              <w:pStyle w:val="61"/>
              <w:spacing w:line="300" w:lineRule="exact"/>
            </w:pPr>
            <w:r>
              <w:t>8</w:t>
            </w:r>
          </w:p>
        </w:tc>
        <w:tc>
          <w:tcPr>
            <w:tcW w:w="1114" w:type="pct"/>
            <w:gridSpan w:val="2"/>
            <w:vAlign w:val="center"/>
          </w:tcPr>
          <w:p w14:paraId="69532347">
            <w:pPr>
              <w:pStyle w:val="61"/>
              <w:spacing w:line="300" w:lineRule="exact"/>
            </w:pPr>
            <w:r>
              <w:rPr>
                <w:rFonts w:hint="eastAsia"/>
              </w:rPr>
              <w:t>锌</w:t>
            </w:r>
          </w:p>
        </w:tc>
        <w:tc>
          <w:tcPr>
            <w:tcW w:w="857" w:type="pct"/>
            <w:vAlign w:val="center"/>
          </w:tcPr>
          <w:p w14:paraId="3559D9B0">
            <w:pPr>
              <w:pStyle w:val="61"/>
              <w:spacing w:line="300" w:lineRule="exact"/>
            </w:pPr>
            <w:r>
              <w:t>200</w:t>
            </w:r>
          </w:p>
        </w:tc>
        <w:tc>
          <w:tcPr>
            <w:tcW w:w="857" w:type="pct"/>
            <w:vAlign w:val="center"/>
          </w:tcPr>
          <w:p w14:paraId="73F0A673">
            <w:pPr>
              <w:pStyle w:val="61"/>
              <w:spacing w:line="300" w:lineRule="exact"/>
            </w:pPr>
            <w:r>
              <w:t>200</w:t>
            </w:r>
          </w:p>
        </w:tc>
        <w:tc>
          <w:tcPr>
            <w:tcW w:w="857" w:type="pct"/>
            <w:vAlign w:val="center"/>
          </w:tcPr>
          <w:p w14:paraId="33DB1AA1">
            <w:pPr>
              <w:pStyle w:val="61"/>
              <w:spacing w:line="300" w:lineRule="exact"/>
            </w:pPr>
            <w:r>
              <w:t>250</w:t>
            </w:r>
          </w:p>
        </w:tc>
        <w:tc>
          <w:tcPr>
            <w:tcW w:w="858" w:type="pct"/>
            <w:vAlign w:val="center"/>
          </w:tcPr>
          <w:p w14:paraId="2AA0082D">
            <w:pPr>
              <w:pStyle w:val="61"/>
              <w:spacing w:line="300" w:lineRule="exact"/>
            </w:pPr>
            <w:r>
              <w:t>300</w:t>
            </w:r>
          </w:p>
        </w:tc>
      </w:tr>
      <w:tr w14:paraId="48B1BF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vAlign w:val="center"/>
          </w:tcPr>
          <w:p w14:paraId="5EB86CA2">
            <w:pPr>
              <w:pStyle w:val="61"/>
              <w:spacing w:line="300" w:lineRule="exact"/>
              <w:jc w:val="left"/>
            </w:pPr>
            <w:r>
              <w:rPr>
                <w:vertAlign w:val="superscript"/>
              </w:rPr>
              <w:t>a</w:t>
            </w:r>
            <w:r>
              <w:rPr>
                <w:rFonts w:hint="eastAsia"/>
              </w:rPr>
              <w:t>重金属和类金属砷均按元素总量计。</w:t>
            </w:r>
          </w:p>
          <w:p w14:paraId="2E104F84">
            <w:pPr>
              <w:pStyle w:val="61"/>
              <w:spacing w:line="300" w:lineRule="exact"/>
              <w:jc w:val="left"/>
            </w:pPr>
            <w:r>
              <w:rPr>
                <w:vertAlign w:val="superscript"/>
              </w:rPr>
              <w:t>b</w:t>
            </w:r>
            <w:r>
              <w:rPr>
                <w:rFonts w:hint="eastAsia"/>
              </w:rPr>
              <w:t>对于水旱轮作地，采用其中较严格的风险筛选值。</w:t>
            </w:r>
          </w:p>
        </w:tc>
      </w:tr>
    </w:tbl>
    <w:p w14:paraId="546FD54F">
      <w:pPr>
        <w:pStyle w:val="7"/>
        <w:pageBreakBefore w:val="0"/>
        <w:widowControl w:val="0"/>
        <w:kinsoku/>
        <w:wordWrap/>
        <w:overflowPunct/>
        <w:autoSpaceDN/>
        <w:bidi w:val="0"/>
        <w:adjustRightInd/>
        <w:snapToGrid/>
        <w:spacing w:line="500" w:lineRule="exact"/>
        <w:textAlignment w:val="auto"/>
      </w:pPr>
      <w:r>
        <w:rPr>
          <w:rFonts w:hint="eastAsia"/>
        </w:rPr>
        <w:t>2</w:t>
      </w:r>
      <w:r>
        <w:t>.</w:t>
      </w:r>
      <w:r>
        <w:rPr>
          <w:rFonts w:hint="eastAsia"/>
        </w:rPr>
        <w:t>4.2污染物排放标准</w:t>
      </w:r>
    </w:p>
    <w:p w14:paraId="056A9860">
      <w:pPr>
        <w:pStyle w:val="8"/>
        <w:pageBreakBefore w:val="0"/>
        <w:widowControl w:val="0"/>
        <w:kinsoku/>
        <w:wordWrap/>
        <w:overflowPunct/>
        <w:autoSpaceDN/>
        <w:bidi w:val="0"/>
        <w:adjustRightInd/>
        <w:snapToGrid/>
        <w:spacing w:line="500" w:lineRule="exact"/>
        <w:textAlignment w:val="auto"/>
      </w:pPr>
      <w:r>
        <w:rPr>
          <w:rFonts w:hint="eastAsia"/>
        </w:rPr>
        <w:t>2</w:t>
      </w:r>
      <w:r>
        <w:t>.</w:t>
      </w:r>
      <w:r>
        <w:rPr>
          <w:rFonts w:hint="eastAsia"/>
        </w:rPr>
        <w:t>4.2.1大气污染物排放标准</w:t>
      </w:r>
    </w:p>
    <w:p w14:paraId="5DC7CB9A">
      <w:pPr>
        <w:pStyle w:val="114"/>
        <w:pageBreakBefore w:val="0"/>
        <w:widowControl w:val="0"/>
        <w:kinsoku/>
        <w:wordWrap/>
        <w:overflowPunct/>
        <w:topLinePunct/>
        <w:autoSpaceDE w:val="0"/>
        <w:autoSpaceDN/>
        <w:bidi w:val="0"/>
        <w:adjustRightInd/>
        <w:snapToGrid/>
        <w:spacing w:line="50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本项目施工期扬尘执行《施工场地扬尘排放标准》(DB32/4437-2022)。具体标准建表2.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4-6</w:t>
      </w:r>
      <w:r>
        <w:rPr>
          <w:rFonts w:hint="default" w:ascii="Times New Roman" w:hAnsi="Times New Roman" w:eastAsia="宋体" w:cs="Times New Roman"/>
          <w:color w:val="000000" w:themeColor="text1"/>
          <w:sz w:val="24"/>
          <w:szCs w:val="24"/>
          <w14:textFill>
            <w14:solidFill>
              <w14:schemeClr w14:val="tx1"/>
            </w14:solidFill>
          </w14:textFill>
        </w:rPr>
        <w:t>。</w:t>
      </w:r>
    </w:p>
    <w:p w14:paraId="5042BDE9">
      <w:pPr>
        <w:pStyle w:val="5"/>
        <w:pageBreakBefore w:val="0"/>
        <w:widowControl w:val="0"/>
        <w:kinsoku/>
        <w:wordWrap/>
        <w:overflowPunct/>
        <w:autoSpaceDN/>
        <w:bidi w:val="0"/>
        <w:adjustRightInd/>
        <w:snapToGrid/>
        <w:spacing w:before="0" w:after="0" w:line="500" w:lineRule="exact"/>
        <w:textAlignment w:val="auto"/>
        <w:outlineLvl w:val="9"/>
        <w:rPr>
          <w:rFonts w:hint="default" w:ascii="Times New Roman" w:hAnsi="Times New Roman" w:eastAsia="宋体" w:cs="Times New Roman"/>
          <w:bCs w:val="0"/>
          <w:color w:val="000000" w:themeColor="text1"/>
          <w:sz w:val="24"/>
          <w:szCs w:val="24"/>
          <w14:textFill>
            <w14:solidFill>
              <w14:schemeClr w14:val="tx1"/>
            </w14:solidFill>
          </w14:textFill>
        </w:rPr>
      </w:pPr>
      <w:bookmarkStart w:id="22" w:name="_Toc24798"/>
      <w:bookmarkStart w:id="23" w:name="_Toc6240"/>
      <w:bookmarkStart w:id="24" w:name="_Toc14162"/>
      <w:bookmarkStart w:id="25" w:name="_Toc23644"/>
      <w:r>
        <w:rPr>
          <w:rFonts w:hint="default" w:ascii="Times New Roman" w:hAnsi="Times New Roman" w:eastAsia="宋体" w:cs="Times New Roman"/>
          <w:bCs w:val="0"/>
          <w:color w:val="000000" w:themeColor="text1"/>
          <w:sz w:val="24"/>
          <w:szCs w:val="24"/>
          <w14:textFill>
            <w14:solidFill>
              <w14:schemeClr w14:val="tx1"/>
            </w14:solidFill>
          </w14:textFill>
        </w:rPr>
        <w:t>表2.</w:t>
      </w:r>
      <w:r>
        <w:rPr>
          <w:rFonts w:hint="eastAsia" w:ascii="Times New Roman" w:hAnsi="Times New Roman" w:eastAsia="宋体" w:cs="Times New Roman"/>
          <w:bCs w:val="0"/>
          <w:color w:val="000000" w:themeColor="text1"/>
          <w:sz w:val="24"/>
          <w:szCs w:val="24"/>
          <w:lang w:val="en-US" w:eastAsia="zh-CN"/>
          <w14:textFill>
            <w14:solidFill>
              <w14:schemeClr w14:val="tx1"/>
            </w14:solidFill>
          </w14:textFill>
        </w:rPr>
        <w:t>4-6</w:t>
      </w:r>
      <w:r>
        <w:rPr>
          <w:rFonts w:hint="default" w:ascii="Times New Roman" w:hAnsi="Times New Roman" w:eastAsia="宋体" w:cs="Times New Roman"/>
          <w:bCs w:val="0"/>
          <w:color w:val="000000" w:themeColor="text1"/>
          <w:sz w:val="24"/>
          <w:szCs w:val="24"/>
          <w14:textFill>
            <w14:solidFill>
              <w14:schemeClr w14:val="tx1"/>
            </w14:solidFill>
          </w14:textFill>
        </w:rPr>
        <w:t xml:space="preserve"> 施工场地扬尘排放标准</w:t>
      </w:r>
      <w:bookmarkEnd w:id="22"/>
      <w:bookmarkEnd w:id="23"/>
      <w:bookmarkEnd w:id="24"/>
      <w:bookmarkEnd w:id="25"/>
    </w:p>
    <w:tbl>
      <w:tblPr>
        <w:tblStyle w:val="41"/>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55"/>
        <w:gridCol w:w="3385"/>
        <w:gridCol w:w="3944"/>
      </w:tblGrid>
      <w:tr w14:paraId="692D2E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053" w:type="pct"/>
            <w:tcBorders>
              <w:tl2br w:val="nil"/>
              <w:tr2bl w:val="nil"/>
            </w:tcBorders>
            <w:vAlign w:val="center"/>
          </w:tcPr>
          <w:p w14:paraId="69885C8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污染物名称</w:t>
            </w:r>
          </w:p>
        </w:tc>
        <w:tc>
          <w:tcPr>
            <w:tcW w:w="1823" w:type="pct"/>
            <w:tcBorders>
              <w:tl2br w:val="nil"/>
              <w:tr2bl w:val="nil"/>
            </w:tcBorders>
            <w:vAlign w:val="center"/>
          </w:tcPr>
          <w:p w14:paraId="1DD38F7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浓度限值(μg/m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2122" w:type="pct"/>
            <w:tcBorders>
              <w:tl2br w:val="nil"/>
              <w:tr2bl w:val="nil"/>
            </w:tcBorders>
            <w:vAlign w:val="center"/>
          </w:tcPr>
          <w:p w14:paraId="6EAB478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标准来源</w:t>
            </w:r>
          </w:p>
        </w:tc>
      </w:tr>
      <w:tr w14:paraId="2A20D3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3" w:type="pct"/>
            <w:tcBorders>
              <w:tl2br w:val="nil"/>
              <w:tr2bl w:val="nil"/>
            </w:tcBorders>
            <w:vAlign w:val="center"/>
          </w:tcPr>
          <w:p w14:paraId="21A41FF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TSP</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a</w:t>
            </w:r>
          </w:p>
        </w:tc>
        <w:tc>
          <w:tcPr>
            <w:tcW w:w="1823" w:type="pct"/>
            <w:tcBorders>
              <w:tl2br w:val="nil"/>
              <w:tr2bl w:val="nil"/>
            </w:tcBorders>
            <w:vAlign w:val="center"/>
          </w:tcPr>
          <w:p w14:paraId="0B23DB6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w:t>
            </w:r>
          </w:p>
        </w:tc>
        <w:tc>
          <w:tcPr>
            <w:tcW w:w="2122" w:type="pct"/>
            <w:vMerge w:val="restart"/>
            <w:tcBorders>
              <w:tl2br w:val="nil"/>
              <w:tr2bl w:val="nil"/>
            </w:tcBorders>
            <w:vAlign w:val="center"/>
          </w:tcPr>
          <w:p w14:paraId="06E3B5D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《施工场地扬尘排放标准》(DB32/4437-2022)</w:t>
            </w:r>
          </w:p>
        </w:tc>
      </w:tr>
      <w:tr w14:paraId="216091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3" w:type="pct"/>
            <w:tcBorders>
              <w:tl2br w:val="nil"/>
              <w:tr2bl w:val="nil"/>
            </w:tcBorders>
            <w:vAlign w:val="center"/>
          </w:tcPr>
          <w:p w14:paraId="3EAD382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b</w:t>
            </w:r>
          </w:p>
        </w:tc>
        <w:tc>
          <w:tcPr>
            <w:tcW w:w="1823" w:type="pct"/>
            <w:tcBorders>
              <w:tl2br w:val="nil"/>
              <w:tr2bl w:val="nil"/>
            </w:tcBorders>
            <w:vAlign w:val="center"/>
          </w:tcPr>
          <w:p w14:paraId="0A8800C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w:t>
            </w:r>
          </w:p>
        </w:tc>
        <w:tc>
          <w:tcPr>
            <w:tcW w:w="2122" w:type="pct"/>
            <w:vMerge w:val="continue"/>
            <w:tcBorders>
              <w:tl2br w:val="nil"/>
              <w:tr2bl w:val="nil"/>
            </w:tcBorders>
            <w:vAlign w:val="center"/>
          </w:tcPr>
          <w:p w14:paraId="673246B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98CF6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3"/>
            <w:tcBorders>
              <w:tl2br w:val="nil"/>
              <w:tr2bl w:val="nil"/>
            </w:tcBorders>
            <w:vAlign w:val="center"/>
          </w:tcPr>
          <w:p w14:paraId="5FDE9B0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vertAlign w:val="superscript"/>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任一监控点(TSP自动监测)自整时起依次顺延15 min的总悬浮颗粒物浓度平均值不应超过的限值。根据HJ 633判定设区市AQI在200~300之间且首要污染物为PM.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或PM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2.5</w:t>
            </w:r>
            <w:r>
              <w:rPr>
                <w:rFonts w:hint="default" w:ascii="Times New Roman" w:hAnsi="Times New Roman" w:eastAsia="宋体" w:cs="Times New Roman"/>
                <w:color w:val="000000" w:themeColor="text1"/>
                <w:sz w:val="21"/>
                <w:szCs w:val="21"/>
                <w14:textFill>
                  <w14:solidFill>
                    <w14:schemeClr w14:val="tx1"/>
                  </w14:solidFill>
                </w14:textFill>
              </w:rPr>
              <w:t>时，TSP实测值扣除200 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后再进行评价。</w:t>
            </w:r>
          </w:p>
          <w:p w14:paraId="1646385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vertAlign w:val="superscript"/>
                <w14:textFill>
                  <w14:solidFill>
                    <w14:schemeClr w14:val="tx1"/>
                  </w14:solidFill>
                </w14:textFill>
              </w:rPr>
              <w:t>b</w:t>
            </w:r>
            <w:r>
              <w:rPr>
                <w:rFonts w:hint="default" w:ascii="Times New Roman" w:hAnsi="Times New Roman" w:eastAsia="宋体" w:cs="Times New Roman"/>
                <w:color w:val="000000" w:themeColor="text1"/>
                <w:sz w:val="21"/>
                <w:szCs w:val="21"/>
                <w14:textFill>
                  <w14:solidFill>
                    <w14:schemeClr w14:val="tx1"/>
                  </w14:solidFill>
                </w14:textFill>
              </w:rPr>
              <w:t>任一监控点(PM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自动监测)自整时起依次顺延1h的PM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浓度平均值与同时段所属设区市PM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小时平均浓度的差值不应超过的限值。</w:t>
            </w:r>
          </w:p>
        </w:tc>
      </w:tr>
    </w:tbl>
    <w:p w14:paraId="4F204B09">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auto"/>
        <w:rPr>
          <w:rFonts w:ascii="Times New Roman" w:hAnsi="Times New Roman" w:eastAsia="宋体" w:cs="Times New Roman"/>
          <w:color w:val="FF0000"/>
        </w:rPr>
      </w:pPr>
      <w:r>
        <w:rPr>
          <w:rFonts w:hint="eastAsia" w:hAnsi="宋体"/>
          <w:color w:val="000000"/>
          <w:szCs w:val="24"/>
        </w:rPr>
        <w:t xml:space="preserve"> </w:t>
      </w:r>
      <w:r>
        <w:rPr>
          <w:rFonts w:hAnsi="宋体"/>
          <w:color w:val="000000"/>
          <w:szCs w:val="24"/>
        </w:rPr>
        <w:t>本项目运行过程中产生的</w:t>
      </w:r>
      <w:r>
        <w:rPr>
          <w:rFonts w:hint="eastAsia" w:hAnsi="宋体"/>
          <w:color w:val="000000"/>
          <w:szCs w:val="24"/>
        </w:rPr>
        <w:t>有组织</w:t>
      </w:r>
      <w:r>
        <w:rPr>
          <w:color w:val="000000"/>
          <w:szCs w:val="24"/>
        </w:rPr>
        <w:t>NH</w:t>
      </w:r>
      <w:r>
        <w:rPr>
          <w:color w:val="000000"/>
          <w:szCs w:val="24"/>
          <w:vertAlign w:val="subscript"/>
        </w:rPr>
        <w:t>3</w:t>
      </w:r>
      <w:r>
        <w:rPr>
          <w:rFonts w:hint="eastAsia" w:hAnsi="宋体"/>
          <w:color w:val="000000"/>
          <w:szCs w:val="24"/>
        </w:rPr>
        <w:t>、</w:t>
      </w:r>
      <w:r>
        <w:rPr>
          <w:color w:val="000000"/>
          <w:szCs w:val="24"/>
        </w:rPr>
        <w:t>H</w:t>
      </w:r>
      <w:r>
        <w:rPr>
          <w:color w:val="000000"/>
          <w:szCs w:val="24"/>
          <w:vertAlign w:val="subscript"/>
        </w:rPr>
        <w:t>2</w:t>
      </w:r>
      <w:r>
        <w:rPr>
          <w:color w:val="000000"/>
          <w:szCs w:val="24"/>
        </w:rPr>
        <w:t>S</w:t>
      </w:r>
      <w:r>
        <w:rPr>
          <w:rFonts w:hint="eastAsia"/>
          <w:color w:val="000000"/>
          <w:szCs w:val="24"/>
        </w:rPr>
        <w:t>及臭气浓度</w:t>
      </w:r>
      <w:r>
        <w:rPr>
          <w:rFonts w:hAnsi="宋体"/>
          <w:color w:val="000000"/>
          <w:szCs w:val="24"/>
        </w:rPr>
        <w:t>执行《恶臭污染物排放标准》（</w:t>
      </w:r>
      <w:r>
        <w:rPr>
          <w:color w:val="000000"/>
          <w:szCs w:val="24"/>
        </w:rPr>
        <w:t>GB14554-93</w:t>
      </w:r>
      <w:r>
        <w:rPr>
          <w:rFonts w:hAnsi="宋体"/>
          <w:color w:val="000000"/>
          <w:szCs w:val="24"/>
        </w:rPr>
        <w:t>）表</w:t>
      </w:r>
      <w:r>
        <w:rPr>
          <w:rFonts w:hint="eastAsia"/>
          <w:color w:val="000000"/>
          <w:szCs w:val="24"/>
        </w:rPr>
        <w:t>2</w:t>
      </w:r>
      <w:r>
        <w:rPr>
          <w:rFonts w:hAnsi="宋体"/>
          <w:color w:val="000000"/>
          <w:szCs w:val="24"/>
        </w:rPr>
        <w:t>标准</w:t>
      </w:r>
      <w:r>
        <w:rPr>
          <w:rFonts w:hint="eastAsia" w:hAnsi="宋体"/>
          <w:color w:val="000000"/>
          <w:szCs w:val="24"/>
        </w:rPr>
        <w:t>；无组织</w:t>
      </w:r>
      <w:r>
        <w:rPr>
          <w:color w:val="000000"/>
          <w:szCs w:val="24"/>
        </w:rPr>
        <w:t>NH</w:t>
      </w:r>
      <w:r>
        <w:rPr>
          <w:color w:val="000000"/>
          <w:szCs w:val="24"/>
          <w:vertAlign w:val="subscript"/>
        </w:rPr>
        <w:t>3</w:t>
      </w:r>
      <w:r>
        <w:rPr>
          <w:rFonts w:hAnsi="宋体"/>
          <w:color w:val="000000"/>
          <w:szCs w:val="24"/>
        </w:rPr>
        <w:t>和</w:t>
      </w:r>
      <w:r>
        <w:rPr>
          <w:color w:val="000000"/>
          <w:szCs w:val="24"/>
        </w:rPr>
        <w:t>H</w:t>
      </w:r>
      <w:r>
        <w:rPr>
          <w:color w:val="000000"/>
          <w:szCs w:val="24"/>
          <w:vertAlign w:val="subscript"/>
        </w:rPr>
        <w:t>2</w:t>
      </w:r>
      <w:r>
        <w:rPr>
          <w:color w:val="000000"/>
          <w:szCs w:val="24"/>
        </w:rPr>
        <w:t>S</w:t>
      </w:r>
      <w:r>
        <w:rPr>
          <w:rFonts w:hAnsi="宋体"/>
          <w:color w:val="000000"/>
          <w:szCs w:val="24"/>
        </w:rPr>
        <w:t>执行《恶臭污染物排放标准》（</w:t>
      </w:r>
      <w:r>
        <w:rPr>
          <w:color w:val="000000"/>
          <w:szCs w:val="24"/>
        </w:rPr>
        <w:t>GB14554-93</w:t>
      </w:r>
      <w:r>
        <w:rPr>
          <w:rFonts w:hAnsi="宋体"/>
          <w:color w:val="000000"/>
          <w:szCs w:val="24"/>
        </w:rPr>
        <w:t>）表</w:t>
      </w:r>
      <w:r>
        <w:rPr>
          <w:color w:val="000000"/>
          <w:szCs w:val="24"/>
        </w:rPr>
        <w:t>1</w:t>
      </w:r>
      <w:r>
        <w:rPr>
          <w:rFonts w:hAnsi="宋体"/>
          <w:color w:val="000000"/>
          <w:szCs w:val="24"/>
        </w:rPr>
        <w:t>中的二级标准</w:t>
      </w:r>
      <w:r>
        <w:rPr>
          <w:rFonts w:hint="eastAsia" w:hAnsi="宋体"/>
          <w:color w:val="000000"/>
          <w:szCs w:val="24"/>
        </w:rPr>
        <w:t>，</w:t>
      </w:r>
      <w:r>
        <w:rPr>
          <w:rFonts w:hint="eastAsia" w:hAnsi="宋体"/>
          <w:color w:val="000000"/>
          <w:szCs w:val="24"/>
          <w:lang w:val="en-US" w:eastAsia="zh-CN"/>
        </w:rPr>
        <w:t>无组织</w:t>
      </w:r>
      <w:r>
        <w:rPr>
          <w:rFonts w:hAnsi="宋体"/>
          <w:color w:val="000000"/>
          <w:szCs w:val="24"/>
        </w:rPr>
        <w:t>臭气浓度</w:t>
      </w:r>
      <w:r>
        <w:rPr>
          <w:rFonts w:hint="eastAsia" w:hAnsi="宋体"/>
          <w:color w:val="000000"/>
          <w:szCs w:val="24"/>
        </w:rPr>
        <w:t>执行</w:t>
      </w:r>
      <w:r>
        <w:rPr>
          <w:rFonts w:hAnsi="宋体"/>
          <w:color w:val="000000"/>
          <w:szCs w:val="24"/>
        </w:rPr>
        <w:t>《畜禽养殖业污染物排放标准》（</w:t>
      </w:r>
      <w:r>
        <w:rPr>
          <w:color w:val="000000"/>
          <w:szCs w:val="24"/>
        </w:rPr>
        <w:t>GB18596-2001</w:t>
      </w:r>
      <w:r>
        <w:rPr>
          <w:rFonts w:hAnsi="宋体"/>
          <w:color w:val="000000"/>
          <w:szCs w:val="24"/>
        </w:rPr>
        <w:t>）表</w:t>
      </w:r>
      <w:r>
        <w:rPr>
          <w:color w:val="000000"/>
          <w:szCs w:val="24"/>
        </w:rPr>
        <w:t>7</w:t>
      </w:r>
      <w:r>
        <w:rPr>
          <w:rFonts w:hAnsi="宋体"/>
          <w:color w:val="000000"/>
          <w:szCs w:val="24"/>
        </w:rPr>
        <w:t>中标准值</w:t>
      </w:r>
      <w:r>
        <w:rPr>
          <w:rFonts w:ascii="Times New Roman" w:hAnsi="Times New Roman" w:cs="Times New Roman"/>
          <w:color w:val="000000" w:themeColor="text1"/>
          <w14:textFill>
            <w14:solidFill>
              <w14:schemeClr w14:val="tx1"/>
            </w14:solidFill>
          </w14:textFill>
        </w:rPr>
        <w:t>，具体</w:t>
      </w:r>
      <w:r>
        <w:rPr>
          <w:rFonts w:hint="eastAsia" w:ascii="Times New Roman" w:hAnsi="Times New Roman" w:cs="Times New Roman"/>
          <w:color w:val="000000" w:themeColor="text1"/>
          <w:lang w:val="en-US" w:eastAsia="zh-CN"/>
          <w14:textFill>
            <w14:solidFill>
              <w14:schemeClr w14:val="tx1"/>
            </w14:solidFill>
          </w14:textFill>
        </w:rPr>
        <w:t>标准</w:t>
      </w:r>
      <w:r>
        <w:rPr>
          <w:rFonts w:ascii="Times New Roman" w:hAnsi="Times New Roman" w:cs="Times New Roman"/>
          <w:color w:val="000000" w:themeColor="text1"/>
          <w14:textFill>
            <w14:solidFill>
              <w14:schemeClr w14:val="tx1"/>
            </w14:solidFill>
          </w14:textFill>
        </w:rPr>
        <w:t>见表2.</w:t>
      </w:r>
      <w:r>
        <w:rPr>
          <w:rFonts w:hint="eastAsia" w:ascii="Times New Roman" w:hAnsi="Times New Roman" w:cs="Times New Roman"/>
          <w:color w:val="000000" w:themeColor="text1"/>
          <w14:textFill>
            <w14:solidFill>
              <w14:schemeClr w14:val="tx1"/>
            </w14:solidFill>
          </w14:textFill>
        </w:rPr>
        <w:t>4-</w:t>
      </w:r>
      <w:r>
        <w:rPr>
          <w:rFonts w:hint="eastAsia"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2.4-8</w:t>
      </w:r>
      <w:r>
        <w:rPr>
          <w:rFonts w:hint="eastAsia" w:ascii="Times New Roman" w:hAnsi="Times New Roman" w:eastAsia="宋体" w:cs="Times New Roman"/>
          <w:color w:val="000000" w:themeColor="text1"/>
          <w:szCs w:val="24"/>
          <w14:textFill>
            <w14:solidFill>
              <w14:schemeClr w14:val="tx1"/>
            </w14:solidFill>
          </w14:textFill>
        </w:rPr>
        <w:t>。</w:t>
      </w:r>
    </w:p>
    <w:p w14:paraId="37066B6E">
      <w:pPr>
        <w:keepNext w:val="0"/>
        <w:keepLines w:val="0"/>
        <w:pageBreakBefore w:val="0"/>
        <w:widowControl w:val="0"/>
        <w:kinsoku/>
        <w:wordWrap/>
        <w:overflowPunct/>
        <w:topLinePunct w:val="0"/>
        <w:autoSpaceDE/>
        <w:autoSpaceDN/>
        <w:bidi w:val="0"/>
        <w:adjustRightInd w:val="0"/>
        <w:snapToGrid/>
        <w:spacing w:line="480" w:lineRule="exact"/>
        <w:jc w:val="center"/>
        <w:textAlignment w:val="auto"/>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表2.</w:t>
      </w:r>
      <w:r>
        <w:rPr>
          <w:rFonts w:hint="eastAsia" w:ascii="Times New Roman" w:hAnsi="Times New Roman" w:cs="Times New Roman"/>
          <w:b/>
          <w:color w:val="000000" w:themeColor="text1"/>
          <w14:textFill>
            <w14:solidFill>
              <w14:schemeClr w14:val="tx1"/>
            </w14:solidFill>
          </w14:textFill>
        </w:rPr>
        <w:t>4-</w:t>
      </w:r>
      <w:r>
        <w:rPr>
          <w:rFonts w:hint="eastAsia" w:ascii="Times New Roman" w:hAnsi="Times New Roman" w:cs="Times New Roman"/>
          <w:b/>
          <w:color w:val="000000" w:themeColor="text1"/>
          <w:lang w:val="en-US" w:eastAsia="zh-CN"/>
          <w14:textFill>
            <w14:solidFill>
              <w14:schemeClr w14:val="tx1"/>
            </w14:solidFill>
          </w14:textFill>
        </w:rPr>
        <w:t>7</w:t>
      </w:r>
      <w:r>
        <w:rPr>
          <w:rFonts w:ascii="Times New Roman" w:hAnsi="Times New Roman" w:cs="Times New Roman"/>
          <w:b/>
          <w:color w:val="000000" w:themeColor="text1"/>
          <w14:textFill>
            <w14:solidFill>
              <w14:schemeClr w14:val="tx1"/>
            </w14:solidFill>
          </w14:textFill>
        </w:rPr>
        <w:t xml:space="preserve"> 恶臭污染物排放标准</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1705"/>
        <w:gridCol w:w="1238"/>
        <w:gridCol w:w="1121"/>
        <w:gridCol w:w="1758"/>
        <w:gridCol w:w="2314"/>
      </w:tblGrid>
      <w:tr w14:paraId="76FBD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0" w:type="pct"/>
            <w:vMerge w:val="restart"/>
            <w:vAlign w:val="center"/>
          </w:tcPr>
          <w:p w14:paraId="27750C45">
            <w:pPr>
              <w:snapToGrid w:val="0"/>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污染物</w:t>
            </w:r>
          </w:p>
          <w:p w14:paraId="7091A809">
            <w:pPr>
              <w:snapToGrid w:val="0"/>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名称</w:t>
            </w:r>
          </w:p>
        </w:tc>
        <w:tc>
          <w:tcPr>
            <w:tcW w:w="917" w:type="pct"/>
            <w:vMerge w:val="restart"/>
            <w:vAlign w:val="center"/>
          </w:tcPr>
          <w:p w14:paraId="2A122A0C">
            <w:pPr>
              <w:snapToGrid w:val="0"/>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最高允许排放浓度（mg/Nm</w:t>
            </w:r>
            <w:r>
              <w:rPr>
                <w:rFonts w:ascii="Times New Roman" w:hAnsi="Times New Roman" w:eastAsia="宋体" w:cs="Times New Roman"/>
                <w:color w:val="000000"/>
                <w:sz w:val="21"/>
                <w:szCs w:val="21"/>
                <w:vertAlign w:val="superscript"/>
              </w:rPr>
              <w:t>3</w:t>
            </w:r>
            <w:r>
              <w:rPr>
                <w:rFonts w:ascii="Times New Roman" w:hAnsi="Times New Roman" w:eastAsia="宋体" w:cs="Times New Roman"/>
                <w:color w:val="000000"/>
                <w:sz w:val="21"/>
                <w:szCs w:val="21"/>
              </w:rPr>
              <w:t>）</w:t>
            </w:r>
          </w:p>
        </w:tc>
        <w:tc>
          <w:tcPr>
            <w:tcW w:w="1269" w:type="pct"/>
            <w:gridSpan w:val="2"/>
            <w:vAlign w:val="center"/>
          </w:tcPr>
          <w:p w14:paraId="65C67BCC">
            <w:pPr>
              <w:snapToGrid w:val="0"/>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最高允许排放速率</w:t>
            </w:r>
          </w:p>
        </w:tc>
        <w:tc>
          <w:tcPr>
            <w:tcW w:w="946" w:type="pct"/>
            <w:vMerge w:val="restart"/>
            <w:vAlign w:val="center"/>
          </w:tcPr>
          <w:p w14:paraId="20F0B1A6">
            <w:pPr>
              <w:snapToGrid w:val="0"/>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无组织排放监控浓度限值(mg/Nm</w:t>
            </w:r>
            <w:r>
              <w:rPr>
                <w:rFonts w:ascii="Times New Roman" w:hAnsi="Times New Roman" w:eastAsia="宋体" w:cs="Times New Roman"/>
                <w:color w:val="000000"/>
                <w:sz w:val="21"/>
                <w:szCs w:val="21"/>
                <w:vertAlign w:val="superscript"/>
              </w:rPr>
              <w:t>3</w:t>
            </w:r>
            <w:r>
              <w:rPr>
                <w:rFonts w:ascii="Times New Roman" w:hAnsi="Times New Roman" w:eastAsia="宋体" w:cs="Times New Roman"/>
                <w:color w:val="000000"/>
                <w:sz w:val="21"/>
                <w:szCs w:val="21"/>
              </w:rPr>
              <w:t>）</w:t>
            </w:r>
          </w:p>
        </w:tc>
        <w:tc>
          <w:tcPr>
            <w:tcW w:w="1245" w:type="pct"/>
            <w:vMerge w:val="restart"/>
            <w:vAlign w:val="center"/>
          </w:tcPr>
          <w:p w14:paraId="49BAA1ED">
            <w:pPr>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标准来源</w:t>
            </w:r>
          </w:p>
        </w:tc>
      </w:tr>
      <w:tr w14:paraId="450436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0" w:type="pct"/>
            <w:vMerge w:val="continue"/>
            <w:vAlign w:val="center"/>
          </w:tcPr>
          <w:p w14:paraId="1A58C815">
            <w:pPr>
              <w:snapToGrid w:val="0"/>
              <w:spacing w:line="320" w:lineRule="exact"/>
              <w:jc w:val="center"/>
              <w:rPr>
                <w:rFonts w:ascii="Times New Roman" w:hAnsi="Times New Roman" w:eastAsia="宋体" w:cs="Times New Roman"/>
                <w:color w:val="000000"/>
                <w:sz w:val="21"/>
                <w:szCs w:val="21"/>
              </w:rPr>
            </w:pPr>
          </w:p>
        </w:tc>
        <w:tc>
          <w:tcPr>
            <w:tcW w:w="917" w:type="pct"/>
            <w:vMerge w:val="continue"/>
            <w:vAlign w:val="center"/>
          </w:tcPr>
          <w:p w14:paraId="20AE6D44">
            <w:pPr>
              <w:snapToGrid w:val="0"/>
              <w:spacing w:line="320" w:lineRule="exact"/>
              <w:jc w:val="center"/>
              <w:rPr>
                <w:rFonts w:ascii="Times New Roman" w:hAnsi="Times New Roman" w:eastAsia="宋体" w:cs="Times New Roman"/>
                <w:color w:val="000000"/>
                <w:sz w:val="21"/>
                <w:szCs w:val="21"/>
              </w:rPr>
            </w:pPr>
          </w:p>
        </w:tc>
        <w:tc>
          <w:tcPr>
            <w:tcW w:w="666" w:type="pct"/>
            <w:vAlign w:val="center"/>
          </w:tcPr>
          <w:p w14:paraId="1519A51A">
            <w:pPr>
              <w:snapToGrid w:val="0"/>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排气筒高度（m）</w:t>
            </w:r>
          </w:p>
        </w:tc>
        <w:tc>
          <w:tcPr>
            <w:tcW w:w="602" w:type="pct"/>
            <w:vAlign w:val="center"/>
          </w:tcPr>
          <w:p w14:paraId="74D30295">
            <w:pPr>
              <w:snapToGrid w:val="0"/>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排放速率</w:t>
            </w:r>
          </w:p>
          <w:p w14:paraId="510B82FE">
            <w:pPr>
              <w:snapToGrid w:val="0"/>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（kg/h）</w:t>
            </w:r>
          </w:p>
        </w:tc>
        <w:tc>
          <w:tcPr>
            <w:tcW w:w="946" w:type="pct"/>
            <w:vMerge w:val="continue"/>
            <w:vAlign w:val="center"/>
          </w:tcPr>
          <w:p w14:paraId="291E10C7">
            <w:pPr>
              <w:snapToGrid w:val="0"/>
              <w:spacing w:line="320" w:lineRule="exact"/>
              <w:jc w:val="center"/>
              <w:rPr>
                <w:rFonts w:ascii="Times New Roman" w:hAnsi="Times New Roman" w:eastAsia="宋体" w:cs="Times New Roman"/>
                <w:color w:val="000000"/>
                <w:sz w:val="21"/>
                <w:szCs w:val="21"/>
              </w:rPr>
            </w:pPr>
          </w:p>
        </w:tc>
        <w:tc>
          <w:tcPr>
            <w:tcW w:w="1245" w:type="pct"/>
            <w:vMerge w:val="continue"/>
            <w:vAlign w:val="center"/>
          </w:tcPr>
          <w:p w14:paraId="60C00213">
            <w:pPr>
              <w:snapToGrid w:val="0"/>
              <w:spacing w:line="300" w:lineRule="exact"/>
              <w:jc w:val="center"/>
              <w:rPr>
                <w:rFonts w:ascii="Times New Roman" w:hAnsi="Times New Roman" w:eastAsia="宋体" w:cs="Times New Roman"/>
                <w:color w:val="000000"/>
                <w:sz w:val="21"/>
                <w:szCs w:val="21"/>
              </w:rPr>
            </w:pPr>
          </w:p>
        </w:tc>
      </w:tr>
      <w:tr w14:paraId="5482F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0" w:type="pct"/>
            <w:vAlign w:val="center"/>
          </w:tcPr>
          <w:p w14:paraId="7D43DB3C">
            <w:pPr>
              <w:snapToGrid w:val="0"/>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NH</w:t>
            </w:r>
            <w:r>
              <w:rPr>
                <w:rFonts w:ascii="Times New Roman" w:hAnsi="Times New Roman" w:eastAsia="宋体" w:cs="Times New Roman"/>
                <w:color w:val="000000"/>
                <w:sz w:val="21"/>
                <w:szCs w:val="21"/>
                <w:vertAlign w:val="subscript"/>
              </w:rPr>
              <w:t>3</w:t>
            </w:r>
          </w:p>
        </w:tc>
        <w:tc>
          <w:tcPr>
            <w:tcW w:w="917" w:type="pct"/>
            <w:vAlign w:val="center"/>
          </w:tcPr>
          <w:p w14:paraId="789FEF86">
            <w:pPr>
              <w:snapToGrid w:val="0"/>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666" w:type="pct"/>
            <w:vAlign w:val="center"/>
          </w:tcPr>
          <w:p w14:paraId="5E61C0A3">
            <w:pPr>
              <w:snapToGrid w:val="0"/>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w:t>
            </w:r>
          </w:p>
        </w:tc>
        <w:tc>
          <w:tcPr>
            <w:tcW w:w="602" w:type="pct"/>
            <w:vAlign w:val="center"/>
          </w:tcPr>
          <w:p w14:paraId="3D2D74AB">
            <w:pPr>
              <w:snapToGrid w:val="0"/>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4.9</w:t>
            </w:r>
          </w:p>
        </w:tc>
        <w:tc>
          <w:tcPr>
            <w:tcW w:w="946" w:type="pct"/>
            <w:vAlign w:val="center"/>
          </w:tcPr>
          <w:p w14:paraId="47E5C118">
            <w:pPr>
              <w:snapToGrid w:val="0"/>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w:t>
            </w:r>
          </w:p>
        </w:tc>
        <w:tc>
          <w:tcPr>
            <w:tcW w:w="1245" w:type="pct"/>
            <w:vMerge w:val="restart"/>
            <w:vAlign w:val="center"/>
          </w:tcPr>
          <w:p w14:paraId="5EA34E2F">
            <w:pPr>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《恶臭污染物排放标准》（GB14554-93）</w:t>
            </w:r>
          </w:p>
        </w:tc>
      </w:tr>
      <w:tr w14:paraId="42C0B6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0" w:type="pct"/>
            <w:vAlign w:val="center"/>
          </w:tcPr>
          <w:p w14:paraId="68A5D381">
            <w:pPr>
              <w:snapToGrid w:val="0"/>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H</w:t>
            </w:r>
            <w:r>
              <w:rPr>
                <w:rFonts w:ascii="Times New Roman" w:hAnsi="Times New Roman" w:eastAsia="宋体" w:cs="Times New Roman"/>
                <w:color w:val="000000"/>
                <w:sz w:val="21"/>
                <w:szCs w:val="21"/>
                <w:vertAlign w:val="subscript"/>
              </w:rPr>
              <w:t>2</w:t>
            </w:r>
            <w:r>
              <w:rPr>
                <w:rFonts w:ascii="Times New Roman" w:hAnsi="Times New Roman" w:eastAsia="宋体" w:cs="Times New Roman"/>
                <w:color w:val="000000"/>
                <w:sz w:val="21"/>
                <w:szCs w:val="21"/>
              </w:rPr>
              <w:t>S</w:t>
            </w:r>
          </w:p>
        </w:tc>
        <w:tc>
          <w:tcPr>
            <w:tcW w:w="917" w:type="pct"/>
            <w:vAlign w:val="center"/>
          </w:tcPr>
          <w:p w14:paraId="5FC84539">
            <w:pPr>
              <w:snapToGrid w:val="0"/>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666" w:type="pct"/>
            <w:vAlign w:val="center"/>
          </w:tcPr>
          <w:p w14:paraId="7395E443">
            <w:pPr>
              <w:snapToGrid w:val="0"/>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w:t>
            </w:r>
          </w:p>
        </w:tc>
        <w:tc>
          <w:tcPr>
            <w:tcW w:w="602" w:type="pct"/>
            <w:vAlign w:val="center"/>
          </w:tcPr>
          <w:p w14:paraId="3B29E3E7">
            <w:pPr>
              <w:snapToGrid w:val="0"/>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0.33</w:t>
            </w:r>
          </w:p>
        </w:tc>
        <w:tc>
          <w:tcPr>
            <w:tcW w:w="946" w:type="pct"/>
            <w:vAlign w:val="center"/>
          </w:tcPr>
          <w:p w14:paraId="53D554D3">
            <w:pPr>
              <w:snapToGrid w:val="0"/>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0.06</w:t>
            </w:r>
          </w:p>
        </w:tc>
        <w:tc>
          <w:tcPr>
            <w:tcW w:w="1245" w:type="pct"/>
            <w:vMerge w:val="continue"/>
            <w:vAlign w:val="center"/>
          </w:tcPr>
          <w:p w14:paraId="6F0CEB71">
            <w:pPr>
              <w:snapToGrid w:val="0"/>
              <w:spacing w:line="300" w:lineRule="exact"/>
              <w:jc w:val="center"/>
              <w:rPr>
                <w:rFonts w:ascii="Times New Roman" w:hAnsi="Times New Roman" w:eastAsia="宋体" w:cs="Times New Roman"/>
                <w:color w:val="000000"/>
                <w:sz w:val="21"/>
                <w:szCs w:val="21"/>
              </w:rPr>
            </w:pPr>
          </w:p>
        </w:tc>
      </w:tr>
      <w:tr w14:paraId="2E5EB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0" w:type="pct"/>
            <w:vAlign w:val="center"/>
          </w:tcPr>
          <w:p w14:paraId="2DC0BF98">
            <w:pPr>
              <w:snapToGrid w:val="0"/>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臭气浓度</w:t>
            </w:r>
          </w:p>
        </w:tc>
        <w:tc>
          <w:tcPr>
            <w:tcW w:w="917" w:type="pct"/>
            <w:vAlign w:val="center"/>
          </w:tcPr>
          <w:p w14:paraId="53C61D09">
            <w:pPr>
              <w:snapToGrid w:val="0"/>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2000（无量纲）</w:t>
            </w:r>
          </w:p>
        </w:tc>
        <w:tc>
          <w:tcPr>
            <w:tcW w:w="666" w:type="pct"/>
            <w:vAlign w:val="center"/>
          </w:tcPr>
          <w:p w14:paraId="3A704B9C">
            <w:pPr>
              <w:snapToGrid w:val="0"/>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w:t>
            </w:r>
          </w:p>
        </w:tc>
        <w:tc>
          <w:tcPr>
            <w:tcW w:w="602" w:type="pct"/>
            <w:vAlign w:val="center"/>
          </w:tcPr>
          <w:p w14:paraId="305C0BCB">
            <w:pPr>
              <w:snapToGrid w:val="0"/>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946" w:type="pct"/>
            <w:vAlign w:val="center"/>
          </w:tcPr>
          <w:p w14:paraId="2F6E351E">
            <w:pPr>
              <w:snapToGrid w:val="0"/>
              <w:spacing w:line="320" w:lineRule="exact"/>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w:t>
            </w:r>
          </w:p>
        </w:tc>
        <w:tc>
          <w:tcPr>
            <w:tcW w:w="1245" w:type="pct"/>
            <w:vMerge w:val="continue"/>
            <w:vAlign w:val="center"/>
          </w:tcPr>
          <w:p w14:paraId="7F3B4ABD">
            <w:pPr>
              <w:snapToGrid w:val="0"/>
              <w:spacing w:line="300" w:lineRule="exact"/>
              <w:jc w:val="center"/>
              <w:rPr>
                <w:rFonts w:ascii="Times New Roman" w:hAnsi="Times New Roman" w:eastAsia="宋体" w:cs="Times New Roman"/>
                <w:color w:val="000000"/>
                <w:sz w:val="21"/>
                <w:szCs w:val="21"/>
              </w:rPr>
            </w:pPr>
          </w:p>
        </w:tc>
      </w:tr>
    </w:tbl>
    <w:p w14:paraId="3D247B36">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
          <w:sz w:val="24"/>
          <w:u w:val="none" w:color="FFFFFF"/>
        </w:rPr>
      </w:pPr>
      <w:r>
        <w:rPr>
          <w:rFonts w:hint="default" w:ascii="Times New Roman" w:hAnsi="Times New Roman" w:eastAsia="宋体" w:cs="Times New Roman"/>
          <w:b/>
          <w:sz w:val="24"/>
          <w:u w:val="none" w:color="FFFFFF"/>
        </w:rPr>
        <w:t>表2</w:t>
      </w:r>
      <w:r>
        <w:rPr>
          <w:rFonts w:hint="default" w:ascii="Times New Roman" w:hAnsi="Times New Roman" w:eastAsia="宋体" w:cs="Times New Roman"/>
          <w:b/>
          <w:sz w:val="24"/>
          <w:u w:val="none" w:color="FFFFFF"/>
          <w:lang w:val="en-US" w:eastAsia="zh-CN"/>
        </w:rPr>
        <w:t>.4-8</w:t>
      </w:r>
      <w:r>
        <w:rPr>
          <w:rFonts w:hint="eastAsia" w:ascii="Times New Roman" w:hAnsi="Times New Roman" w:eastAsia="宋体" w:cs="Times New Roman"/>
          <w:b/>
          <w:sz w:val="24"/>
          <w:u w:val="none" w:color="FFFFFF"/>
          <w:lang w:val="en-US" w:eastAsia="zh-CN"/>
        </w:rPr>
        <w:t xml:space="preserve">  </w:t>
      </w:r>
      <w:r>
        <w:rPr>
          <w:rFonts w:hint="default" w:ascii="Times New Roman" w:hAnsi="Times New Roman" w:eastAsia="宋体" w:cs="Times New Roman"/>
          <w:b/>
          <w:sz w:val="24"/>
        </w:rPr>
        <w:t>畜禽养殖业</w:t>
      </w:r>
      <w:r>
        <w:rPr>
          <w:rFonts w:hint="default" w:ascii="Times New Roman" w:hAnsi="Times New Roman" w:eastAsia="宋体" w:cs="Times New Roman"/>
          <w:b/>
          <w:sz w:val="24"/>
          <w:u w:val="none" w:color="FFFFFF"/>
        </w:rPr>
        <w:t>污染物排放标准</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867"/>
        <w:gridCol w:w="2047"/>
        <w:gridCol w:w="5374"/>
      </w:tblGrid>
      <w:tr w14:paraId="0386948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05" w:type="pct"/>
            <w:noWrap w:val="0"/>
            <w:vAlign w:val="center"/>
          </w:tcPr>
          <w:p w14:paraId="0CFE240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控制项目</w:t>
            </w:r>
          </w:p>
        </w:tc>
        <w:tc>
          <w:tcPr>
            <w:tcW w:w="1102" w:type="pct"/>
            <w:noWrap w:val="0"/>
            <w:vAlign w:val="center"/>
          </w:tcPr>
          <w:p w14:paraId="20F8E12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标准值</w:t>
            </w:r>
          </w:p>
        </w:tc>
        <w:tc>
          <w:tcPr>
            <w:tcW w:w="2893" w:type="pct"/>
            <w:noWrap w:val="0"/>
            <w:vAlign w:val="center"/>
          </w:tcPr>
          <w:p w14:paraId="64F659E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标准来源</w:t>
            </w:r>
          </w:p>
        </w:tc>
      </w:tr>
      <w:tr w14:paraId="3B1C7C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05" w:type="pct"/>
            <w:noWrap w:val="0"/>
            <w:vAlign w:val="center"/>
          </w:tcPr>
          <w:p w14:paraId="3AF8C91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臭气浓度</w:t>
            </w:r>
          </w:p>
        </w:tc>
        <w:tc>
          <w:tcPr>
            <w:tcW w:w="1102" w:type="pct"/>
            <w:noWrap w:val="0"/>
            <w:vAlign w:val="center"/>
          </w:tcPr>
          <w:p w14:paraId="5FDCD07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70（无量纲）</w:t>
            </w:r>
          </w:p>
        </w:tc>
        <w:tc>
          <w:tcPr>
            <w:tcW w:w="2893" w:type="pct"/>
            <w:noWrap w:val="0"/>
            <w:vAlign w:val="center"/>
          </w:tcPr>
          <w:p w14:paraId="52040B1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《畜禽养殖业污染物排放标准》（GB18596-2001）</w:t>
            </w:r>
          </w:p>
        </w:tc>
      </w:tr>
    </w:tbl>
    <w:p w14:paraId="094DC3A9">
      <w:pPr>
        <w:pStyle w:val="8"/>
        <w:pageBreakBefore w:val="0"/>
        <w:widowControl w:val="0"/>
        <w:kinsoku/>
        <w:wordWrap/>
        <w:overflowPunct/>
        <w:topLinePunct w:val="0"/>
        <w:autoSpaceDE/>
        <w:autoSpaceDN/>
        <w:bidi w:val="0"/>
        <w:adjustRightInd/>
        <w:snapToGrid/>
        <w:spacing w:line="460" w:lineRule="exact"/>
        <w:textAlignment w:val="auto"/>
      </w:pPr>
      <w:r>
        <w:rPr>
          <w:rFonts w:hint="eastAsia"/>
        </w:rPr>
        <w:t>2</w:t>
      </w:r>
      <w:r>
        <w:t>.</w:t>
      </w:r>
      <w:r>
        <w:rPr>
          <w:rFonts w:hint="eastAsia"/>
        </w:rPr>
        <w:t>4.2.2水污染物排放标准</w:t>
      </w:r>
    </w:p>
    <w:p w14:paraId="4CBA7F6C">
      <w:pPr>
        <w:pageBreakBefore w:val="0"/>
        <w:widowControl w:val="0"/>
        <w:kinsoku/>
        <w:wordWrap/>
        <w:overflowPunct/>
        <w:topLinePunct w:val="0"/>
        <w:autoSpaceDE/>
        <w:autoSpaceDN/>
        <w:bidi w:val="0"/>
        <w:adjustRightInd/>
        <w:snapToGrid/>
        <w:spacing w:line="460" w:lineRule="exact"/>
        <w:ind w:firstLine="480" w:firstLineChars="200"/>
        <w:textAlignment w:val="auto"/>
      </w:pPr>
      <w:r>
        <w:rPr>
          <w:rFonts w:ascii="Times New Roman" w:hAnsi="Times New Roman" w:eastAsia="宋体" w:cs="Times New Roman"/>
          <w:color w:val="000000"/>
          <w:kern w:val="0"/>
          <w:szCs w:val="24"/>
          <w:lang w:bidi="ar"/>
        </w:rPr>
        <w:t>项目废水经配套污水处理站处理后</w:t>
      </w:r>
      <w:r>
        <w:rPr>
          <w:rFonts w:ascii="Times New Roman" w:hAnsi="Times New Roman" w:eastAsia="宋体" w:cs="Times New Roman"/>
          <w:szCs w:val="24"/>
        </w:rPr>
        <w:t>用于周边种植区农田灌溉</w:t>
      </w:r>
      <w:r>
        <w:rPr>
          <w:rFonts w:hint="eastAsia" w:ascii="Times New Roman" w:hAnsi="Times New Roman" w:eastAsia="宋体" w:cs="Times New Roman"/>
          <w:szCs w:val="24"/>
        </w:rPr>
        <w:t>（以水稻田为主），</w:t>
      </w:r>
      <w:r>
        <w:rPr>
          <w:rFonts w:ascii="Times New Roman" w:hAnsi="Times New Roman" w:eastAsia="宋体" w:cs="Times New Roman"/>
          <w:szCs w:val="24"/>
        </w:rPr>
        <w:t>不排入地表水体</w:t>
      </w:r>
      <w:r>
        <w:rPr>
          <w:rFonts w:hint="eastAsia" w:ascii="Times New Roman" w:hAnsi="Times New Roman" w:eastAsia="宋体" w:cs="Times New Roman"/>
          <w:szCs w:val="24"/>
        </w:rPr>
        <w:t>，灌溉水质执行</w:t>
      </w:r>
      <w:r>
        <w:rPr>
          <w:rFonts w:ascii="Times New Roman" w:hAnsi="Times New Roman" w:eastAsia="宋体" w:cs="Times New Roman"/>
          <w:szCs w:val="24"/>
        </w:rPr>
        <w:t>《农田灌溉水质标准》（GB5084-20</w:t>
      </w:r>
      <w:r>
        <w:rPr>
          <w:rFonts w:hint="eastAsia" w:ascii="Times New Roman" w:hAnsi="Times New Roman" w:eastAsia="宋体" w:cs="Times New Roman"/>
          <w:szCs w:val="24"/>
        </w:rPr>
        <w:t>21</w:t>
      </w:r>
      <w:r>
        <w:rPr>
          <w:rFonts w:ascii="Times New Roman" w:hAnsi="Times New Roman" w:eastAsia="宋体" w:cs="Times New Roman"/>
          <w:szCs w:val="24"/>
        </w:rPr>
        <w:t>）</w:t>
      </w:r>
      <w:r>
        <w:rPr>
          <w:rFonts w:hint="eastAsia" w:ascii="Times New Roman" w:hAnsi="Times New Roman" w:eastAsia="宋体" w:cs="Times New Roman"/>
          <w:szCs w:val="24"/>
        </w:rPr>
        <w:t>表1</w:t>
      </w:r>
      <w:r>
        <w:rPr>
          <w:rFonts w:ascii="Times New Roman" w:hAnsi="Times New Roman" w:eastAsia="宋体" w:cs="Times New Roman"/>
          <w:szCs w:val="24"/>
        </w:rPr>
        <w:t>中</w:t>
      </w:r>
      <w:r>
        <w:rPr>
          <w:rFonts w:hint="eastAsia" w:ascii="Times New Roman" w:hAnsi="Times New Roman" w:eastAsia="宋体" w:cs="Times New Roman"/>
          <w:szCs w:val="24"/>
        </w:rPr>
        <w:t>“</w:t>
      </w:r>
      <w:r>
        <w:rPr>
          <w:rFonts w:ascii="Times New Roman" w:hAnsi="Times New Roman" w:eastAsia="宋体" w:cs="Times New Roman"/>
          <w:szCs w:val="24"/>
        </w:rPr>
        <w:t>水作标准</w:t>
      </w:r>
      <w:r>
        <w:rPr>
          <w:rFonts w:hint="eastAsia" w:ascii="Times New Roman" w:hAnsi="Times New Roman" w:eastAsia="宋体" w:cs="Times New Roman"/>
          <w:szCs w:val="24"/>
        </w:rPr>
        <w:t>”，涉及16个基本控制的必测项目，根据项目污染源强分析本项目重点考虑废水中pH、</w:t>
      </w:r>
      <w:r>
        <w:rPr>
          <w:rFonts w:ascii="Times New Roman"/>
          <w:szCs w:val="24"/>
        </w:rPr>
        <w:t>COD</w:t>
      </w:r>
      <w:r>
        <w:rPr>
          <w:rFonts w:hint="eastAsia" w:ascii="Times New Roman"/>
          <w:szCs w:val="24"/>
        </w:rPr>
        <w:t>、</w:t>
      </w:r>
      <w:r>
        <w:rPr>
          <w:rFonts w:ascii="Times New Roman"/>
          <w:szCs w:val="24"/>
        </w:rPr>
        <w:t>BOD</w:t>
      </w:r>
      <w:r>
        <w:rPr>
          <w:rFonts w:ascii="Times New Roman"/>
          <w:szCs w:val="24"/>
          <w:vertAlign w:val="subscript"/>
        </w:rPr>
        <w:t>5</w:t>
      </w:r>
      <w:r>
        <w:rPr>
          <w:rFonts w:hint="eastAsia" w:ascii="Times New Roman"/>
          <w:szCs w:val="24"/>
        </w:rPr>
        <w:t>、</w:t>
      </w:r>
      <w:r>
        <w:rPr>
          <w:rFonts w:ascii="Times New Roman"/>
          <w:szCs w:val="24"/>
        </w:rPr>
        <w:t>粪大肠菌群</w:t>
      </w:r>
      <w:r>
        <w:rPr>
          <w:rFonts w:hint="eastAsia" w:ascii="Times New Roman"/>
          <w:szCs w:val="24"/>
        </w:rPr>
        <w:t>等污染物的达标可行性</w:t>
      </w:r>
      <w:r>
        <w:rPr>
          <w:rFonts w:hint="eastAsia"/>
        </w:rPr>
        <w:t>，具体见表2.4-</w:t>
      </w:r>
      <w:r>
        <w:rPr>
          <w:rFonts w:hint="eastAsia"/>
          <w:lang w:val="en-US" w:eastAsia="zh-CN"/>
        </w:rPr>
        <w:t>9</w:t>
      </w:r>
      <w:r>
        <w:rPr>
          <w:rFonts w:hint="eastAsia"/>
        </w:rPr>
        <w:t>所示。</w:t>
      </w:r>
    </w:p>
    <w:p w14:paraId="0DE2AA65">
      <w:pPr>
        <w:pStyle w:val="31"/>
        <w:pageBreakBefore w:val="0"/>
        <w:widowControl w:val="0"/>
        <w:kinsoku/>
        <w:wordWrap/>
        <w:overflowPunct/>
        <w:topLinePunct w:val="0"/>
        <w:autoSpaceDE/>
        <w:autoSpaceDN/>
        <w:bidi w:val="0"/>
        <w:adjustRightInd/>
        <w:snapToGrid/>
        <w:spacing w:before="0" w:line="460" w:lineRule="exact"/>
        <w:textAlignment w:val="auto"/>
      </w:pPr>
      <w:r>
        <w:rPr>
          <w:rFonts w:hint="eastAsia"/>
        </w:rPr>
        <w:t>表</w:t>
      </w:r>
      <w:r>
        <w:t>2.</w:t>
      </w:r>
      <w:r>
        <w:rPr>
          <w:rFonts w:hint="eastAsia"/>
        </w:rPr>
        <w:t>4</w:t>
      </w:r>
      <w:r>
        <w:t>-</w:t>
      </w:r>
      <w:r>
        <w:rPr>
          <w:rFonts w:hint="eastAsia"/>
          <w:lang w:val="en-US" w:eastAsia="zh-CN"/>
        </w:rPr>
        <w:t>9</w:t>
      </w:r>
      <w:r>
        <w:t xml:space="preserve"> </w:t>
      </w:r>
      <w:r>
        <w:rPr>
          <w:rFonts w:hint="eastAsia"/>
        </w:rPr>
        <w:t>灌溉水质标准</w:t>
      </w:r>
    </w:p>
    <w:tbl>
      <w:tblPr>
        <w:tblStyle w:val="4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995"/>
        <w:gridCol w:w="1293"/>
        <w:gridCol w:w="2157"/>
        <w:gridCol w:w="2675"/>
      </w:tblGrid>
      <w:tr w14:paraId="58F0F1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vAlign w:val="center"/>
          </w:tcPr>
          <w:p w14:paraId="2C580A67">
            <w:pPr>
              <w:pStyle w:val="11"/>
              <w:spacing w:line="300" w:lineRule="exact"/>
              <w:ind w:firstLine="0" w:firstLineChars="0"/>
              <w:jc w:val="center"/>
              <w:rPr>
                <w:rFonts w:eastAsia="宋体" w:cs="Times New Roman"/>
                <w:bCs/>
                <w:sz w:val="21"/>
                <w:szCs w:val="21"/>
              </w:rPr>
            </w:pPr>
            <w:r>
              <w:rPr>
                <w:rFonts w:eastAsia="宋体" w:cs="Times New Roman"/>
                <w:bCs/>
                <w:sz w:val="21"/>
                <w:szCs w:val="21"/>
              </w:rPr>
              <w:t>序号</w:t>
            </w:r>
          </w:p>
        </w:tc>
        <w:tc>
          <w:tcPr>
            <w:tcW w:w="1074" w:type="pct"/>
            <w:tcBorders>
              <w:tl2br w:val="nil"/>
              <w:tr2bl w:val="nil"/>
            </w:tcBorders>
            <w:vAlign w:val="center"/>
          </w:tcPr>
          <w:p w14:paraId="0048E131">
            <w:pPr>
              <w:pStyle w:val="11"/>
              <w:spacing w:line="300" w:lineRule="exact"/>
              <w:ind w:firstLine="0" w:firstLineChars="0"/>
              <w:jc w:val="center"/>
              <w:rPr>
                <w:rFonts w:eastAsia="宋体" w:cs="Times New Roman"/>
                <w:bCs/>
                <w:sz w:val="21"/>
                <w:szCs w:val="21"/>
              </w:rPr>
            </w:pPr>
            <w:r>
              <w:rPr>
                <w:rFonts w:eastAsia="宋体" w:cs="Times New Roman"/>
                <w:bCs/>
                <w:sz w:val="21"/>
                <w:szCs w:val="21"/>
              </w:rPr>
              <w:t>污染物</w:t>
            </w:r>
          </w:p>
        </w:tc>
        <w:tc>
          <w:tcPr>
            <w:tcW w:w="696" w:type="pct"/>
            <w:tcBorders>
              <w:tl2br w:val="nil"/>
              <w:tr2bl w:val="nil"/>
            </w:tcBorders>
            <w:vAlign w:val="center"/>
          </w:tcPr>
          <w:p w14:paraId="08618DC8">
            <w:pPr>
              <w:pStyle w:val="11"/>
              <w:spacing w:line="300" w:lineRule="exact"/>
              <w:ind w:firstLine="0" w:firstLineChars="0"/>
              <w:jc w:val="center"/>
              <w:rPr>
                <w:rFonts w:eastAsia="宋体" w:cs="Times New Roman"/>
                <w:bCs/>
                <w:sz w:val="21"/>
                <w:szCs w:val="21"/>
              </w:rPr>
            </w:pPr>
            <w:r>
              <w:rPr>
                <w:rFonts w:eastAsia="宋体" w:cs="Times New Roman"/>
                <w:bCs/>
                <w:sz w:val="21"/>
                <w:szCs w:val="21"/>
              </w:rPr>
              <w:t>单位</w:t>
            </w:r>
          </w:p>
        </w:tc>
        <w:tc>
          <w:tcPr>
            <w:tcW w:w="1161" w:type="pct"/>
            <w:tcBorders>
              <w:tl2br w:val="nil"/>
              <w:tr2bl w:val="nil"/>
            </w:tcBorders>
            <w:vAlign w:val="center"/>
          </w:tcPr>
          <w:p w14:paraId="7881CCFB">
            <w:pPr>
              <w:pStyle w:val="11"/>
              <w:spacing w:line="300" w:lineRule="exact"/>
              <w:ind w:firstLine="0" w:firstLineChars="0"/>
              <w:jc w:val="center"/>
              <w:rPr>
                <w:rFonts w:eastAsia="宋体" w:cs="Times New Roman"/>
                <w:bCs/>
                <w:sz w:val="21"/>
                <w:szCs w:val="21"/>
              </w:rPr>
            </w:pPr>
            <w:r>
              <w:rPr>
                <w:rFonts w:eastAsia="宋体" w:cs="Times New Roman"/>
                <w:bCs/>
                <w:sz w:val="21"/>
                <w:szCs w:val="21"/>
              </w:rPr>
              <w:t>标准限值</w:t>
            </w:r>
          </w:p>
        </w:tc>
        <w:tc>
          <w:tcPr>
            <w:tcW w:w="1440" w:type="pct"/>
            <w:tcBorders>
              <w:tl2br w:val="nil"/>
              <w:tr2bl w:val="nil"/>
            </w:tcBorders>
            <w:vAlign w:val="center"/>
          </w:tcPr>
          <w:p w14:paraId="7722257B">
            <w:pPr>
              <w:pStyle w:val="11"/>
              <w:spacing w:line="300" w:lineRule="exact"/>
              <w:ind w:firstLine="0" w:firstLineChars="0"/>
              <w:jc w:val="center"/>
              <w:rPr>
                <w:rFonts w:eastAsia="宋体" w:cs="Times New Roman"/>
                <w:bCs/>
                <w:sz w:val="21"/>
                <w:szCs w:val="21"/>
              </w:rPr>
            </w:pPr>
            <w:r>
              <w:rPr>
                <w:rFonts w:eastAsia="宋体" w:cs="Times New Roman"/>
                <w:bCs/>
                <w:sz w:val="21"/>
                <w:szCs w:val="21"/>
              </w:rPr>
              <w:t>标准来源</w:t>
            </w:r>
          </w:p>
        </w:tc>
      </w:tr>
      <w:tr w14:paraId="1F3FD1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vAlign w:val="center"/>
          </w:tcPr>
          <w:p w14:paraId="714A3736">
            <w:pPr>
              <w:pStyle w:val="11"/>
              <w:spacing w:line="300" w:lineRule="exact"/>
              <w:ind w:firstLine="0" w:firstLineChars="0"/>
              <w:jc w:val="center"/>
              <w:rPr>
                <w:rFonts w:eastAsia="宋体" w:cs="Times New Roman"/>
                <w:bCs/>
                <w:sz w:val="21"/>
                <w:szCs w:val="21"/>
              </w:rPr>
            </w:pPr>
            <w:r>
              <w:rPr>
                <w:rFonts w:eastAsia="宋体" w:cs="Times New Roman"/>
                <w:bCs/>
                <w:sz w:val="21"/>
                <w:szCs w:val="21"/>
              </w:rPr>
              <w:t>1</w:t>
            </w:r>
          </w:p>
        </w:tc>
        <w:tc>
          <w:tcPr>
            <w:tcW w:w="1074" w:type="pct"/>
            <w:tcBorders>
              <w:tl2br w:val="nil"/>
              <w:tr2bl w:val="nil"/>
            </w:tcBorders>
            <w:vAlign w:val="center"/>
          </w:tcPr>
          <w:p w14:paraId="794744FC">
            <w:pPr>
              <w:pStyle w:val="79"/>
              <w:autoSpaceDE/>
              <w:autoSpaceDN/>
              <w:adjustRightInd/>
              <w:spacing w:line="300" w:lineRule="exact"/>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pH</w:t>
            </w:r>
          </w:p>
        </w:tc>
        <w:tc>
          <w:tcPr>
            <w:tcW w:w="696" w:type="pct"/>
            <w:tcBorders>
              <w:tl2br w:val="nil"/>
              <w:tr2bl w:val="nil"/>
            </w:tcBorders>
            <w:vAlign w:val="center"/>
          </w:tcPr>
          <w:p w14:paraId="2960C7DB">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无量纲</w:t>
            </w:r>
          </w:p>
        </w:tc>
        <w:tc>
          <w:tcPr>
            <w:tcW w:w="1161" w:type="pct"/>
            <w:tcBorders>
              <w:tl2br w:val="nil"/>
              <w:tr2bl w:val="nil"/>
            </w:tcBorders>
            <w:vAlign w:val="center"/>
          </w:tcPr>
          <w:p w14:paraId="44360465">
            <w:pPr>
              <w:pStyle w:val="11"/>
              <w:spacing w:line="300" w:lineRule="exact"/>
              <w:ind w:firstLine="0" w:firstLineChars="0"/>
              <w:jc w:val="center"/>
              <w:rPr>
                <w:rFonts w:eastAsia="宋体" w:cs="Times New Roman"/>
                <w:bCs/>
                <w:sz w:val="21"/>
                <w:szCs w:val="21"/>
              </w:rPr>
            </w:pPr>
            <w:r>
              <w:rPr>
                <w:rFonts w:eastAsia="宋体" w:cs="Times New Roman"/>
                <w:bCs/>
                <w:sz w:val="21"/>
                <w:szCs w:val="21"/>
              </w:rPr>
              <w:t>5.5~8.5</w:t>
            </w:r>
          </w:p>
        </w:tc>
        <w:tc>
          <w:tcPr>
            <w:tcW w:w="1440" w:type="pct"/>
            <w:vMerge w:val="restart"/>
            <w:tcBorders>
              <w:tl2br w:val="nil"/>
              <w:tr2bl w:val="nil"/>
            </w:tcBorders>
            <w:vAlign w:val="center"/>
          </w:tcPr>
          <w:p w14:paraId="08BA4BC7">
            <w:pPr>
              <w:pStyle w:val="11"/>
              <w:spacing w:line="300" w:lineRule="exact"/>
              <w:ind w:firstLine="0" w:firstLineChars="0"/>
              <w:jc w:val="center"/>
              <w:rPr>
                <w:rFonts w:eastAsia="宋体" w:cs="Times New Roman"/>
                <w:bCs/>
                <w:sz w:val="21"/>
                <w:szCs w:val="21"/>
              </w:rPr>
            </w:pPr>
            <w:r>
              <w:rPr>
                <w:rFonts w:eastAsia="宋体" w:cs="Times New Roman"/>
                <w:bCs/>
                <w:sz w:val="21"/>
                <w:szCs w:val="21"/>
              </w:rPr>
              <w:t>《农田灌溉水质标准》（GB5084-2021）</w:t>
            </w:r>
          </w:p>
        </w:tc>
      </w:tr>
      <w:tr w14:paraId="209684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vAlign w:val="center"/>
          </w:tcPr>
          <w:p w14:paraId="054C819C">
            <w:pPr>
              <w:pStyle w:val="11"/>
              <w:spacing w:line="300" w:lineRule="exact"/>
              <w:ind w:firstLine="0" w:firstLineChars="0"/>
              <w:jc w:val="center"/>
              <w:rPr>
                <w:rFonts w:eastAsia="宋体" w:cs="Times New Roman"/>
                <w:bCs/>
                <w:sz w:val="21"/>
                <w:szCs w:val="21"/>
              </w:rPr>
            </w:pPr>
            <w:r>
              <w:rPr>
                <w:rFonts w:eastAsia="宋体" w:cs="Times New Roman"/>
                <w:bCs/>
                <w:sz w:val="21"/>
                <w:szCs w:val="21"/>
              </w:rPr>
              <w:t>2</w:t>
            </w:r>
          </w:p>
        </w:tc>
        <w:tc>
          <w:tcPr>
            <w:tcW w:w="1074" w:type="pct"/>
            <w:tcBorders>
              <w:tl2br w:val="nil"/>
              <w:tr2bl w:val="nil"/>
            </w:tcBorders>
            <w:vAlign w:val="center"/>
          </w:tcPr>
          <w:p w14:paraId="44422D97">
            <w:pPr>
              <w:pStyle w:val="79"/>
              <w:autoSpaceDE/>
              <w:autoSpaceDN/>
              <w:adjustRightInd/>
              <w:spacing w:line="300" w:lineRule="exact"/>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COD</w:t>
            </w:r>
            <w:r>
              <w:rPr>
                <w:rFonts w:ascii="Times New Roman" w:hAnsi="Times New Roman" w:eastAsia="宋体" w:cs="Times New Roman"/>
                <w:bCs/>
                <w:color w:val="auto"/>
                <w:sz w:val="21"/>
                <w:szCs w:val="21"/>
                <w:vertAlign w:val="subscript"/>
              </w:rPr>
              <w:t>Cr</w:t>
            </w:r>
            <w:r>
              <w:rPr>
                <w:rFonts w:ascii="Times New Roman" w:hAnsi="Times New Roman" w:eastAsia="宋体" w:cs="Times New Roman"/>
                <w:bCs/>
                <w:color w:val="auto"/>
                <w:sz w:val="21"/>
                <w:szCs w:val="21"/>
              </w:rPr>
              <w:t xml:space="preserve"> </w:t>
            </w:r>
          </w:p>
        </w:tc>
        <w:tc>
          <w:tcPr>
            <w:tcW w:w="696" w:type="pct"/>
            <w:tcBorders>
              <w:tl2br w:val="nil"/>
              <w:tr2bl w:val="nil"/>
            </w:tcBorders>
            <w:vAlign w:val="center"/>
          </w:tcPr>
          <w:p w14:paraId="715CD2CB">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161" w:type="pct"/>
            <w:tcBorders>
              <w:tl2br w:val="nil"/>
              <w:tr2bl w:val="nil"/>
            </w:tcBorders>
            <w:vAlign w:val="center"/>
          </w:tcPr>
          <w:p w14:paraId="69FE2F1C">
            <w:pPr>
              <w:pStyle w:val="11"/>
              <w:spacing w:line="300" w:lineRule="exact"/>
              <w:ind w:firstLine="0" w:firstLineChars="0"/>
              <w:jc w:val="center"/>
              <w:rPr>
                <w:rFonts w:eastAsia="宋体" w:cs="Times New Roman"/>
                <w:bCs/>
                <w:sz w:val="21"/>
                <w:szCs w:val="21"/>
              </w:rPr>
            </w:pPr>
            <w:r>
              <w:rPr>
                <w:rFonts w:eastAsia="宋体" w:cs="Times New Roman"/>
                <w:bCs/>
                <w:sz w:val="21"/>
                <w:szCs w:val="21"/>
              </w:rPr>
              <w:t>150</w:t>
            </w:r>
          </w:p>
        </w:tc>
        <w:tc>
          <w:tcPr>
            <w:tcW w:w="1440" w:type="pct"/>
            <w:vMerge w:val="continue"/>
            <w:tcBorders>
              <w:tl2br w:val="nil"/>
              <w:tr2bl w:val="nil"/>
            </w:tcBorders>
            <w:vAlign w:val="center"/>
          </w:tcPr>
          <w:p w14:paraId="17FFC004">
            <w:pPr>
              <w:pStyle w:val="11"/>
              <w:spacing w:line="300" w:lineRule="exact"/>
              <w:ind w:firstLine="0" w:firstLineChars="0"/>
              <w:jc w:val="center"/>
              <w:rPr>
                <w:rFonts w:eastAsia="宋体" w:cs="Times New Roman"/>
                <w:bCs/>
                <w:sz w:val="21"/>
                <w:szCs w:val="21"/>
              </w:rPr>
            </w:pPr>
          </w:p>
        </w:tc>
      </w:tr>
      <w:tr w14:paraId="15A87C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vAlign w:val="center"/>
          </w:tcPr>
          <w:p w14:paraId="5BE5DE61">
            <w:pPr>
              <w:pStyle w:val="11"/>
              <w:spacing w:line="300" w:lineRule="exact"/>
              <w:ind w:firstLine="0" w:firstLineChars="0"/>
              <w:jc w:val="center"/>
              <w:rPr>
                <w:rFonts w:eastAsia="宋体" w:cs="Times New Roman"/>
                <w:bCs/>
                <w:sz w:val="21"/>
                <w:szCs w:val="21"/>
              </w:rPr>
            </w:pPr>
            <w:r>
              <w:rPr>
                <w:rFonts w:eastAsia="宋体" w:cs="Times New Roman"/>
                <w:bCs/>
                <w:sz w:val="21"/>
                <w:szCs w:val="21"/>
              </w:rPr>
              <w:t>3</w:t>
            </w:r>
          </w:p>
        </w:tc>
        <w:tc>
          <w:tcPr>
            <w:tcW w:w="1074" w:type="pct"/>
            <w:tcBorders>
              <w:tl2br w:val="nil"/>
              <w:tr2bl w:val="nil"/>
            </w:tcBorders>
            <w:vAlign w:val="center"/>
          </w:tcPr>
          <w:p w14:paraId="62861E18">
            <w:pPr>
              <w:pStyle w:val="79"/>
              <w:autoSpaceDE/>
              <w:autoSpaceDN/>
              <w:adjustRightInd/>
              <w:spacing w:line="300" w:lineRule="exact"/>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BOD</w:t>
            </w:r>
            <w:r>
              <w:rPr>
                <w:rFonts w:ascii="Times New Roman" w:hAnsi="Times New Roman" w:eastAsia="宋体" w:cs="Times New Roman"/>
                <w:bCs/>
                <w:color w:val="auto"/>
                <w:sz w:val="21"/>
                <w:szCs w:val="21"/>
                <w:vertAlign w:val="subscript"/>
              </w:rPr>
              <w:t>5</w:t>
            </w:r>
            <w:r>
              <w:rPr>
                <w:rFonts w:ascii="Times New Roman" w:hAnsi="Times New Roman" w:eastAsia="宋体" w:cs="Times New Roman"/>
                <w:bCs/>
                <w:color w:val="auto"/>
                <w:sz w:val="21"/>
                <w:szCs w:val="21"/>
              </w:rPr>
              <w:t xml:space="preserve"> </w:t>
            </w:r>
          </w:p>
        </w:tc>
        <w:tc>
          <w:tcPr>
            <w:tcW w:w="696" w:type="pct"/>
            <w:tcBorders>
              <w:tl2br w:val="nil"/>
              <w:tr2bl w:val="nil"/>
            </w:tcBorders>
            <w:vAlign w:val="center"/>
          </w:tcPr>
          <w:p w14:paraId="4A046050">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161" w:type="pct"/>
            <w:tcBorders>
              <w:tl2br w:val="nil"/>
              <w:tr2bl w:val="nil"/>
            </w:tcBorders>
            <w:vAlign w:val="center"/>
          </w:tcPr>
          <w:p w14:paraId="0556DD49">
            <w:pPr>
              <w:pStyle w:val="11"/>
              <w:spacing w:line="300" w:lineRule="exact"/>
              <w:ind w:firstLine="0" w:firstLineChars="0"/>
              <w:jc w:val="center"/>
              <w:rPr>
                <w:rFonts w:eastAsia="宋体" w:cs="Times New Roman"/>
                <w:bCs/>
                <w:sz w:val="21"/>
                <w:szCs w:val="21"/>
              </w:rPr>
            </w:pPr>
            <w:r>
              <w:rPr>
                <w:rFonts w:eastAsia="宋体" w:cs="Times New Roman"/>
                <w:bCs/>
                <w:sz w:val="21"/>
                <w:szCs w:val="21"/>
              </w:rPr>
              <w:t>60</w:t>
            </w:r>
          </w:p>
        </w:tc>
        <w:tc>
          <w:tcPr>
            <w:tcW w:w="1440" w:type="pct"/>
            <w:vMerge w:val="continue"/>
            <w:tcBorders>
              <w:tl2br w:val="nil"/>
              <w:tr2bl w:val="nil"/>
            </w:tcBorders>
            <w:vAlign w:val="center"/>
          </w:tcPr>
          <w:p w14:paraId="68FF5FC7">
            <w:pPr>
              <w:pStyle w:val="11"/>
              <w:spacing w:line="300" w:lineRule="exact"/>
              <w:ind w:firstLine="0" w:firstLineChars="0"/>
              <w:jc w:val="center"/>
              <w:rPr>
                <w:rFonts w:eastAsia="宋体" w:cs="Times New Roman"/>
                <w:bCs/>
                <w:sz w:val="21"/>
                <w:szCs w:val="21"/>
              </w:rPr>
            </w:pPr>
          </w:p>
        </w:tc>
      </w:tr>
      <w:tr w14:paraId="7457EF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vAlign w:val="center"/>
          </w:tcPr>
          <w:p w14:paraId="532025C2">
            <w:pPr>
              <w:pStyle w:val="11"/>
              <w:spacing w:line="300" w:lineRule="exact"/>
              <w:ind w:firstLine="0" w:firstLineChars="0"/>
              <w:jc w:val="center"/>
              <w:rPr>
                <w:rFonts w:eastAsia="宋体" w:cs="Times New Roman"/>
                <w:bCs/>
                <w:sz w:val="21"/>
                <w:szCs w:val="21"/>
              </w:rPr>
            </w:pPr>
            <w:r>
              <w:rPr>
                <w:rFonts w:eastAsia="宋体" w:cs="Times New Roman"/>
                <w:bCs/>
                <w:sz w:val="21"/>
                <w:szCs w:val="21"/>
              </w:rPr>
              <w:t>4</w:t>
            </w:r>
          </w:p>
        </w:tc>
        <w:tc>
          <w:tcPr>
            <w:tcW w:w="1074" w:type="pct"/>
            <w:tcBorders>
              <w:tl2br w:val="nil"/>
              <w:tr2bl w:val="nil"/>
            </w:tcBorders>
            <w:vAlign w:val="center"/>
          </w:tcPr>
          <w:p w14:paraId="464B2B4C">
            <w:pPr>
              <w:pStyle w:val="79"/>
              <w:autoSpaceDE/>
              <w:autoSpaceDN/>
              <w:adjustRightInd/>
              <w:spacing w:line="300" w:lineRule="exact"/>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SS </w:t>
            </w:r>
          </w:p>
        </w:tc>
        <w:tc>
          <w:tcPr>
            <w:tcW w:w="696" w:type="pct"/>
            <w:tcBorders>
              <w:tl2br w:val="nil"/>
              <w:tr2bl w:val="nil"/>
            </w:tcBorders>
            <w:vAlign w:val="center"/>
          </w:tcPr>
          <w:p w14:paraId="47E2F3EE">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161" w:type="pct"/>
            <w:tcBorders>
              <w:tl2br w:val="nil"/>
              <w:tr2bl w:val="nil"/>
            </w:tcBorders>
            <w:vAlign w:val="center"/>
          </w:tcPr>
          <w:p w14:paraId="29C78838">
            <w:pPr>
              <w:pStyle w:val="11"/>
              <w:spacing w:line="300" w:lineRule="exact"/>
              <w:ind w:firstLine="0" w:firstLineChars="0"/>
              <w:jc w:val="center"/>
              <w:rPr>
                <w:rFonts w:eastAsia="宋体" w:cs="Times New Roman"/>
                <w:bCs/>
                <w:sz w:val="21"/>
                <w:szCs w:val="21"/>
              </w:rPr>
            </w:pPr>
            <w:r>
              <w:rPr>
                <w:rFonts w:eastAsia="宋体" w:cs="Times New Roman"/>
                <w:bCs/>
                <w:sz w:val="21"/>
                <w:szCs w:val="21"/>
              </w:rPr>
              <w:t>80</w:t>
            </w:r>
          </w:p>
        </w:tc>
        <w:tc>
          <w:tcPr>
            <w:tcW w:w="1440" w:type="pct"/>
            <w:vMerge w:val="continue"/>
            <w:tcBorders>
              <w:tl2br w:val="nil"/>
              <w:tr2bl w:val="nil"/>
            </w:tcBorders>
            <w:vAlign w:val="center"/>
          </w:tcPr>
          <w:p w14:paraId="336EACEA">
            <w:pPr>
              <w:pStyle w:val="11"/>
              <w:spacing w:line="300" w:lineRule="exact"/>
              <w:ind w:firstLine="0" w:firstLineChars="0"/>
              <w:jc w:val="center"/>
              <w:rPr>
                <w:rFonts w:eastAsia="宋体" w:cs="Times New Roman"/>
                <w:bCs/>
                <w:sz w:val="21"/>
                <w:szCs w:val="21"/>
              </w:rPr>
            </w:pPr>
          </w:p>
        </w:tc>
      </w:tr>
      <w:tr w14:paraId="6F029C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vAlign w:val="center"/>
          </w:tcPr>
          <w:p w14:paraId="587E0C56">
            <w:pPr>
              <w:pStyle w:val="11"/>
              <w:spacing w:line="300" w:lineRule="exact"/>
              <w:ind w:firstLine="0" w:firstLineChars="0"/>
              <w:jc w:val="center"/>
              <w:rPr>
                <w:rFonts w:eastAsia="宋体" w:cs="Times New Roman"/>
                <w:bCs/>
                <w:sz w:val="21"/>
                <w:szCs w:val="21"/>
              </w:rPr>
            </w:pPr>
            <w:r>
              <w:rPr>
                <w:rFonts w:eastAsia="宋体" w:cs="Times New Roman"/>
                <w:bCs/>
                <w:sz w:val="21"/>
                <w:szCs w:val="21"/>
              </w:rPr>
              <w:t>5</w:t>
            </w:r>
          </w:p>
        </w:tc>
        <w:tc>
          <w:tcPr>
            <w:tcW w:w="1074" w:type="pct"/>
            <w:tcBorders>
              <w:tl2br w:val="nil"/>
              <w:tr2bl w:val="nil"/>
            </w:tcBorders>
            <w:vAlign w:val="center"/>
          </w:tcPr>
          <w:p w14:paraId="1D400DF6">
            <w:pPr>
              <w:pStyle w:val="79"/>
              <w:autoSpaceDE/>
              <w:autoSpaceDN/>
              <w:adjustRightInd/>
              <w:spacing w:line="300" w:lineRule="exact"/>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粪大肠菌群</w:t>
            </w:r>
          </w:p>
        </w:tc>
        <w:tc>
          <w:tcPr>
            <w:tcW w:w="696" w:type="pct"/>
            <w:tcBorders>
              <w:tl2br w:val="nil"/>
              <w:tr2bl w:val="nil"/>
            </w:tcBorders>
            <w:vAlign w:val="center"/>
          </w:tcPr>
          <w:p w14:paraId="221CDF33">
            <w:pPr>
              <w:pStyle w:val="11"/>
              <w:spacing w:line="300" w:lineRule="exact"/>
              <w:ind w:firstLine="0" w:firstLineChars="0"/>
              <w:jc w:val="center"/>
              <w:rPr>
                <w:rFonts w:eastAsia="宋体" w:cs="Times New Roman"/>
                <w:bCs/>
                <w:sz w:val="21"/>
                <w:szCs w:val="21"/>
              </w:rPr>
            </w:pPr>
            <w:r>
              <w:rPr>
                <w:rFonts w:eastAsia="宋体" w:cs="Times New Roman"/>
                <w:bCs/>
                <w:sz w:val="21"/>
                <w:szCs w:val="21"/>
              </w:rPr>
              <w:t>MPN/L</w:t>
            </w:r>
          </w:p>
        </w:tc>
        <w:tc>
          <w:tcPr>
            <w:tcW w:w="1161" w:type="pct"/>
            <w:tcBorders>
              <w:tl2br w:val="nil"/>
              <w:tr2bl w:val="nil"/>
            </w:tcBorders>
            <w:vAlign w:val="center"/>
          </w:tcPr>
          <w:p w14:paraId="05806D8A">
            <w:pPr>
              <w:pStyle w:val="11"/>
              <w:spacing w:line="300" w:lineRule="exact"/>
              <w:ind w:firstLine="0" w:firstLineChars="0"/>
              <w:jc w:val="center"/>
              <w:rPr>
                <w:rFonts w:eastAsia="宋体" w:cs="Times New Roman"/>
                <w:bCs/>
                <w:sz w:val="21"/>
                <w:szCs w:val="21"/>
              </w:rPr>
            </w:pPr>
            <w:r>
              <w:rPr>
                <w:rFonts w:eastAsia="宋体" w:cs="Times New Roman"/>
                <w:bCs/>
                <w:sz w:val="21"/>
                <w:szCs w:val="21"/>
              </w:rPr>
              <w:t>40000</w:t>
            </w:r>
          </w:p>
        </w:tc>
        <w:tc>
          <w:tcPr>
            <w:tcW w:w="1440" w:type="pct"/>
            <w:vMerge w:val="continue"/>
            <w:tcBorders>
              <w:tl2br w:val="nil"/>
              <w:tr2bl w:val="nil"/>
            </w:tcBorders>
            <w:vAlign w:val="center"/>
          </w:tcPr>
          <w:p w14:paraId="4856AA7C">
            <w:pPr>
              <w:pStyle w:val="11"/>
              <w:spacing w:line="300" w:lineRule="exact"/>
              <w:ind w:firstLine="0" w:firstLineChars="0"/>
              <w:jc w:val="center"/>
              <w:rPr>
                <w:rFonts w:eastAsia="宋体" w:cs="Times New Roman"/>
                <w:bCs/>
                <w:sz w:val="21"/>
                <w:szCs w:val="21"/>
              </w:rPr>
            </w:pPr>
          </w:p>
        </w:tc>
      </w:tr>
      <w:tr w14:paraId="4E8BF2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vAlign w:val="center"/>
          </w:tcPr>
          <w:p w14:paraId="540C8984">
            <w:pPr>
              <w:pStyle w:val="11"/>
              <w:spacing w:line="300" w:lineRule="exact"/>
              <w:ind w:firstLine="0" w:firstLineChars="0"/>
              <w:jc w:val="center"/>
              <w:rPr>
                <w:rFonts w:eastAsia="宋体" w:cs="Times New Roman"/>
                <w:bCs/>
                <w:sz w:val="21"/>
                <w:szCs w:val="21"/>
              </w:rPr>
            </w:pPr>
            <w:r>
              <w:rPr>
                <w:rFonts w:eastAsia="宋体" w:cs="Times New Roman"/>
                <w:bCs/>
                <w:sz w:val="21"/>
                <w:szCs w:val="21"/>
              </w:rPr>
              <w:t>6</w:t>
            </w:r>
          </w:p>
        </w:tc>
        <w:tc>
          <w:tcPr>
            <w:tcW w:w="1074" w:type="pct"/>
            <w:tcBorders>
              <w:tl2br w:val="nil"/>
              <w:tr2bl w:val="nil"/>
            </w:tcBorders>
            <w:vAlign w:val="center"/>
          </w:tcPr>
          <w:p w14:paraId="7562D6F4">
            <w:pPr>
              <w:pStyle w:val="79"/>
              <w:autoSpaceDE/>
              <w:autoSpaceDN/>
              <w:adjustRightInd/>
              <w:spacing w:line="300" w:lineRule="exact"/>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水温</w:t>
            </w:r>
          </w:p>
        </w:tc>
        <w:tc>
          <w:tcPr>
            <w:tcW w:w="696" w:type="pct"/>
            <w:tcBorders>
              <w:tl2br w:val="nil"/>
              <w:tr2bl w:val="nil"/>
            </w:tcBorders>
            <w:vAlign w:val="center"/>
          </w:tcPr>
          <w:p w14:paraId="7A39A0EC">
            <w:pPr>
              <w:pStyle w:val="11"/>
              <w:spacing w:line="300" w:lineRule="exact"/>
              <w:ind w:firstLine="0" w:firstLineChars="0"/>
              <w:jc w:val="center"/>
              <w:rPr>
                <w:rFonts w:eastAsia="宋体" w:cs="Times New Roman"/>
                <w:bCs/>
                <w:sz w:val="21"/>
                <w:szCs w:val="21"/>
              </w:rPr>
            </w:pPr>
            <w:r>
              <w:rPr>
                <w:rFonts w:eastAsia="宋体" w:cs="Times New Roman"/>
                <w:bCs/>
                <w:sz w:val="21"/>
                <w:szCs w:val="21"/>
              </w:rPr>
              <w:t>℃</w:t>
            </w:r>
          </w:p>
        </w:tc>
        <w:tc>
          <w:tcPr>
            <w:tcW w:w="1161" w:type="pct"/>
            <w:tcBorders>
              <w:tl2br w:val="nil"/>
              <w:tr2bl w:val="nil"/>
            </w:tcBorders>
            <w:vAlign w:val="center"/>
          </w:tcPr>
          <w:p w14:paraId="5C6A9D20">
            <w:pPr>
              <w:pStyle w:val="11"/>
              <w:spacing w:line="300" w:lineRule="exact"/>
              <w:ind w:firstLine="0" w:firstLineChars="0"/>
              <w:jc w:val="center"/>
              <w:rPr>
                <w:rFonts w:eastAsia="宋体" w:cs="Times New Roman"/>
                <w:bCs/>
                <w:sz w:val="21"/>
                <w:szCs w:val="21"/>
              </w:rPr>
            </w:pPr>
            <w:r>
              <w:rPr>
                <w:rFonts w:eastAsia="宋体" w:cs="Times New Roman"/>
                <w:bCs/>
                <w:sz w:val="21"/>
                <w:szCs w:val="21"/>
              </w:rPr>
              <w:t>35</w:t>
            </w:r>
          </w:p>
        </w:tc>
        <w:tc>
          <w:tcPr>
            <w:tcW w:w="1440" w:type="pct"/>
            <w:vMerge w:val="continue"/>
            <w:tcBorders>
              <w:tl2br w:val="nil"/>
              <w:tr2bl w:val="nil"/>
            </w:tcBorders>
            <w:vAlign w:val="center"/>
          </w:tcPr>
          <w:p w14:paraId="15D0732C">
            <w:pPr>
              <w:pStyle w:val="11"/>
              <w:spacing w:line="300" w:lineRule="exact"/>
              <w:ind w:firstLine="0" w:firstLineChars="0"/>
              <w:jc w:val="center"/>
              <w:rPr>
                <w:rFonts w:eastAsia="宋体" w:cs="Times New Roman"/>
                <w:bCs/>
                <w:sz w:val="21"/>
                <w:szCs w:val="21"/>
              </w:rPr>
            </w:pPr>
          </w:p>
        </w:tc>
      </w:tr>
      <w:tr w14:paraId="5E6035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vAlign w:val="center"/>
          </w:tcPr>
          <w:p w14:paraId="77360B97">
            <w:pPr>
              <w:pStyle w:val="11"/>
              <w:spacing w:line="300" w:lineRule="exact"/>
              <w:ind w:firstLine="0" w:firstLineChars="0"/>
              <w:jc w:val="center"/>
              <w:rPr>
                <w:rFonts w:eastAsia="宋体" w:cs="Times New Roman"/>
                <w:bCs/>
                <w:sz w:val="21"/>
                <w:szCs w:val="21"/>
              </w:rPr>
            </w:pPr>
            <w:r>
              <w:rPr>
                <w:rFonts w:eastAsia="宋体" w:cs="Times New Roman"/>
                <w:bCs/>
                <w:sz w:val="21"/>
                <w:szCs w:val="21"/>
              </w:rPr>
              <w:t>7</w:t>
            </w:r>
          </w:p>
        </w:tc>
        <w:tc>
          <w:tcPr>
            <w:tcW w:w="1074" w:type="pct"/>
            <w:tcBorders>
              <w:tl2br w:val="nil"/>
              <w:tr2bl w:val="nil"/>
            </w:tcBorders>
            <w:vAlign w:val="center"/>
          </w:tcPr>
          <w:p w14:paraId="276BACBD">
            <w:pPr>
              <w:pStyle w:val="79"/>
              <w:autoSpaceDE/>
              <w:autoSpaceDN/>
              <w:adjustRightInd/>
              <w:spacing w:line="300" w:lineRule="exact"/>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阴离子表面活性剂</w:t>
            </w:r>
          </w:p>
        </w:tc>
        <w:tc>
          <w:tcPr>
            <w:tcW w:w="696" w:type="pct"/>
            <w:tcBorders>
              <w:tl2br w:val="nil"/>
              <w:tr2bl w:val="nil"/>
            </w:tcBorders>
            <w:vAlign w:val="center"/>
          </w:tcPr>
          <w:p w14:paraId="2090A34D">
            <w:pPr>
              <w:pStyle w:val="11"/>
              <w:spacing w:line="300" w:lineRule="exact"/>
              <w:ind w:firstLine="0" w:firstLineChars="0"/>
              <w:jc w:val="center"/>
              <w:rPr>
                <w:rFonts w:eastAsia="宋体" w:cs="Times New Roman"/>
                <w:bCs/>
                <w:sz w:val="21"/>
                <w:szCs w:val="21"/>
              </w:rPr>
            </w:pPr>
            <w:r>
              <w:rPr>
                <w:rFonts w:eastAsia="宋体" w:cs="Times New Roman"/>
                <w:bCs/>
                <w:sz w:val="21"/>
                <w:szCs w:val="21"/>
              </w:rPr>
              <w:t>mg/L</w:t>
            </w:r>
          </w:p>
        </w:tc>
        <w:tc>
          <w:tcPr>
            <w:tcW w:w="1161" w:type="pct"/>
            <w:tcBorders>
              <w:tl2br w:val="nil"/>
              <w:tr2bl w:val="nil"/>
            </w:tcBorders>
            <w:vAlign w:val="center"/>
          </w:tcPr>
          <w:p w14:paraId="4AE212AF">
            <w:pPr>
              <w:pStyle w:val="11"/>
              <w:spacing w:line="300" w:lineRule="exact"/>
              <w:ind w:firstLine="0" w:firstLineChars="0"/>
              <w:jc w:val="center"/>
              <w:rPr>
                <w:rFonts w:eastAsia="宋体" w:cs="Times New Roman"/>
                <w:bCs/>
                <w:sz w:val="21"/>
                <w:szCs w:val="21"/>
              </w:rPr>
            </w:pPr>
            <w:r>
              <w:rPr>
                <w:rFonts w:eastAsia="宋体" w:cs="Times New Roman"/>
                <w:bCs/>
                <w:sz w:val="21"/>
                <w:szCs w:val="21"/>
              </w:rPr>
              <w:t>5</w:t>
            </w:r>
          </w:p>
        </w:tc>
        <w:tc>
          <w:tcPr>
            <w:tcW w:w="1440" w:type="pct"/>
            <w:vMerge w:val="continue"/>
            <w:tcBorders>
              <w:tl2br w:val="nil"/>
              <w:tr2bl w:val="nil"/>
            </w:tcBorders>
            <w:vAlign w:val="center"/>
          </w:tcPr>
          <w:p w14:paraId="1700EA53">
            <w:pPr>
              <w:pStyle w:val="11"/>
              <w:spacing w:line="300" w:lineRule="exact"/>
              <w:ind w:firstLine="0" w:firstLineChars="0"/>
              <w:jc w:val="center"/>
              <w:rPr>
                <w:rFonts w:eastAsia="宋体" w:cs="Times New Roman"/>
                <w:bCs/>
                <w:sz w:val="21"/>
                <w:szCs w:val="21"/>
              </w:rPr>
            </w:pPr>
          </w:p>
        </w:tc>
      </w:tr>
      <w:tr w14:paraId="7CF6FE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vAlign w:val="center"/>
          </w:tcPr>
          <w:p w14:paraId="0486188A">
            <w:pPr>
              <w:pStyle w:val="11"/>
              <w:spacing w:line="300" w:lineRule="exact"/>
              <w:ind w:firstLine="0" w:firstLineChars="0"/>
              <w:jc w:val="center"/>
              <w:rPr>
                <w:rFonts w:eastAsia="宋体" w:cs="Times New Roman"/>
                <w:bCs/>
                <w:sz w:val="21"/>
                <w:szCs w:val="21"/>
              </w:rPr>
            </w:pPr>
            <w:r>
              <w:rPr>
                <w:rFonts w:eastAsia="宋体" w:cs="Times New Roman"/>
                <w:bCs/>
                <w:sz w:val="21"/>
                <w:szCs w:val="21"/>
              </w:rPr>
              <w:t>8</w:t>
            </w:r>
          </w:p>
        </w:tc>
        <w:tc>
          <w:tcPr>
            <w:tcW w:w="1074" w:type="pct"/>
            <w:tcBorders>
              <w:tl2br w:val="nil"/>
              <w:tr2bl w:val="nil"/>
            </w:tcBorders>
            <w:vAlign w:val="center"/>
          </w:tcPr>
          <w:p w14:paraId="7A65E626">
            <w:pPr>
              <w:pStyle w:val="79"/>
              <w:autoSpaceDE/>
              <w:autoSpaceDN/>
              <w:adjustRightInd/>
              <w:spacing w:line="300" w:lineRule="exact"/>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氯化物</w:t>
            </w:r>
          </w:p>
        </w:tc>
        <w:tc>
          <w:tcPr>
            <w:tcW w:w="696" w:type="pct"/>
            <w:tcBorders>
              <w:tl2br w:val="nil"/>
              <w:tr2bl w:val="nil"/>
            </w:tcBorders>
            <w:vAlign w:val="center"/>
          </w:tcPr>
          <w:p w14:paraId="7E0EF4FD">
            <w:pPr>
              <w:pStyle w:val="11"/>
              <w:spacing w:line="300" w:lineRule="exact"/>
              <w:ind w:firstLine="0" w:firstLineChars="0"/>
              <w:jc w:val="center"/>
              <w:rPr>
                <w:rFonts w:eastAsia="宋体" w:cs="Times New Roman"/>
                <w:bCs/>
                <w:sz w:val="21"/>
                <w:szCs w:val="21"/>
              </w:rPr>
            </w:pPr>
            <w:r>
              <w:rPr>
                <w:rFonts w:eastAsia="宋体" w:cs="Times New Roman"/>
                <w:bCs/>
                <w:sz w:val="21"/>
                <w:szCs w:val="21"/>
              </w:rPr>
              <w:t>mg/L</w:t>
            </w:r>
          </w:p>
        </w:tc>
        <w:tc>
          <w:tcPr>
            <w:tcW w:w="1161" w:type="pct"/>
            <w:tcBorders>
              <w:tl2br w:val="nil"/>
              <w:tr2bl w:val="nil"/>
            </w:tcBorders>
            <w:vAlign w:val="center"/>
          </w:tcPr>
          <w:p w14:paraId="57A6587D">
            <w:pPr>
              <w:pStyle w:val="11"/>
              <w:spacing w:line="300" w:lineRule="exact"/>
              <w:ind w:firstLine="0" w:firstLineChars="0"/>
              <w:jc w:val="center"/>
              <w:rPr>
                <w:rFonts w:eastAsia="宋体" w:cs="Times New Roman"/>
                <w:bCs/>
                <w:sz w:val="21"/>
                <w:szCs w:val="21"/>
              </w:rPr>
            </w:pPr>
            <w:r>
              <w:rPr>
                <w:rFonts w:eastAsia="宋体" w:cs="Times New Roman"/>
                <w:bCs/>
                <w:sz w:val="21"/>
                <w:szCs w:val="21"/>
              </w:rPr>
              <w:t>350</w:t>
            </w:r>
          </w:p>
        </w:tc>
        <w:tc>
          <w:tcPr>
            <w:tcW w:w="1440" w:type="pct"/>
            <w:vMerge w:val="continue"/>
            <w:tcBorders>
              <w:tl2br w:val="nil"/>
              <w:tr2bl w:val="nil"/>
            </w:tcBorders>
            <w:vAlign w:val="center"/>
          </w:tcPr>
          <w:p w14:paraId="79EEB148">
            <w:pPr>
              <w:pStyle w:val="11"/>
              <w:spacing w:line="300" w:lineRule="exact"/>
              <w:ind w:firstLine="0" w:firstLineChars="0"/>
              <w:jc w:val="center"/>
              <w:rPr>
                <w:rFonts w:eastAsia="宋体" w:cs="Times New Roman"/>
                <w:bCs/>
                <w:sz w:val="21"/>
                <w:szCs w:val="21"/>
              </w:rPr>
            </w:pPr>
          </w:p>
        </w:tc>
      </w:tr>
      <w:tr w14:paraId="5D411E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vAlign w:val="center"/>
          </w:tcPr>
          <w:p w14:paraId="3C7F0010">
            <w:pPr>
              <w:pStyle w:val="11"/>
              <w:spacing w:line="300" w:lineRule="exact"/>
              <w:ind w:firstLine="0" w:firstLineChars="0"/>
              <w:jc w:val="center"/>
              <w:rPr>
                <w:rFonts w:eastAsia="宋体" w:cs="Times New Roman"/>
                <w:bCs/>
                <w:sz w:val="21"/>
                <w:szCs w:val="21"/>
              </w:rPr>
            </w:pPr>
            <w:r>
              <w:rPr>
                <w:rFonts w:eastAsia="宋体" w:cs="Times New Roman"/>
                <w:bCs/>
                <w:sz w:val="21"/>
                <w:szCs w:val="21"/>
              </w:rPr>
              <w:t>9</w:t>
            </w:r>
          </w:p>
        </w:tc>
        <w:tc>
          <w:tcPr>
            <w:tcW w:w="1074" w:type="pct"/>
            <w:tcBorders>
              <w:tl2br w:val="nil"/>
              <w:tr2bl w:val="nil"/>
            </w:tcBorders>
            <w:vAlign w:val="center"/>
          </w:tcPr>
          <w:p w14:paraId="1ED828A4">
            <w:pPr>
              <w:pStyle w:val="79"/>
              <w:autoSpaceDE/>
              <w:autoSpaceDN/>
              <w:adjustRightInd/>
              <w:spacing w:line="300" w:lineRule="exact"/>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硫化物</w:t>
            </w:r>
          </w:p>
        </w:tc>
        <w:tc>
          <w:tcPr>
            <w:tcW w:w="696" w:type="pct"/>
            <w:tcBorders>
              <w:tl2br w:val="nil"/>
              <w:tr2bl w:val="nil"/>
            </w:tcBorders>
            <w:vAlign w:val="center"/>
          </w:tcPr>
          <w:p w14:paraId="35EA9DCC">
            <w:pPr>
              <w:pStyle w:val="11"/>
              <w:spacing w:line="300" w:lineRule="exact"/>
              <w:ind w:firstLine="0" w:firstLineChars="0"/>
              <w:jc w:val="center"/>
              <w:rPr>
                <w:rFonts w:eastAsia="宋体" w:cs="Times New Roman"/>
                <w:bCs/>
                <w:sz w:val="21"/>
                <w:szCs w:val="21"/>
              </w:rPr>
            </w:pPr>
            <w:r>
              <w:rPr>
                <w:rFonts w:eastAsia="宋体" w:cs="Times New Roman"/>
                <w:bCs/>
                <w:sz w:val="21"/>
                <w:szCs w:val="21"/>
              </w:rPr>
              <w:t>mg/L</w:t>
            </w:r>
          </w:p>
        </w:tc>
        <w:tc>
          <w:tcPr>
            <w:tcW w:w="1161" w:type="pct"/>
            <w:tcBorders>
              <w:tl2br w:val="nil"/>
              <w:tr2bl w:val="nil"/>
            </w:tcBorders>
            <w:vAlign w:val="center"/>
          </w:tcPr>
          <w:p w14:paraId="3B84F49F">
            <w:pPr>
              <w:pStyle w:val="11"/>
              <w:spacing w:line="300" w:lineRule="exact"/>
              <w:ind w:firstLine="0" w:firstLineChars="0"/>
              <w:jc w:val="center"/>
              <w:rPr>
                <w:rFonts w:eastAsia="宋体" w:cs="Times New Roman"/>
                <w:bCs/>
                <w:sz w:val="21"/>
                <w:szCs w:val="21"/>
              </w:rPr>
            </w:pPr>
            <w:r>
              <w:rPr>
                <w:rFonts w:eastAsia="宋体" w:cs="Times New Roman"/>
                <w:bCs/>
                <w:sz w:val="21"/>
                <w:szCs w:val="21"/>
              </w:rPr>
              <w:t>1</w:t>
            </w:r>
          </w:p>
        </w:tc>
        <w:tc>
          <w:tcPr>
            <w:tcW w:w="1440" w:type="pct"/>
            <w:vMerge w:val="continue"/>
            <w:tcBorders>
              <w:tl2br w:val="nil"/>
              <w:tr2bl w:val="nil"/>
            </w:tcBorders>
            <w:vAlign w:val="center"/>
          </w:tcPr>
          <w:p w14:paraId="05C9963A">
            <w:pPr>
              <w:pStyle w:val="11"/>
              <w:spacing w:line="300" w:lineRule="exact"/>
              <w:ind w:firstLine="0" w:firstLineChars="0"/>
              <w:jc w:val="center"/>
              <w:rPr>
                <w:rFonts w:eastAsia="宋体" w:cs="Times New Roman"/>
                <w:bCs/>
                <w:sz w:val="21"/>
                <w:szCs w:val="21"/>
              </w:rPr>
            </w:pPr>
          </w:p>
        </w:tc>
      </w:tr>
      <w:tr w14:paraId="69958E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vAlign w:val="center"/>
          </w:tcPr>
          <w:p w14:paraId="53609AED">
            <w:pPr>
              <w:pStyle w:val="11"/>
              <w:spacing w:line="300" w:lineRule="exact"/>
              <w:ind w:firstLine="0" w:firstLineChars="0"/>
              <w:jc w:val="center"/>
              <w:rPr>
                <w:rFonts w:eastAsia="宋体" w:cs="Times New Roman"/>
                <w:bCs/>
                <w:sz w:val="21"/>
                <w:szCs w:val="21"/>
              </w:rPr>
            </w:pPr>
            <w:r>
              <w:rPr>
                <w:rFonts w:eastAsia="宋体" w:cs="Times New Roman"/>
                <w:bCs/>
                <w:sz w:val="21"/>
                <w:szCs w:val="21"/>
              </w:rPr>
              <w:t>10</w:t>
            </w:r>
          </w:p>
        </w:tc>
        <w:tc>
          <w:tcPr>
            <w:tcW w:w="1074" w:type="pct"/>
            <w:tcBorders>
              <w:tl2br w:val="nil"/>
              <w:tr2bl w:val="nil"/>
            </w:tcBorders>
            <w:vAlign w:val="center"/>
          </w:tcPr>
          <w:p w14:paraId="65BDCE79">
            <w:pPr>
              <w:pStyle w:val="79"/>
              <w:autoSpaceDE/>
              <w:autoSpaceDN/>
              <w:adjustRightInd/>
              <w:spacing w:line="300" w:lineRule="exact"/>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全盐量</w:t>
            </w:r>
          </w:p>
        </w:tc>
        <w:tc>
          <w:tcPr>
            <w:tcW w:w="696" w:type="pct"/>
            <w:tcBorders>
              <w:tl2br w:val="nil"/>
              <w:tr2bl w:val="nil"/>
            </w:tcBorders>
            <w:vAlign w:val="center"/>
          </w:tcPr>
          <w:p w14:paraId="2234D103">
            <w:pPr>
              <w:pStyle w:val="11"/>
              <w:spacing w:line="300" w:lineRule="exact"/>
              <w:ind w:firstLine="0" w:firstLineChars="0"/>
              <w:jc w:val="center"/>
              <w:rPr>
                <w:rFonts w:eastAsia="宋体" w:cs="Times New Roman"/>
                <w:bCs/>
                <w:sz w:val="21"/>
                <w:szCs w:val="21"/>
              </w:rPr>
            </w:pPr>
            <w:r>
              <w:rPr>
                <w:rFonts w:eastAsia="宋体" w:cs="Times New Roman"/>
                <w:bCs/>
                <w:sz w:val="21"/>
                <w:szCs w:val="21"/>
              </w:rPr>
              <w:t>mg/L</w:t>
            </w:r>
          </w:p>
        </w:tc>
        <w:tc>
          <w:tcPr>
            <w:tcW w:w="1161" w:type="pct"/>
            <w:tcBorders>
              <w:tl2br w:val="nil"/>
              <w:tr2bl w:val="nil"/>
            </w:tcBorders>
            <w:vAlign w:val="center"/>
          </w:tcPr>
          <w:p w14:paraId="1CCDD304">
            <w:pPr>
              <w:pStyle w:val="11"/>
              <w:spacing w:line="300" w:lineRule="exact"/>
              <w:ind w:firstLine="0" w:firstLineChars="0"/>
              <w:jc w:val="center"/>
              <w:rPr>
                <w:rFonts w:eastAsia="宋体" w:cs="Times New Roman"/>
                <w:bCs/>
                <w:sz w:val="21"/>
                <w:szCs w:val="21"/>
              </w:rPr>
            </w:pPr>
            <w:r>
              <w:rPr>
                <w:rFonts w:eastAsia="宋体" w:cs="Times New Roman"/>
                <w:bCs/>
                <w:sz w:val="21"/>
                <w:szCs w:val="21"/>
              </w:rPr>
              <w:t>1000（非盐碱地区）</w:t>
            </w:r>
          </w:p>
        </w:tc>
        <w:tc>
          <w:tcPr>
            <w:tcW w:w="1440" w:type="pct"/>
            <w:vMerge w:val="continue"/>
            <w:tcBorders>
              <w:tl2br w:val="nil"/>
              <w:tr2bl w:val="nil"/>
            </w:tcBorders>
            <w:vAlign w:val="center"/>
          </w:tcPr>
          <w:p w14:paraId="368712FE">
            <w:pPr>
              <w:pStyle w:val="11"/>
              <w:spacing w:line="300" w:lineRule="exact"/>
              <w:ind w:firstLine="0" w:firstLineChars="0"/>
              <w:jc w:val="center"/>
              <w:rPr>
                <w:rFonts w:eastAsia="宋体" w:cs="Times New Roman"/>
                <w:bCs/>
                <w:sz w:val="21"/>
                <w:szCs w:val="21"/>
              </w:rPr>
            </w:pPr>
          </w:p>
        </w:tc>
      </w:tr>
      <w:tr w14:paraId="6388F6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vAlign w:val="center"/>
          </w:tcPr>
          <w:p w14:paraId="05C43112">
            <w:pPr>
              <w:pStyle w:val="11"/>
              <w:spacing w:line="300" w:lineRule="exact"/>
              <w:ind w:firstLine="0" w:firstLineChars="0"/>
              <w:jc w:val="center"/>
              <w:rPr>
                <w:rFonts w:eastAsia="宋体" w:cs="Times New Roman"/>
                <w:bCs/>
                <w:sz w:val="21"/>
                <w:szCs w:val="21"/>
              </w:rPr>
            </w:pPr>
            <w:r>
              <w:rPr>
                <w:rFonts w:eastAsia="宋体" w:cs="Times New Roman"/>
                <w:bCs/>
                <w:sz w:val="21"/>
                <w:szCs w:val="21"/>
              </w:rPr>
              <w:t>11</w:t>
            </w:r>
          </w:p>
        </w:tc>
        <w:tc>
          <w:tcPr>
            <w:tcW w:w="1074" w:type="pct"/>
            <w:tcBorders>
              <w:tl2br w:val="nil"/>
              <w:tr2bl w:val="nil"/>
            </w:tcBorders>
            <w:vAlign w:val="center"/>
          </w:tcPr>
          <w:p w14:paraId="08F55D0E">
            <w:pPr>
              <w:pStyle w:val="79"/>
              <w:autoSpaceDE/>
              <w:autoSpaceDN/>
              <w:adjustRightInd/>
              <w:spacing w:line="300" w:lineRule="exact"/>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总铅</w:t>
            </w:r>
          </w:p>
        </w:tc>
        <w:tc>
          <w:tcPr>
            <w:tcW w:w="696" w:type="pct"/>
            <w:tcBorders>
              <w:tl2br w:val="nil"/>
              <w:tr2bl w:val="nil"/>
            </w:tcBorders>
            <w:vAlign w:val="center"/>
          </w:tcPr>
          <w:p w14:paraId="05CA4C82">
            <w:pPr>
              <w:pStyle w:val="11"/>
              <w:spacing w:line="300" w:lineRule="exact"/>
              <w:ind w:firstLine="0" w:firstLineChars="0"/>
              <w:jc w:val="center"/>
              <w:rPr>
                <w:rFonts w:eastAsia="宋体" w:cs="Times New Roman"/>
                <w:bCs/>
                <w:sz w:val="21"/>
                <w:szCs w:val="21"/>
              </w:rPr>
            </w:pPr>
            <w:r>
              <w:rPr>
                <w:rFonts w:eastAsia="宋体" w:cs="Times New Roman"/>
                <w:bCs/>
                <w:sz w:val="21"/>
                <w:szCs w:val="21"/>
              </w:rPr>
              <w:t>mg/L</w:t>
            </w:r>
          </w:p>
        </w:tc>
        <w:tc>
          <w:tcPr>
            <w:tcW w:w="1161" w:type="pct"/>
            <w:tcBorders>
              <w:tl2br w:val="nil"/>
              <w:tr2bl w:val="nil"/>
            </w:tcBorders>
            <w:vAlign w:val="center"/>
          </w:tcPr>
          <w:p w14:paraId="6CA015E0">
            <w:pPr>
              <w:pStyle w:val="11"/>
              <w:spacing w:line="300" w:lineRule="exact"/>
              <w:ind w:firstLine="0" w:firstLineChars="0"/>
              <w:jc w:val="center"/>
              <w:rPr>
                <w:rFonts w:eastAsia="宋体" w:cs="Times New Roman"/>
                <w:bCs/>
                <w:sz w:val="21"/>
                <w:szCs w:val="21"/>
              </w:rPr>
            </w:pPr>
            <w:r>
              <w:rPr>
                <w:rFonts w:eastAsia="宋体" w:cs="Times New Roman"/>
                <w:bCs/>
                <w:sz w:val="21"/>
                <w:szCs w:val="21"/>
              </w:rPr>
              <w:t>0.2</w:t>
            </w:r>
          </w:p>
        </w:tc>
        <w:tc>
          <w:tcPr>
            <w:tcW w:w="1440" w:type="pct"/>
            <w:vMerge w:val="continue"/>
            <w:tcBorders>
              <w:tl2br w:val="nil"/>
              <w:tr2bl w:val="nil"/>
            </w:tcBorders>
            <w:vAlign w:val="center"/>
          </w:tcPr>
          <w:p w14:paraId="671A0DB8">
            <w:pPr>
              <w:pStyle w:val="11"/>
              <w:spacing w:line="300" w:lineRule="exact"/>
              <w:ind w:firstLine="0" w:firstLineChars="0"/>
              <w:jc w:val="center"/>
              <w:rPr>
                <w:rFonts w:eastAsia="宋体" w:cs="Times New Roman"/>
                <w:bCs/>
                <w:sz w:val="21"/>
                <w:szCs w:val="21"/>
              </w:rPr>
            </w:pPr>
          </w:p>
        </w:tc>
      </w:tr>
      <w:tr w14:paraId="0AE72D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vAlign w:val="center"/>
          </w:tcPr>
          <w:p w14:paraId="406CD4A8">
            <w:pPr>
              <w:pStyle w:val="11"/>
              <w:spacing w:line="300" w:lineRule="exact"/>
              <w:ind w:firstLine="0" w:firstLineChars="0"/>
              <w:jc w:val="center"/>
              <w:rPr>
                <w:rFonts w:eastAsia="宋体" w:cs="Times New Roman"/>
                <w:bCs/>
                <w:sz w:val="21"/>
                <w:szCs w:val="21"/>
              </w:rPr>
            </w:pPr>
            <w:r>
              <w:rPr>
                <w:rFonts w:eastAsia="宋体" w:cs="Times New Roman"/>
                <w:bCs/>
                <w:sz w:val="21"/>
                <w:szCs w:val="21"/>
              </w:rPr>
              <w:t>12</w:t>
            </w:r>
          </w:p>
        </w:tc>
        <w:tc>
          <w:tcPr>
            <w:tcW w:w="1074" w:type="pct"/>
            <w:tcBorders>
              <w:tl2br w:val="nil"/>
              <w:tr2bl w:val="nil"/>
            </w:tcBorders>
            <w:vAlign w:val="center"/>
          </w:tcPr>
          <w:p w14:paraId="49CE06E9">
            <w:pPr>
              <w:pStyle w:val="79"/>
              <w:autoSpaceDE/>
              <w:autoSpaceDN/>
              <w:adjustRightInd/>
              <w:spacing w:line="300" w:lineRule="exact"/>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总镉</w:t>
            </w:r>
          </w:p>
        </w:tc>
        <w:tc>
          <w:tcPr>
            <w:tcW w:w="696" w:type="pct"/>
            <w:tcBorders>
              <w:tl2br w:val="nil"/>
              <w:tr2bl w:val="nil"/>
            </w:tcBorders>
            <w:vAlign w:val="center"/>
          </w:tcPr>
          <w:p w14:paraId="085159D4">
            <w:pPr>
              <w:pStyle w:val="11"/>
              <w:spacing w:line="300" w:lineRule="exact"/>
              <w:ind w:firstLine="0" w:firstLineChars="0"/>
              <w:jc w:val="center"/>
              <w:rPr>
                <w:rFonts w:eastAsia="宋体" w:cs="Times New Roman"/>
                <w:bCs/>
                <w:sz w:val="21"/>
                <w:szCs w:val="21"/>
              </w:rPr>
            </w:pPr>
            <w:r>
              <w:rPr>
                <w:rFonts w:eastAsia="宋体" w:cs="Times New Roman"/>
                <w:bCs/>
                <w:sz w:val="21"/>
                <w:szCs w:val="21"/>
              </w:rPr>
              <w:t>mg/L</w:t>
            </w:r>
          </w:p>
        </w:tc>
        <w:tc>
          <w:tcPr>
            <w:tcW w:w="1161" w:type="pct"/>
            <w:tcBorders>
              <w:tl2br w:val="nil"/>
              <w:tr2bl w:val="nil"/>
            </w:tcBorders>
            <w:vAlign w:val="center"/>
          </w:tcPr>
          <w:p w14:paraId="65075E46">
            <w:pPr>
              <w:pStyle w:val="11"/>
              <w:spacing w:line="300" w:lineRule="exact"/>
              <w:ind w:firstLine="0" w:firstLineChars="0"/>
              <w:jc w:val="center"/>
              <w:rPr>
                <w:rFonts w:eastAsia="宋体" w:cs="Times New Roman"/>
                <w:bCs/>
                <w:sz w:val="21"/>
                <w:szCs w:val="21"/>
              </w:rPr>
            </w:pPr>
            <w:r>
              <w:rPr>
                <w:rFonts w:eastAsia="宋体" w:cs="Times New Roman"/>
                <w:bCs/>
                <w:sz w:val="21"/>
                <w:szCs w:val="21"/>
              </w:rPr>
              <w:t>0.01</w:t>
            </w:r>
          </w:p>
        </w:tc>
        <w:tc>
          <w:tcPr>
            <w:tcW w:w="1440" w:type="pct"/>
            <w:vMerge w:val="continue"/>
            <w:tcBorders>
              <w:tl2br w:val="nil"/>
              <w:tr2bl w:val="nil"/>
            </w:tcBorders>
            <w:vAlign w:val="center"/>
          </w:tcPr>
          <w:p w14:paraId="1DD332BE">
            <w:pPr>
              <w:pStyle w:val="11"/>
              <w:spacing w:line="300" w:lineRule="exact"/>
              <w:ind w:firstLine="0" w:firstLineChars="0"/>
              <w:jc w:val="center"/>
              <w:rPr>
                <w:rFonts w:eastAsia="宋体" w:cs="Times New Roman"/>
                <w:bCs/>
                <w:sz w:val="21"/>
                <w:szCs w:val="21"/>
              </w:rPr>
            </w:pPr>
          </w:p>
        </w:tc>
      </w:tr>
      <w:tr w14:paraId="3EF523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vAlign w:val="center"/>
          </w:tcPr>
          <w:p w14:paraId="664674D4">
            <w:pPr>
              <w:pStyle w:val="11"/>
              <w:spacing w:line="300" w:lineRule="exact"/>
              <w:ind w:firstLine="0" w:firstLineChars="0"/>
              <w:jc w:val="center"/>
              <w:rPr>
                <w:rFonts w:eastAsia="宋体" w:cs="Times New Roman"/>
                <w:bCs/>
                <w:sz w:val="21"/>
                <w:szCs w:val="21"/>
              </w:rPr>
            </w:pPr>
            <w:r>
              <w:rPr>
                <w:rFonts w:eastAsia="宋体" w:cs="Times New Roman"/>
                <w:bCs/>
                <w:sz w:val="21"/>
                <w:szCs w:val="21"/>
              </w:rPr>
              <w:t>13</w:t>
            </w:r>
          </w:p>
        </w:tc>
        <w:tc>
          <w:tcPr>
            <w:tcW w:w="1074" w:type="pct"/>
            <w:tcBorders>
              <w:tl2br w:val="nil"/>
              <w:tr2bl w:val="nil"/>
            </w:tcBorders>
            <w:vAlign w:val="center"/>
          </w:tcPr>
          <w:p w14:paraId="4F7CB696">
            <w:pPr>
              <w:pStyle w:val="79"/>
              <w:autoSpaceDE/>
              <w:autoSpaceDN/>
              <w:adjustRightInd/>
              <w:spacing w:line="300" w:lineRule="exact"/>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六价铬</w:t>
            </w:r>
          </w:p>
        </w:tc>
        <w:tc>
          <w:tcPr>
            <w:tcW w:w="696" w:type="pct"/>
            <w:tcBorders>
              <w:tl2br w:val="nil"/>
              <w:tr2bl w:val="nil"/>
            </w:tcBorders>
            <w:vAlign w:val="center"/>
          </w:tcPr>
          <w:p w14:paraId="06347CB7">
            <w:pPr>
              <w:pStyle w:val="11"/>
              <w:spacing w:line="300" w:lineRule="exact"/>
              <w:ind w:firstLine="0" w:firstLineChars="0"/>
              <w:jc w:val="center"/>
              <w:rPr>
                <w:rFonts w:eastAsia="宋体" w:cs="Times New Roman"/>
                <w:bCs/>
                <w:sz w:val="21"/>
                <w:szCs w:val="21"/>
              </w:rPr>
            </w:pPr>
            <w:r>
              <w:rPr>
                <w:rFonts w:eastAsia="宋体" w:cs="Times New Roman"/>
                <w:bCs/>
                <w:sz w:val="21"/>
                <w:szCs w:val="21"/>
              </w:rPr>
              <w:t>mg/L</w:t>
            </w:r>
          </w:p>
        </w:tc>
        <w:tc>
          <w:tcPr>
            <w:tcW w:w="1161" w:type="pct"/>
            <w:tcBorders>
              <w:tl2br w:val="nil"/>
              <w:tr2bl w:val="nil"/>
            </w:tcBorders>
            <w:vAlign w:val="center"/>
          </w:tcPr>
          <w:p w14:paraId="3D7F1C80">
            <w:pPr>
              <w:pStyle w:val="11"/>
              <w:spacing w:line="300" w:lineRule="exact"/>
              <w:ind w:firstLine="0" w:firstLineChars="0"/>
              <w:jc w:val="center"/>
              <w:rPr>
                <w:rFonts w:eastAsia="宋体" w:cs="Times New Roman"/>
                <w:bCs/>
                <w:sz w:val="21"/>
                <w:szCs w:val="21"/>
              </w:rPr>
            </w:pPr>
            <w:r>
              <w:rPr>
                <w:rFonts w:eastAsia="宋体" w:cs="Times New Roman"/>
                <w:bCs/>
                <w:sz w:val="21"/>
                <w:szCs w:val="21"/>
              </w:rPr>
              <w:t>0.1</w:t>
            </w:r>
          </w:p>
        </w:tc>
        <w:tc>
          <w:tcPr>
            <w:tcW w:w="1440" w:type="pct"/>
            <w:vMerge w:val="continue"/>
            <w:tcBorders>
              <w:tl2br w:val="nil"/>
              <w:tr2bl w:val="nil"/>
            </w:tcBorders>
            <w:vAlign w:val="center"/>
          </w:tcPr>
          <w:p w14:paraId="45EA26D1">
            <w:pPr>
              <w:pStyle w:val="11"/>
              <w:spacing w:line="300" w:lineRule="exact"/>
              <w:ind w:firstLine="0" w:firstLineChars="0"/>
              <w:jc w:val="center"/>
              <w:rPr>
                <w:rFonts w:eastAsia="宋体" w:cs="Times New Roman"/>
                <w:bCs/>
                <w:sz w:val="21"/>
                <w:szCs w:val="21"/>
              </w:rPr>
            </w:pPr>
          </w:p>
        </w:tc>
      </w:tr>
      <w:tr w14:paraId="6E8365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vAlign w:val="center"/>
          </w:tcPr>
          <w:p w14:paraId="7E064089">
            <w:pPr>
              <w:pStyle w:val="11"/>
              <w:spacing w:line="300" w:lineRule="exact"/>
              <w:ind w:firstLine="0" w:firstLineChars="0"/>
              <w:jc w:val="center"/>
              <w:rPr>
                <w:rFonts w:eastAsia="宋体" w:cs="Times New Roman"/>
                <w:bCs/>
                <w:sz w:val="21"/>
                <w:szCs w:val="21"/>
              </w:rPr>
            </w:pPr>
            <w:r>
              <w:rPr>
                <w:rFonts w:eastAsia="宋体" w:cs="Times New Roman"/>
                <w:bCs/>
                <w:sz w:val="21"/>
                <w:szCs w:val="21"/>
              </w:rPr>
              <w:t>14</w:t>
            </w:r>
          </w:p>
        </w:tc>
        <w:tc>
          <w:tcPr>
            <w:tcW w:w="1074" w:type="pct"/>
            <w:tcBorders>
              <w:tl2br w:val="nil"/>
              <w:tr2bl w:val="nil"/>
            </w:tcBorders>
            <w:vAlign w:val="center"/>
          </w:tcPr>
          <w:p w14:paraId="7BFDEACE">
            <w:pPr>
              <w:pStyle w:val="79"/>
              <w:autoSpaceDE/>
              <w:autoSpaceDN/>
              <w:adjustRightInd/>
              <w:spacing w:line="300" w:lineRule="exact"/>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总汞</w:t>
            </w:r>
          </w:p>
        </w:tc>
        <w:tc>
          <w:tcPr>
            <w:tcW w:w="696" w:type="pct"/>
            <w:tcBorders>
              <w:tl2br w:val="nil"/>
              <w:tr2bl w:val="nil"/>
            </w:tcBorders>
            <w:vAlign w:val="center"/>
          </w:tcPr>
          <w:p w14:paraId="03F7E46B">
            <w:pPr>
              <w:pStyle w:val="11"/>
              <w:spacing w:line="300" w:lineRule="exact"/>
              <w:ind w:firstLine="0" w:firstLineChars="0"/>
              <w:jc w:val="center"/>
              <w:rPr>
                <w:rFonts w:eastAsia="宋体" w:cs="Times New Roman"/>
                <w:bCs/>
                <w:sz w:val="21"/>
                <w:szCs w:val="21"/>
              </w:rPr>
            </w:pPr>
            <w:r>
              <w:rPr>
                <w:rFonts w:eastAsia="宋体" w:cs="Times New Roman"/>
                <w:bCs/>
                <w:sz w:val="21"/>
                <w:szCs w:val="21"/>
              </w:rPr>
              <w:t>mg/L</w:t>
            </w:r>
          </w:p>
        </w:tc>
        <w:tc>
          <w:tcPr>
            <w:tcW w:w="1161" w:type="pct"/>
            <w:tcBorders>
              <w:tl2br w:val="nil"/>
              <w:tr2bl w:val="nil"/>
            </w:tcBorders>
            <w:vAlign w:val="center"/>
          </w:tcPr>
          <w:p w14:paraId="62340770">
            <w:pPr>
              <w:pStyle w:val="11"/>
              <w:spacing w:line="300" w:lineRule="exact"/>
              <w:ind w:firstLine="0" w:firstLineChars="0"/>
              <w:jc w:val="center"/>
              <w:rPr>
                <w:rFonts w:eastAsia="宋体" w:cs="Times New Roman"/>
                <w:bCs/>
                <w:sz w:val="21"/>
                <w:szCs w:val="21"/>
              </w:rPr>
            </w:pPr>
            <w:r>
              <w:rPr>
                <w:rFonts w:eastAsia="宋体" w:cs="Times New Roman"/>
                <w:bCs/>
                <w:sz w:val="21"/>
                <w:szCs w:val="21"/>
              </w:rPr>
              <w:t>0.001</w:t>
            </w:r>
          </w:p>
        </w:tc>
        <w:tc>
          <w:tcPr>
            <w:tcW w:w="1440" w:type="pct"/>
            <w:vMerge w:val="continue"/>
            <w:tcBorders>
              <w:tl2br w:val="nil"/>
              <w:tr2bl w:val="nil"/>
            </w:tcBorders>
            <w:vAlign w:val="center"/>
          </w:tcPr>
          <w:p w14:paraId="591C8F08">
            <w:pPr>
              <w:pStyle w:val="11"/>
              <w:spacing w:line="300" w:lineRule="exact"/>
              <w:ind w:firstLine="0" w:firstLineChars="0"/>
              <w:jc w:val="center"/>
              <w:rPr>
                <w:rFonts w:eastAsia="宋体" w:cs="Times New Roman"/>
                <w:bCs/>
                <w:sz w:val="21"/>
                <w:szCs w:val="21"/>
              </w:rPr>
            </w:pPr>
          </w:p>
        </w:tc>
      </w:tr>
      <w:tr w14:paraId="75744C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vAlign w:val="center"/>
          </w:tcPr>
          <w:p w14:paraId="0FC770CD">
            <w:pPr>
              <w:pStyle w:val="11"/>
              <w:spacing w:line="300" w:lineRule="exact"/>
              <w:ind w:firstLine="0" w:firstLineChars="0"/>
              <w:jc w:val="center"/>
              <w:rPr>
                <w:rFonts w:eastAsia="宋体" w:cs="Times New Roman"/>
                <w:bCs/>
                <w:sz w:val="21"/>
                <w:szCs w:val="21"/>
              </w:rPr>
            </w:pPr>
            <w:r>
              <w:rPr>
                <w:rFonts w:eastAsia="宋体" w:cs="Times New Roman"/>
                <w:bCs/>
                <w:sz w:val="21"/>
                <w:szCs w:val="21"/>
              </w:rPr>
              <w:t>15</w:t>
            </w:r>
          </w:p>
        </w:tc>
        <w:tc>
          <w:tcPr>
            <w:tcW w:w="1074" w:type="pct"/>
            <w:tcBorders>
              <w:tl2br w:val="nil"/>
              <w:tr2bl w:val="nil"/>
            </w:tcBorders>
            <w:vAlign w:val="center"/>
          </w:tcPr>
          <w:p w14:paraId="5AA4CD0D">
            <w:pPr>
              <w:pStyle w:val="79"/>
              <w:autoSpaceDE/>
              <w:autoSpaceDN/>
              <w:adjustRightInd/>
              <w:spacing w:line="300" w:lineRule="exact"/>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总砷</w:t>
            </w:r>
          </w:p>
        </w:tc>
        <w:tc>
          <w:tcPr>
            <w:tcW w:w="696" w:type="pct"/>
            <w:tcBorders>
              <w:tl2br w:val="nil"/>
              <w:tr2bl w:val="nil"/>
            </w:tcBorders>
            <w:vAlign w:val="center"/>
          </w:tcPr>
          <w:p w14:paraId="71D024FB">
            <w:pPr>
              <w:pStyle w:val="11"/>
              <w:spacing w:line="300" w:lineRule="exact"/>
              <w:ind w:firstLine="0" w:firstLineChars="0"/>
              <w:jc w:val="center"/>
              <w:rPr>
                <w:rFonts w:eastAsia="宋体" w:cs="Times New Roman"/>
                <w:bCs/>
                <w:sz w:val="21"/>
                <w:szCs w:val="21"/>
              </w:rPr>
            </w:pPr>
            <w:r>
              <w:rPr>
                <w:rFonts w:eastAsia="宋体" w:cs="Times New Roman"/>
                <w:bCs/>
                <w:sz w:val="21"/>
                <w:szCs w:val="21"/>
              </w:rPr>
              <w:t>mg/L</w:t>
            </w:r>
          </w:p>
        </w:tc>
        <w:tc>
          <w:tcPr>
            <w:tcW w:w="1161" w:type="pct"/>
            <w:tcBorders>
              <w:tl2br w:val="nil"/>
              <w:tr2bl w:val="nil"/>
            </w:tcBorders>
            <w:vAlign w:val="center"/>
          </w:tcPr>
          <w:p w14:paraId="5FCF1D38">
            <w:pPr>
              <w:pStyle w:val="11"/>
              <w:spacing w:line="300" w:lineRule="exact"/>
              <w:ind w:firstLine="0" w:firstLineChars="0"/>
              <w:jc w:val="center"/>
              <w:rPr>
                <w:rFonts w:eastAsia="宋体" w:cs="Times New Roman"/>
                <w:bCs/>
                <w:sz w:val="21"/>
                <w:szCs w:val="21"/>
              </w:rPr>
            </w:pPr>
            <w:r>
              <w:rPr>
                <w:rFonts w:eastAsia="宋体" w:cs="Times New Roman"/>
                <w:bCs/>
                <w:sz w:val="21"/>
                <w:szCs w:val="21"/>
              </w:rPr>
              <w:t>0.05</w:t>
            </w:r>
          </w:p>
        </w:tc>
        <w:tc>
          <w:tcPr>
            <w:tcW w:w="1440" w:type="pct"/>
            <w:vMerge w:val="continue"/>
            <w:tcBorders>
              <w:tl2br w:val="nil"/>
              <w:tr2bl w:val="nil"/>
            </w:tcBorders>
            <w:vAlign w:val="center"/>
          </w:tcPr>
          <w:p w14:paraId="47C40945">
            <w:pPr>
              <w:pStyle w:val="11"/>
              <w:spacing w:line="300" w:lineRule="exact"/>
              <w:ind w:firstLine="0" w:firstLineChars="0"/>
              <w:jc w:val="center"/>
              <w:rPr>
                <w:rFonts w:eastAsia="宋体" w:cs="Times New Roman"/>
                <w:bCs/>
                <w:sz w:val="21"/>
                <w:szCs w:val="21"/>
              </w:rPr>
            </w:pPr>
          </w:p>
        </w:tc>
      </w:tr>
      <w:tr w14:paraId="3E053E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pct"/>
            <w:tcBorders>
              <w:tl2br w:val="nil"/>
              <w:tr2bl w:val="nil"/>
            </w:tcBorders>
            <w:vAlign w:val="center"/>
          </w:tcPr>
          <w:p w14:paraId="1D647E58">
            <w:pPr>
              <w:pStyle w:val="11"/>
              <w:spacing w:line="300" w:lineRule="exact"/>
              <w:ind w:firstLine="0" w:firstLineChars="0"/>
              <w:jc w:val="center"/>
              <w:rPr>
                <w:rFonts w:eastAsia="宋体" w:cs="Times New Roman"/>
                <w:bCs/>
                <w:sz w:val="21"/>
                <w:szCs w:val="21"/>
              </w:rPr>
            </w:pPr>
            <w:r>
              <w:rPr>
                <w:rFonts w:eastAsia="宋体" w:cs="Times New Roman"/>
                <w:bCs/>
                <w:sz w:val="21"/>
                <w:szCs w:val="21"/>
              </w:rPr>
              <w:t>16</w:t>
            </w:r>
          </w:p>
        </w:tc>
        <w:tc>
          <w:tcPr>
            <w:tcW w:w="1074" w:type="pct"/>
            <w:tcBorders>
              <w:tl2br w:val="nil"/>
              <w:tr2bl w:val="nil"/>
            </w:tcBorders>
            <w:vAlign w:val="center"/>
          </w:tcPr>
          <w:p w14:paraId="7A793E1B">
            <w:pPr>
              <w:pStyle w:val="79"/>
              <w:autoSpaceDE/>
              <w:autoSpaceDN/>
              <w:adjustRightInd/>
              <w:spacing w:line="300" w:lineRule="exact"/>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蛔虫卵</w:t>
            </w:r>
          </w:p>
        </w:tc>
        <w:tc>
          <w:tcPr>
            <w:tcW w:w="696" w:type="pct"/>
            <w:tcBorders>
              <w:tl2br w:val="nil"/>
              <w:tr2bl w:val="nil"/>
            </w:tcBorders>
            <w:vAlign w:val="center"/>
          </w:tcPr>
          <w:p w14:paraId="72FA5BD1">
            <w:pPr>
              <w:pStyle w:val="11"/>
              <w:spacing w:line="300" w:lineRule="exact"/>
              <w:ind w:firstLine="0" w:firstLineChars="0"/>
              <w:jc w:val="center"/>
              <w:rPr>
                <w:rFonts w:eastAsia="宋体" w:cs="Times New Roman"/>
                <w:bCs/>
                <w:sz w:val="21"/>
                <w:szCs w:val="21"/>
              </w:rPr>
            </w:pPr>
            <w:r>
              <w:rPr>
                <w:rFonts w:eastAsia="宋体" w:cs="Times New Roman"/>
                <w:bCs/>
                <w:sz w:val="21"/>
                <w:szCs w:val="21"/>
              </w:rPr>
              <w:t>个/10L</w:t>
            </w:r>
          </w:p>
        </w:tc>
        <w:tc>
          <w:tcPr>
            <w:tcW w:w="1161" w:type="pct"/>
            <w:tcBorders>
              <w:tl2br w:val="nil"/>
              <w:tr2bl w:val="nil"/>
            </w:tcBorders>
            <w:vAlign w:val="center"/>
          </w:tcPr>
          <w:p w14:paraId="153A3159">
            <w:pPr>
              <w:pStyle w:val="11"/>
              <w:spacing w:line="300" w:lineRule="exact"/>
              <w:ind w:firstLine="0" w:firstLineChars="0"/>
              <w:jc w:val="center"/>
              <w:rPr>
                <w:rFonts w:eastAsia="宋体" w:cs="Times New Roman"/>
                <w:bCs/>
                <w:sz w:val="21"/>
                <w:szCs w:val="21"/>
              </w:rPr>
            </w:pPr>
            <w:r>
              <w:rPr>
                <w:rFonts w:eastAsia="宋体" w:cs="Times New Roman"/>
                <w:bCs/>
                <w:sz w:val="21"/>
                <w:szCs w:val="21"/>
              </w:rPr>
              <w:t>20</w:t>
            </w:r>
          </w:p>
        </w:tc>
        <w:tc>
          <w:tcPr>
            <w:tcW w:w="1440" w:type="pct"/>
            <w:vMerge w:val="continue"/>
            <w:tcBorders>
              <w:tl2br w:val="nil"/>
              <w:tr2bl w:val="nil"/>
            </w:tcBorders>
            <w:vAlign w:val="center"/>
          </w:tcPr>
          <w:p w14:paraId="7E8CC181">
            <w:pPr>
              <w:pStyle w:val="11"/>
              <w:spacing w:line="300" w:lineRule="exact"/>
              <w:ind w:firstLine="0" w:firstLineChars="0"/>
              <w:jc w:val="center"/>
              <w:rPr>
                <w:rFonts w:eastAsia="宋体" w:cs="Times New Roman"/>
                <w:bCs/>
                <w:sz w:val="21"/>
                <w:szCs w:val="21"/>
              </w:rPr>
            </w:pPr>
          </w:p>
        </w:tc>
      </w:tr>
    </w:tbl>
    <w:p w14:paraId="2B2F509C">
      <w:pPr>
        <w:pStyle w:val="8"/>
        <w:pageBreakBefore w:val="0"/>
        <w:widowControl w:val="0"/>
        <w:kinsoku/>
        <w:wordWrap/>
        <w:overflowPunct/>
        <w:topLinePunct w:val="0"/>
        <w:autoSpaceDE/>
        <w:autoSpaceDN/>
        <w:bidi w:val="0"/>
        <w:adjustRightInd/>
        <w:snapToGrid/>
        <w:spacing w:line="500" w:lineRule="exact"/>
        <w:textAlignment w:val="auto"/>
      </w:pPr>
      <w:r>
        <w:rPr>
          <w:rFonts w:hint="eastAsia"/>
        </w:rPr>
        <w:t>2</w:t>
      </w:r>
      <w:r>
        <w:t>.</w:t>
      </w:r>
      <w:r>
        <w:rPr>
          <w:rFonts w:hint="eastAsia"/>
        </w:rPr>
        <w:t>4.2.3噪声排放标准</w:t>
      </w:r>
    </w:p>
    <w:p w14:paraId="5229590C">
      <w:pPr>
        <w:pageBreakBefore w:val="0"/>
        <w:widowControl w:val="0"/>
        <w:kinsoku/>
        <w:wordWrap/>
        <w:overflowPunct/>
        <w:topLinePunct w:val="0"/>
        <w:autoSpaceDE/>
        <w:autoSpaceDN/>
        <w:bidi w:val="0"/>
        <w:adjustRightInd/>
        <w:snapToGrid/>
        <w:spacing w:line="500" w:lineRule="exact"/>
        <w:ind w:firstLine="480" w:firstLineChars="200"/>
        <w:textAlignment w:val="auto"/>
      </w:pPr>
      <w:r>
        <w:rPr>
          <w:rFonts w:hint="eastAsia"/>
        </w:rPr>
        <w:t>施工期噪声执行《建筑施工场界环境噪声排放标准》（GB12523-2011），营运期厂界噪声执行《工业企业厂界环境噪声排放标准》（GB12348-2008）1类标准。具体标准值见表2.4-</w:t>
      </w:r>
      <w:r>
        <w:rPr>
          <w:rFonts w:hint="eastAsia"/>
          <w:lang w:val="en-US" w:eastAsia="zh-CN"/>
        </w:rPr>
        <w:t>10</w:t>
      </w:r>
      <w:r>
        <w:rPr>
          <w:rFonts w:hint="default" w:ascii="Times New Roman" w:hAnsi="Times New Roman" w:cs="Times New Roman"/>
        </w:rPr>
        <w:t>~</w:t>
      </w:r>
      <w:r>
        <w:rPr>
          <w:rFonts w:hint="eastAsia"/>
        </w:rPr>
        <w:t>2</w:t>
      </w:r>
      <w:r>
        <w:t>.</w:t>
      </w:r>
      <w:r>
        <w:rPr>
          <w:rFonts w:hint="eastAsia"/>
        </w:rPr>
        <w:t>4</w:t>
      </w:r>
      <w:r>
        <w:t>-1</w:t>
      </w:r>
      <w:r>
        <w:rPr>
          <w:rFonts w:hint="eastAsia"/>
          <w:lang w:val="en-US" w:eastAsia="zh-CN"/>
        </w:rPr>
        <w:t>1</w:t>
      </w:r>
      <w:r>
        <w:rPr>
          <w:rFonts w:hint="eastAsia"/>
        </w:rPr>
        <w:t>。</w:t>
      </w:r>
    </w:p>
    <w:p w14:paraId="289AD838">
      <w:pPr>
        <w:pStyle w:val="31"/>
        <w:pageBreakBefore w:val="0"/>
        <w:widowControl w:val="0"/>
        <w:kinsoku/>
        <w:wordWrap/>
        <w:overflowPunct/>
        <w:topLinePunct w:val="0"/>
        <w:autoSpaceDE/>
        <w:autoSpaceDN/>
        <w:bidi w:val="0"/>
        <w:adjustRightInd/>
        <w:snapToGrid/>
        <w:spacing w:before="0" w:line="500" w:lineRule="exact"/>
        <w:textAlignment w:val="auto"/>
      </w:pPr>
      <w:r>
        <w:rPr>
          <w:rFonts w:hint="eastAsia"/>
        </w:rPr>
        <w:t>表</w:t>
      </w:r>
      <w:r>
        <w:t>2.</w:t>
      </w:r>
      <w:r>
        <w:rPr>
          <w:rFonts w:hint="eastAsia"/>
        </w:rPr>
        <w:t>4</w:t>
      </w:r>
      <w:r>
        <w:t>-</w:t>
      </w:r>
      <w:r>
        <w:rPr>
          <w:rFonts w:hint="eastAsia"/>
          <w:lang w:val="en-US" w:eastAsia="zh-CN"/>
        </w:rPr>
        <w:t xml:space="preserve">10 </w:t>
      </w:r>
      <w:r>
        <w:t xml:space="preserve"> </w:t>
      </w:r>
      <w:r>
        <w:rPr>
          <w:rFonts w:hint="eastAsia"/>
        </w:rPr>
        <w:t>施工期噪声排放限值      单位：dB</w:t>
      </w:r>
      <w:r>
        <w:t>(A)</w:t>
      </w:r>
    </w:p>
    <w:tbl>
      <w:tblPr>
        <w:tblStyle w:val="4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86"/>
        <w:gridCol w:w="1949"/>
        <w:gridCol w:w="1951"/>
      </w:tblGrid>
      <w:tr w14:paraId="4246D2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9" w:type="pct"/>
            <w:vAlign w:val="center"/>
          </w:tcPr>
          <w:p w14:paraId="08457762">
            <w:pPr>
              <w:pStyle w:val="61"/>
            </w:pPr>
            <w:r>
              <w:rPr>
                <w:rFonts w:hint="eastAsia"/>
              </w:rPr>
              <w:t>标准</w:t>
            </w:r>
          </w:p>
        </w:tc>
        <w:tc>
          <w:tcPr>
            <w:tcW w:w="1049" w:type="pct"/>
            <w:vAlign w:val="center"/>
          </w:tcPr>
          <w:p w14:paraId="2A30F052">
            <w:pPr>
              <w:pStyle w:val="61"/>
            </w:pPr>
            <w:r>
              <w:rPr>
                <w:rFonts w:hint="eastAsia"/>
              </w:rPr>
              <w:t>昼间</w:t>
            </w:r>
          </w:p>
        </w:tc>
        <w:tc>
          <w:tcPr>
            <w:tcW w:w="1050" w:type="pct"/>
            <w:vAlign w:val="center"/>
          </w:tcPr>
          <w:p w14:paraId="38DB1C8C">
            <w:pPr>
              <w:pStyle w:val="61"/>
            </w:pPr>
            <w:r>
              <w:rPr>
                <w:rFonts w:hint="eastAsia"/>
              </w:rPr>
              <w:t>夜间</w:t>
            </w:r>
          </w:p>
        </w:tc>
      </w:tr>
      <w:tr w14:paraId="169D8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99" w:type="pct"/>
            <w:vAlign w:val="center"/>
          </w:tcPr>
          <w:p w14:paraId="3CC7D040">
            <w:pPr>
              <w:pStyle w:val="61"/>
            </w:pPr>
            <w:r>
              <w:rPr>
                <w:rFonts w:hint="eastAsia"/>
              </w:rPr>
              <w:t>《建筑施工场界环境噪声排放标准》</w:t>
            </w:r>
          </w:p>
        </w:tc>
        <w:tc>
          <w:tcPr>
            <w:tcW w:w="1049" w:type="pct"/>
            <w:vAlign w:val="center"/>
          </w:tcPr>
          <w:p w14:paraId="0DEE420F">
            <w:pPr>
              <w:pStyle w:val="61"/>
            </w:pPr>
            <w:r>
              <w:t>70</w:t>
            </w:r>
          </w:p>
        </w:tc>
        <w:tc>
          <w:tcPr>
            <w:tcW w:w="1050" w:type="pct"/>
            <w:vAlign w:val="center"/>
          </w:tcPr>
          <w:p w14:paraId="2BE6117A">
            <w:pPr>
              <w:pStyle w:val="61"/>
            </w:pPr>
            <w:r>
              <w:rPr>
                <w:rFonts w:hint="eastAsia"/>
              </w:rPr>
              <w:t>5</w:t>
            </w:r>
            <w:r>
              <w:t>5</w:t>
            </w:r>
          </w:p>
        </w:tc>
      </w:tr>
    </w:tbl>
    <w:p w14:paraId="32023C7B">
      <w:pPr>
        <w:pStyle w:val="31"/>
        <w:spacing w:before="0" w:line="480" w:lineRule="atLeast"/>
      </w:pPr>
      <w:r>
        <w:rPr>
          <w:rFonts w:hint="eastAsia"/>
        </w:rPr>
        <w:t>表</w:t>
      </w:r>
      <w:r>
        <w:t>2.</w:t>
      </w:r>
      <w:r>
        <w:rPr>
          <w:rFonts w:hint="eastAsia"/>
        </w:rPr>
        <w:t>4</w:t>
      </w:r>
      <w:r>
        <w:t>-1</w:t>
      </w:r>
      <w:r>
        <w:rPr>
          <w:rFonts w:hint="eastAsia"/>
          <w:lang w:val="en-US" w:eastAsia="zh-CN"/>
        </w:rPr>
        <w:t xml:space="preserve">1 </w:t>
      </w:r>
      <w:r>
        <w:t xml:space="preserve"> </w:t>
      </w:r>
      <w:r>
        <w:rPr>
          <w:rFonts w:hint="eastAsia"/>
        </w:rPr>
        <w:t>营运期噪声排放限值    单位：dB</w:t>
      </w:r>
      <w:r>
        <w:t>(A)</w:t>
      </w:r>
    </w:p>
    <w:tbl>
      <w:tblPr>
        <w:tblStyle w:val="41"/>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535"/>
        <w:gridCol w:w="1555"/>
        <w:gridCol w:w="1951"/>
        <w:gridCol w:w="2072"/>
        <w:gridCol w:w="2175"/>
      </w:tblGrid>
      <w:tr w14:paraId="52CDA82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26" w:type="pct"/>
            <w:vMerge w:val="restart"/>
            <w:tcBorders>
              <w:right w:val="single" w:color="auto" w:sz="4" w:space="0"/>
            </w:tcBorders>
            <w:vAlign w:val="center"/>
          </w:tcPr>
          <w:p w14:paraId="7010BFD4">
            <w:pPr>
              <w:adjustRightInd w:val="0"/>
              <w:snapToGrid w:val="0"/>
              <w:spacing w:line="280" w:lineRule="exact"/>
              <w:jc w:val="center"/>
              <w:rPr>
                <w:rFonts w:ascii="Times New Roman" w:eastAsia="宋体"/>
                <w:sz w:val="21"/>
                <w:szCs w:val="21"/>
              </w:rPr>
            </w:pPr>
            <w:r>
              <w:rPr>
                <w:rFonts w:hint="eastAsia" w:ascii="Times New Roman" w:eastAsia="宋体"/>
                <w:sz w:val="21"/>
                <w:szCs w:val="21"/>
              </w:rPr>
              <w:t>控制点</w:t>
            </w:r>
          </w:p>
        </w:tc>
        <w:tc>
          <w:tcPr>
            <w:tcW w:w="837" w:type="pct"/>
            <w:vMerge w:val="restart"/>
            <w:tcBorders>
              <w:left w:val="single" w:color="auto" w:sz="4" w:space="0"/>
            </w:tcBorders>
            <w:vAlign w:val="center"/>
          </w:tcPr>
          <w:p w14:paraId="0EB53D12">
            <w:pPr>
              <w:adjustRightInd w:val="0"/>
              <w:snapToGrid w:val="0"/>
              <w:spacing w:line="280" w:lineRule="exact"/>
              <w:jc w:val="center"/>
              <w:rPr>
                <w:rFonts w:ascii="Times New Roman" w:hAnsi="宋体" w:eastAsia="宋体"/>
                <w:sz w:val="21"/>
                <w:szCs w:val="21"/>
              </w:rPr>
            </w:pPr>
            <w:r>
              <w:rPr>
                <w:rFonts w:ascii="Times New Roman" w:hAnsi="宋体" w:eastAsia="宋体"/>
                <w:sz w:val="21"/>
                <w:szCs w:val="21"/>
              </w:rPr>
              <w:t>类别</w:t>
            </w:r>
          </w:p>
        </w:tc>
        <w:tc>
          <w:tcPr>
            <w:tcW w:w="2165" w:type="pct"/>
            <w:gridSpan w:val="2"/>
            <w:vAlign w:val="center"/>
          </w:tcPr>
          <w:p w14:paraId="47A68546">
            <w:pPr>
              <w:adjustRightInd w:val="0"/>
              <w:snapToGrid w:val="0"/>
              <w:spacing w:line="280" w:lineRule="exact"/>
              <w:jc w:val="center"/>
              <w:rPr>
                <w:rFonts w:ascii="Times New Roman" w:eastAsia="宋体"/>
                <w:sz w:val="21"/>
                <w:szCs w:val="21"/>
              </w:rPr>
            </w:pPr>
            <w:r>
              <w:rPr>
                <w:rFonts w:ascii="Times New Roman" w:hAnsi="宋体" w:eastAsia="宋体"/>
                <w:sz w:val="21"/>
                <w:szCs w:val="21"/>
              </w:rPr>
              <w:t>标准值</w:t>
            </w:r>
          </w:p>
        </w:tc>
        <w:tc>
          <w:tcPr>
            <w:tcW w:w="1170" w:type="pct"/>
            <w:vMerge w:val="restart"/>
            <w:vAlign w:val="center"/>
          </w:tcPr>
          <w:p w14:paraId="1E1B8179">
            <w:pPr>
              <w:adjustRightInd w:val="0"/>
              <w:snapToGrid w:val="0"/>
              <w:spacing w:line="280" w:lineRule="exact"/>
              <w:jc w:val="center"/>
              <w:rPr>
                <w:rFonts w:ascii="Times New Roman" w:eastAsia="宋体"/>
                <w:sz w:val="21"/>
                <w:szCs w:val="21"/>
              </w:rPr>
            </w:pPr>
            <w:r>
              <w:rPr>
                <w:rFonts w:ascii="Times New Roman" w:hAnsi="宋体" w:eastAsia="宋体"/>
                <w:sz w:val="21"/>
                <w:szCs w:val="21"/>
              </w:rPr>
              <w:t>标准来源</w:t>
            </w:r>
          </w:p>
        </w:tc>
      </w:tr>
      <w:tr w14:paraId="09FA49C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26" w:type="pct"/>
            <w:vMerge w:val="continue"/>
            <w:tcBorders>
              <w:right w:val="single" w:color="auto" w:sz="4" w:space="0"/>
            </w:tcBorders>
            <w:vAlign w:val="center"/>
          </w:tcPr>
          <w:p w14:paraId="3BB5FC08">
            <w:pPr>
              <w:adjustRightInd w:val="0"/>
              <w:snapToGrid w:val="0"/>
              <w:spacing w:line="280" w:lineRule="exact"/>
              <w:jc w:val="center"/>
              <w:rPr>
                <w:rFonts w:ascii="Times New Roman" w:eastAsia="宋体"/>
                <w:sz w:val="21"/>
                <w:szCs w:val="21"/>
              </w:rPr>
            </w:pPr>
          </w:p>
        </w:tc>
        <w:tc>
          <w:tcPr>
            <w:tcW w:w="837" w:type="pct"/>
            <w:vMerge w:val="continue"/>
            <w:tcBorders>
              <w:left w:val="single" w:color="auto" w:sz="4" w:space="0"/>
            </w:tcBorders>
            <w:vAlign w:val="center"/>
          </w:tcPr>
          <w:p w14:paraId="4E6F1564">
            <w:pPr>
              <w:adjustRightInd w:val="0"/>
              <w:snapToGrid w:val="0"/>
              <w:spacing w:line="280" w:lineRule="exact"/>
              <w:jc w:val="center"/>
              <w:rPr>
                <w:rFonts w:ascii="Times New Roman" w:eastAsia="宋体"/>
                <w:sz w:val="21"/>
                <w:szCs w:val="21"/>
              </w:rPr>
            </w:pPr>
          </w:p>
        </w:tc>
        <w:tc>
          <w:tcPr>
            <w:tcW w:w="1050" w:type="pct"/>
            <w:vAlign w:val="center"/>
          </w:tcPr>
          <w:p w14:paraId="4C01E39D">
            <w:pPr>
              <w:adjustRightInd w:val="0"/>
              <w:snapToGrid w:val="0"/>
              <w:spacing w:line="280" w:lineRule="exact"/>
              <w:jc w:val="center"/>
              <w:rPr>
                <w:rFonts w:ascii="Times New Roman" w:eastAsia="宋体"/>
                <w:sz w:val="21"/>
                <w:szCs w:val="21"/>
              </w:rPr>
            </w:pPr>
            <w:r>
              <w:rPr>
                <w:rFonts w:ascii="Times New Roman" w:hAnsi="宋体" w:eastAsia="宋体"/>
                <w:sz w:val="21"/>
                <w:szCs w:val="21"/>
              </w:rPr>
              <w:t>昼间</w:t>
            </w:r>
          </w:p>
        </w:tc>
        <w:tc>
          <w:tcPr>
            <w:tcW w:w="1115" w:type="pct"/>
            <w:vAlign w:val="center"/>
          </w:tcPr>
          <w:p w14:paraId="1CAA1131">
            <w:pPr>
              <w:adjustRightInd w:val="0"/>
              <w:snapToGrid w:val="0"/>
              <w:spacing w:line="280" w:lineRule="exact"/>
              <w:jc w:val="center"/>
              <w:rPr>
                <w:rFonts w:ascii="Times New Roman" w:eastAsia="宋体"/>
                <w:sz w:val="21"/>
                <w:szCs w:val="21"/>
              </w:rPr>
            </w:pPr>
            <w:r>
              <w:rPr>
                <w:rFonts w:ascii="Times New Roman" w:hAnsi="宋体" w:eastAsia="宋体"/>
                <w:sz w:val="21"/>
                <w:szCs w:val="21"/>
              </w:rPr>
              <w:t>夜间</w:t>
            </w:r>
          </w:p>
        </w:tc>
        <w:tc>
          <w:tcPr>
            <w:tcW w:w="1170" w:type="pct"/>
            <w:vMerge w:val="continue"/>
            <w:vAlign w:val="center"/>
          </w:tcPr>
          <w:p w14:paraId="1C93323C">
            <w:pPr>
              <w:adjustRightInd w:val="0"/>
              <w:snapToGrid w:val="0"/>
              <w:spacing w:line="280" w:lineRule="exact"/>
              <w:jc w:val="center"/>
              <w:rPr>
                <w:rFonts w:ascii="Times New Roman" w:eastAsia="宋体"/>
                <w:sz w:val="21"/>
                <w:szCs w:val="21"/>
              </w:rPr>
            </w:pPr>
          </w:p>
        </w:tc>
      </w:tr>
      <w:tr w14:paraId="21A3B1F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26" w:type="pct"/>
            <w:tcBorders>
              <w:right w:val="single" w:color="auto" w:sz="4" w:space="0"/>
            </w:tcBorders>
            <w:vAlign w:val="center"/>
          </w:tcPr>
          <w:p w14:paraId="56A4E1CA">
            <w:pPr>
              <w:adjustRightInd w:val="0"/>
              <w:snapToGrid w:val="0"/>
              <w:spacing w:line="280" w:lineRule="exact"/>
              <w:jc w:val="center"/>
              <w:rPr>
                <w:rFonts w:ascii="Times New Roman" w:eastAsia="宋体"/>
                <w:sz w:val="21"/>
                <w:szCs w:val="21"/>
              </w:rPr>
            </w:pPr>
            <w:r>
              <w:rPr>
                <w:rFonts w:ascii="Times New Roman" w:hAnsi="宋体" w:eastAsia="宋体"/>
                <w:sz w:val="21"/>
                <w:szCs w:val="21"/>
              </w:rPr>
              <w:t>厂界</w:t>
            </w:r>
          </w:p>
        </w:tc>
        <w:tc>
          <w:tcPr>
            <w:tcW w:w="837" w:type="pct"/>
            <w:tcBorders>
              <w:left w:val="single" w:color="auto" w:sz="4" w:space="0"/>
            </w:tcBorders>
            <w:vAlign w:val="center"/>
          </w:tcPr>
          <w:p w14:paraId="25271616">
            <w:pPr>
              <w:adjustRightInd w:val="0"/>
              <w:snapToGrid w:val="0"/>
              <w:spacing w:line="280" w:lineRule="exact"/>
              <w:jc w:val="center"/>
              <w:rPr>
                <w:rFonts w:ascii="Times New Roman" w:hAnsi="宋体" w:eastAsia="宋体"/>
                <w:sz w:val="21"/>
                <w:szCs w:val="21"/>
              </w:rPr>
            </w:pPr>
            <w:r>
              <w:rPr>
                <w:rFonts w:hint="eastAsia" w:ascii="Times New Roman" w:hAnsi="宋体" w:eastAsia="宋体"/>
                <w:sz w:val="21"/>
                <w:szCs w:val="21"/>
              </w:rPr>
              <w:t>1类</w:t>
            </w:r>
          </w:p>
        </w:tc>
        <w:tc>
          <w:tcPr>
            <w:tcW w:w="1050" w:type="pct"/>
            <w:vAlign w:val="center"/>
          </w:tcPr>
          <w:p w14:paraId="18DAAD59">
            <w:pPr>
              <w:adjustRightInd w:val="0"/>
              <w:snapToGrid w:val="0"/>
              <w:spacing w:line="280" w:lineRule="exact"/>
              <w:jc w:val="center"/>
              <w:rPr>
                <w:rFonts w:ascii="Times New Roman" w:eastAsia="宋体"/>
                <w:sz w:val="21"/>
                <w:szCs w:val="21"/>
              </w:rPr>
            </w:pPr>
            <w:r>
              <w:rPr>
                <w:rFonts w:hint="eastAsia" w:ascii="Times New Roman" w:eastAsia="宋体"/>
                <w:sz w:val="21"/>
                <w:szCs w:val="21"/>
              </w:rPr>
              <w:t>55</w:t>
            </w:r>
          </w:p>
        </w:tc>
        <w:tc>
          <w:tcPr>
            <w:tcW w:w="1115" w:type="pct"/>
            <w:vAlign w:val="center"/>
          </w:tcPr>
          <w:p w14:paraId="42E97C48">
            <w:pPr>
              <w:adjustRightInd w:val="0"/>
              <w:snapToGrid w:val="0"/>
              <w:spacing w:line="280" w:lineRule="exact"/>
              <w:jc w:val="center"/>
              <w:rPr>
                <w:rFonts w:ascii="Times New Roman" w:eastAsia="宋体"/>
                <w:sz w:val="21"/>
                <w:szCs w:val="21"/>
              </w:rPr>
            </w:pPr>
            <w:r>
              <w:rPr>
                <w:rFonts w:hint="eastAsia" w:ascii="Times New Roman" w:eastAsia="宋体"/>
                <w:sz w:val="21"/>
                <w:szCs w:val="21"/>
              </w:rPr>
              <w:t>45</w:t>
            </w:r>
          </w:p>
        </w:tc>
        <w:tc>
          <w:tcPr>
            <w:tcW w:w="1170" w:type="pct"/>
            <w:vAlign w:val="center"/>
          </w:tcPr>
          <w:p w14:paraId="0CDBEDEA">
            <w:pPr>
              <w:adjustRightInd w:val="0"/>
              <w:snapToGrid w:val="0"/>
              <w:spacing w:line="280" w:lineRule="exact"/>
              <w:jc w:val="center"/>
              <w:rPr>
                <w:rFonts w:ascii="Times New Roman" w:eastAsia="宋体"/>
                <w:sz w:val="21"/>
                <w:szCs w:val="21"/>
              </w:rPr>
            </w:pPr>
            <w:r>
              <w:rPr>
                <w:rFonts w:ascii="Times New Roman" w:eastAsia="宋体"/>
                <w:sz w:val="21"/>
                <w:szCs w:val="21"/>
              </w:rPr>
              <w:t>GB12348-2008</w:t>
            </w:r>
          </w:p>
        </w:tc>
      </w:tr>
    </w:tbl>
    <w:p w14:paraId="31C33264">
      <w:pPr>
        <w:pStyle w:val="8"/>
        <w:pageBreakBefore w:val="0"/>
        <w:widowControl w:val="0"/>
        <w:kinsoku/>
        <w:wordWrap/>
        <w:overflowPunct/>
        <w:topLinePunct w:val="0"/>
        <w:autoSpaceDE/>
        <w:autoSpaceDN/>
        <w:bidi w:val="0"/>
        <w:adjustRightInd/>
        <w:snapToGrid/>
        <w:spacing w:line="500" w:lineRule="exact"/>
        <w:textAlignment w:val="auto"/>
      </w:pPr>
      <w:r>
        <w:rPr>
          <w:rFonts w:hint="eastAsia"/>
        </w:rPr>
        <w:t>2</w:t>
      </w:r>
      <w:r>
        <w:t>.</w:t>
      </w:r>
      <w:r>
        <w:rPr>
          <w:rFonts w:hint="eastAsia"/>
        </w:rPr>
        <w:t>4.2.4固体废物</w:t>
      </w:r>
    </w:p>
    <w:p w14:paraId="651AA30F">
      <w:pPr>
        <w:pageBreakBefore w:val="0"/>
        <w:widowControl w:val="0"/>
        <w:kinsoku/>
        <w:wordWrap/>
        <w:overflowPunct/>
        <w:topLinePunct w:val="0"/>
        <w:autoSpaceDE/>
        <w:autoSpaceDN/>
        <w:bidi w:val="0"/>
        <w:adjustRightInd/>
        <w:snapToGrid/>
        <w:spacing w:line="500" w:lineRule="exact"/>
        <w:ind w:firstLine="480" w:firstLineChars="200"/>
        <w:textAlignment w:val="auto"/>
      </w:pPr>
      <w:r>
        <w:rPr>
          <w:rFonts w:hint="eastAsia" w:ascii="Times New Roman" w:hAnsi="Times New Roman" w:cs="Times New Roman"/>
        </w:rPr>
        <w:t>项目</w:t>
      </w:r>
      <w:r>
        <w:rPr>
          <w:rFonts w:ascii="Times New Roman" w:hAnsi="Times New Roman" w:cs="Times New Roman"/>
        </w:rPr>
        <w:t>病死鸡处理执行</w:t>
      </w:r>
      <w:r>
        <w:rPr>
          <w:rFonts w:ascii="Times New Roman" w:hAnsi="Times New Roman" w:cs="Times New Roman"/>
          <w:snapToGrid w:val="0"/>
          <w:kern w:val="0"/>
        </w:rPr>
        <w:t>《畜禽养殖业污染防治技术规范》（HJ/T</w:t>
      </w:r>
      <w:r>
        <w:rPr>
          <w:rFonts w:hint="eastAsia" w:ascii="Times New Roman" w:hAnsi="Times New Roman" w:cs="Times New Roman"/>
          <w:snapToGrid w:val="0"/>
          <w:kern w:val="0"/>
        </w:rPr>
        <w:t>81</w:t>
      </w:r>
      <w:r>
        <w:rPr>
          <w:rFonts w:ascii="Times New Roman" w:hAnsi="Times New Roman" w:cs="Times New Roman"/>
          <w:snapToGrid w:val="0"/>
          <w:kern w:val="0"/>
        </w:rPr>
        <w:t>-2001）中相关要求</w:t>
      </w:r>
      <w:r>
        <w:rPr>
          <w:rFonts w:hint="eastAsia" w:ascii="Times New Roman" w:hAnsi="Times New Roman" w:cs="Times New Roman"/>
          <w:snapToGrid w:val="0"/>
          <w:kern w:val="0"/>
        </w:rPr>
        <w:t>；</w:t>
      </w:r>
      <w:r>
        <w:rPr>
          <w:rFonts w:hint="eastAsia" w:ascii="Times New Roman" w:hAnsi="Times New Roman" w:cs="Times New Roman"/>
        </w:rPr>
        <w:t>项目</w:t>
      </w:r>
      <w:r>
        <w:rPr>
          <w:rFonts w:ascii="Times New Roman" w:hAnsi="Times New Roman" w:cs="Times New Roman"/>
          <w:snapToGrid w:val="0"/>
          <w:kern w:val="0"/>
        </w:rPr>
        <w:t>一般固体废物执行</w:t>
      </w:r>
      <w:r>
        <w:rPr>
          <w:rFonts w:ascii="Times New Roman" w:hAnsi="Times New Roman" w:eastAsia="宋体" w:cs="Times New Roman"/>
          <w:kern w:val="0"/>
          <w:szCs w:val="24"/>
        </w:rPr>
        <w:t>《一般工业固体废物贮存和填埋污染控制标准》（GB18599-2020</w:t>
      </w:r>
      <w:r>
        <w:rPr>
          <w:rFonts w:hint="eastAsia" w:ascii="Times New Roman" w:hAnsi="Times New Roman" w:eastAsia="宋体" w:cs="Times New Roman"/>
          <w:kern w:val="0"/>
          <w:szCs w:val="24"/>
        </w:rPr>
        <w:t>）的相关</w:t>
      </w:r>
      <w:r>
        <w:rPr>
          <w:rFonts w:ascii="Times New Roman" w:hAnsi="Times New Roman" w:cs="Times New Roman"/>
          <w:snapToGrid w:val="0"/>
          <w:kern w:val="0"/>
        </w:rPr>
        <w:t>要求，</w:t>
      </w:r>
      <w:r>
        <w:rPr>
          <w:rFonts w:hint="eastAsia" w:ascii="Times New Roman" w:hAnsi="Times New Roman" w:cs="Times New Roman"/>
        </w:rPr>
        <w:t>项目</w:t>
      </w:r>
      <w:r>
        <w:rPr>
          <w:rFonts w:ascii="Times New Roman" w:hAnsi="Times New Roman" w:cs="Times New Roman"/>
          <w:snapToGrid w:val="0"/>
          <w:kern w:val="0"/>
        </w:rPr>
        <w:t>危险废物执行《危险废物贮存污染控制标准》（GB18597-20</w:t>
      </w:r>
      <w:r>
        <w:rPr>
          <w:rFonts w:hint="eastAsia" w:ascii="Times New Roman" w:hAnsi="Times New Roman" w:cs="Times New Roman"/>
          <w:snapToGrid w:val="0"/>
          <w:kern w:val="0"/>
        </w:rPr>
        <w:t>23</w:t>
      </w:r>
      <w:r>
        <w:rPr>
          <w:rFonts w:ascii="Times New Roman" w:hAnsi="Times New Roman" w:cs="Times New Roman"/>
          <w:snapToGrid w:val="0"/>
          <w:kern w:val="0"/>
        </w:rPr>
        <w:t>）</w:t>
      </w:r>
      <w:r>
        <w:rPr>
          <w:rFonts w:hint="eastAsia" w:ascii="Times New Roman" w:hAnsi="Times New Roman" w:eastAsia="宋体" w:cs="Times New Roman"/>
          <w:kern w:val="0"/>
          <w:szCs w:val="24"/>
        </w:rPr>
        <w:t>的相关</w:t>
      </w:r>
      <w:r>
        <w:rPr>
          <w:rFonts w:ascii="Times New Roman" w:hAnsi="Times New Roman" w:cs="Times New Roman"/>
          <w:snapToGrid w:val="0"/>
          <w:kern w:val="0"/>
        </w:rPr>
        <w:t>要求</w:t>
      </w:r>
      <w:r>
        <w:rPr>
          <w:rFonts w:hint="eastAsia"/>
        </w:rPr>
        <w:t>。</w:t>
      </w:r>
    </w:p>
    <w:p w14:paraId="1B8B0C7B">
      <w:pPr>
        <w:pageBreakBefore w:val="0"/>
        <w:widowControl w:val="0"/>
        <w:kinsoku/>
        <w:wordWrap/>
        <w:overflowPunct/>
        <w:topLinePunct w:val="0"/>
        <w:autoSpaceDE/>
        <w:autoSpaceDN/>
        <w:bidi w:val="0"/>
        <w:adjustRightInd/>
        <w:snapToGrid/>
        <w:spacing w:line="500" w:lineRule="exact"/>
        <w:ind w:firstLine="480" w:firstLineChars="200"/>
        <w:textAlignment w:val="auto"/>
        <w:rPr>
          <w:rFonts w:ascii="Times New Roman" w:hAnsi="Times New Roman" w:cs="Times New Roman"/>
        </w:rPr>
      </w:pPr>
      <w:r>
        <w:rPr>
          <w:rFonts w:hint="eastAsia" w:ascii="Times New Roman" w:hAnsi="Times New Roman" w:cs="Times New Roman"/>
        </w:rPr>
        <w:t>危险废物全过程管理执行《省生态环境厅关于印发江苏省危险废物贮存规范化管理专项整治行动方案的通知》（苏环办〔2019〕149号）、《省生态环境厅关于做好江苏省危险废物全生命周期监控系统上线运行工作的通知》（苏环办〔2020〕401号）、《江苏省固体废物全过程环境监管工作意见》（苏环办〔2024〕16号）等相关要求。</w:t>
      </w:r>
    </w:p>
    <w:p w14:paraId="4F49A9EA">
      <w:pPr>
        <w:pStyle w:val="4"/>
        <w:pageBreakBefore w:val="0"/>
        <w:widowControl w:val="0"/>
        <w:kinsoku/>
        <w:wordWrap/>
        <w:overflowPunct/>
        <w:topLinePunct w:val="0"/>
        <w:autoSpaceDE/>
        <w:autoSpaceDN/>
        <w:bidi w:val="0"/>
        <w:adjustRightInd/>
        <w:snapToGrid/>
        <w:spacing w:after="0" w:line="500" w:lineRule="exact"/>
        <w:jc w:val="both"/>
        <w:textAlignment w:val="auto"/>
      </w:pPr>
      <w:bookmarkStart w:id="26" w:name="_Toc14090"/>
      <w:r>
        <w:rPr>
          <w:rFonts w:hint="eastAsia"/>
        </w:rPr>
        <w:t>2</w:t>
      </w:r>
      <w:r>
        <w:t>.</w:t>
      </w:r>
      <w:r>
        <w:rPr>
          <w:rFonts w:hint="eastAsia"/>
        </w:rPr>
        <w:t>5</w:t>
      </w:r>
      <w:r>
        <w:t xml:space="preserve"> </w:t>
      </w:r>
      <w:r>
        <w:rPr>
          <w:rFonts w:hint="eastAsia"/>
        </w:rPr>
        <w:t>评价重点和评价工作等级</w:t>
      </w:r>
      <w:bookmarkEnd w:id="26"/>
    </w:p>
    <w:p w14:paraId="1AB045A4">
      <w:pPr>
        <w:pStyle w:val="7"/>
        <w:pageBreakBefore w:val="0"/>
        <w:widowControl w:val="0"/>
        <w:kinsoku/>
        <w:wordWrap/>
        <w:overflowPunct/>
        <w:topLinePunct w:val="0"/>
        <w:autoSpaceDE/>
        <w:autoSpaceDN/>
        <w:bidi w:val="0"/>
        <w:adjustRightInd/>
        <w:snapToGrid/>
        <w:spacing w:line="500" w:lineRule="exact"/>
        <w:textAlignment w:val="auto"/>
      </w:pPr>
      <w:r>
        <w:rPr>
          <w:rFonts w:hint="eastAsia"/>
        </w:rPr>
        <w:t>2</w:t>
      </w:r>
      <w:r>
        <w:t>.</w:t>
      </w:r>
      <w:r>
        <w:rPr>
          <w:rFonts w:hint="eastAsia"/>
        </w:rPr>
        <w:t>5.1</w:t>
      </w:r>
      <w:r>
        <w:t xml:space="preserve"> </w:t>
      </w:r>
      <w:r>
        <w:rPr>
          <w:rFonts w:hint="eastAsia"/>
        </w:rPr>
        <w:t>评价工作等级</w:t>
      </w:r>
    </w:p>
    <w:p w14:paraId="6A954339">
      <w:pPr>
        <w:pStyle w:val="8"/>
        <w:pageBreakBefore w:val="0"/>
        <w:widowControl w:val="0"/>
        <w:kinsoku/>
        <w:wordWrap/>
        <w:overflowPunct/>
        <w:topLinePunct w:val="0"/>
        <w:autoSpaceDE/>
        <w:autoSpaceDN/>
        <w:bidi w:val="0"/>
        <w:adjustRightInd/>
        <w:snapToGrid/>
        <w:spacing w:line="500" w:lineRule="exact"/>
        <w:textAlignment w:val="auto"/>
      </w:pPr>
      <w:r>
        <w:rPr>
          <w:rFonts w:hint="eastAsia"/>
        </w:rPr>
        <w:t>2</w:t>
      </w:r>
      <w:r>
        <w:t>.</w:t>
      </w:r>
      <w:r>
        <w:rPr>
          <w:rFonts w:hint="eastAsia"/>
        </w:rPr>
        <w:t>5.1</w:t>
      </w:r>
      <w:r>
        <w:t xml:space="preserve">.1 </w:t>
      </w:r>
      <w:r>
        <w:rPr>
          <w:rFonts w:hint="eastAsia"/>
        </w:rPr>
        <w:t>大气评价工作等级</w:t>
      </w:r>
    </w:p>
    <w:p w14:paraId="4E1EF600">
      <w:pPr>
        <w:pageBreakBefore w:val="0"/>
        <w:widowControl w:val="0"/>
        <w:kinsoku/>
        <w:wordWrap/>
        <w:overflowPunct/>
        <w:topLinePunct w:val="0"/>
        <w:autoSpaceDE/>
        <w:autoSpaceDN/>
        <w:bidi w:val="0"/>
        <w:adjustRightInd/>
        <w:snapToGrid/>
        <w:spacing w:line="500" w:lineRule="exact"/>
        <w:ind w:firstLine="480" w:firstLineChars="200"/>
        <w:textAlignment w:val="auto"/>
      </w:pPr>
      <w:r>
        <w:rPr>
          <w:rFonts w:hint="eastAsia"/>
        </w:rPr>
        <w:t>根据《环境影响评价技术导则 大气环境》（HJ2.2-2018）要求，大气环境评价等级根据建设项目主要污染物的最大地面浓度占标率</w:t>
      </w:r>
      <w:r>
        <w:rPr>
          <w:rFonts w:hint="eastAsia"/>
          <w:i/>
          <w:iCs/>
        </w:rPr>
        <w:t>P</w:t>
      </w:r>
      <w:r>
        <w:rPr>
          <w:rFonts w:hint="eastAsia"/>
          <w:i/>
          <w:iCs/>
          <w:vertAlign w:val="subscript"/>
        </w:rPr>
        <w:t>i</w:t>
      </w:r>
      <w:r>
        <w:rPr>
          <w:rFonts w:hint="eastAsia"/>
        </w:rPr>
        <w:t>及污染物</w:t>
      </w:r>
      <w:r>
        <w:rPr>
          <w:rFonts w:hint="eastAsia"/>
          <w:i/>
          <w:iCs/>
        </w:rPr>
        <w:t>i</w:t>
      </w:r>
      <w:r>
        <w:rPr>
          <w:rFonts w:hint="eastAsia"/>
        </w:rPr>
        <w:t>地面浓度达标准限值的10%时所对应的最远距离</w:t>
      </w:r>
      <w:r>
        <w:rPr>
          <w:rFonts w:hint="eastAsia"/>
          <w:i/>
          <w:iCs/>
        </w:rPr>
        <w:t>D</w:t>
      </w:r>
      <w:r>
        <w:rPr>
          <w:rFonts w:cstheme="minorHAnsi"/>
          <w:i/>
          <w:iCs/>
          <w:vertAlign w:val="subscript"/>
        </w:rPr>
        <w:t>10</w:t>
      </w:r>
      <w:r>
        <w:rPr>
          <w:rFonts w:hint="eastAsia" w:ascii="Times New Roman" w:hAnsi="Times New Roman" w:cs="Times New Roman"/>
          <w:i/>
          <w:iCs/>
          <w:vertAlign w:val="subscript"/>
        </w:rPr>
        <w:t>%</w:t>
      </w:r>
      <w:r>
        <w:rPr>
          <w:rFonts w:hint="eastAsia"/>
        </w:rPr>
        <w:t>等因素确定。本项目主要废气污染物为氨、硫化氢，按照污染物的最大地面浓度占标率计算公式：</w:t>
      </w:r>
    </w:p>
    <w:p w14:paraId="0B6AF056">
      <w:pPr>
        <w:jc w:val="center"/>
      </w:pPr>
      <m:oMathPara>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i</m:t>
              </m:r>
              <m:ctrlPr>
                <w:rPr>
                  <w:rFonts w:ascii="Cambria Math" w:hAnsi="Cambria Math"/>
                  <w:i/>
                </w:rPr>
              </m:ctrlPr>
            </m:sub>
          </m:sSub>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i</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0i</m:t>
                  </m:r>
                  <m:ctrlPr>
                    <w:rPr>
                      <w:rFonts w:ascii="Cambria Math" w:hAnsi="Cambria Math"/>
                      <w:i/>
                    </w:rPr>
                  </m:ctrlPr>
                </m:sub>
              </m:sSub>
              <m:ctrlPr>
                <w:rPr>
                  <w:rFonts w:ascii="Cambria Math" w:hAnsi="Cambria Math"/>
                  <w:i/>
                </w:rPr>
              </m:ctrlPr>
            </m:den>
          </m:f>
          <m:r>
            <m:rPr/>
            <w:rPr>
              <w:rFonts w:ascii="Cambria Math" w:hAnsi="Cambria Math"/>
            </w:rPr>
            <m:t>×100%</m:t>
          </m:r>
        </m:oMath>
      </m:oMathPara>
    </w:p>
    <w:p w14:paraId="580D9837">
      <w:pPr>
        <w:keepNext w:val="0"/>
        <w:keepLines w:val="0"/>
        <w:pageBreakBefore w:val="0"/>
        <w:widowControl w:val="0"/>
        <w:kinsoku/>
        <w:wordWrap/>
        <w:overflowPunct/>
        <w:topLinePunct w:val="0"/>
        <w:autoSpaceDE/>
        <w:autoSpaceDN/>
        <w:bidi w:val="0"/>
        <w:spacing w:line="460" w:lineRule="exact"/>
        <w:ind w:firstLine="480"/>
        <w:textAlignment w:val="auto"/>
      </w:pPr>
      <w:r>
        <w:rPr>
          <w:rFonts w:hint="eastAsia"/>
        </w:rPr>
        <w:t>式中：</w:t>
      </w:r>
      <w:r>
        <w:rPr>
          <w:i/>
        </w:rPr>
        <w:t>P</w:t>
      </w:r>
      <w:r>
        <w:rPr>
          <w:i/>
          <w:vertAlign w:val="subscript"/>
        </w:rPr>
        <w:t>i</w:t>
      </w:r>
      <w:r>
        <w:t>——</w:t>
      </w:r>
      <w:r>
        <w:rPr>
          <w:rFonts w:hint="eastAsia"/>
        </w:rPr>
        <w:t>第</w:t>
      </w:r>
      <w:r>
        <w:t>i</w:t>
      </w:r>
      <w:r>
        <w:rPr>
          <w:rFonts w:hint="eastAsia"/>
        </w:rPr>
        <w:t>个污染物的最大地面空气质量浓度占标率，</w:t>
      </w:r>
      <w:r>
        <w:t>%</w:t>
      </w:r>
      <w:r>
        <w:rPr>
          <w:rFonts w:hint="eastAsia"/>
        </w:rPr>
        <w:t>；</w:t>
      </w:r>
    </w:p>
    <w:p w14:paraId="6EC74158">
      <w:pPr>
        <w:keepNext w:val="0"/>
        <w:keepLines w:val="0"/>
        <w:pageBreakBefore w:val="0"/>
        <w:widowControl w:val="0"/>
        <w:kinsoku/>
        <w:wordWrap/>
        <w:overflowPunct/>
        <w:topLinePunct w:val="0"/>
        <w:autoSpaceDE/>
        <w:autoSpaceDN/>
        <w:bidi w:val="0"/>
        <w:spacing w:line="460" w:lineRule="exact"/>
        <w:ind w:firstLine="1132" w:firstLineChars="472"/>
        <w:textAlignment w:val="auto"/>
      </w:pPr>
      <w:r>
        <w:rPr>
          <w:i/>
        </w:rPr>
        <w:t>C</w:t>
      </w:r>
      <w:r>
        <w:rPr>
          <w:i/>
          <w:vertAlign w:val="subscript"/>
        </w:rPr>
        <w:t>i</w:t>
      </w:r>
      <w:r>
        <w:t>——</w:t>
      </w:r>
      <w:r>
        <w:rPr>
          <w:rFonts w:hint="eastAsia"/>
        </w:rPr>
        <w:t>采用估算模式计算出的第</w:t>
      </w:r>
      <w:r>
        <w:rPr>
          <w:i/>
          <w:iCs/>
        </w:rPr>
        <w:t>i</w:t>
      </w:r>
      <w:r>
        <w:rPr>
          <w:rFonts w:hint="eastAsia"/>
        </w:rPr>
        <w:t>个污染物的最大1</w:t>
      </w:r>
      <w:r>
        <w:t>h</w:t>
      </w:r>
      <w:r>
        <w:rPr>
          <w:rFonts w:hint="eastAsia"/>
        </w:rPr>
        <w:t>地面空气质量浓度，</w:t>
      </w:r>
      <w:r>
        <w:rPr>
          <w:rFonts w:cstheme="minorHAnsi"/>
        </w:rPr>
        <w:t>μ</w:t>
      </w:r>
      <w:r>
        <w:t>g/m</w:t>
      </w:r>
      <w:r>
        <w:rPr>
          <w:vertAlign w:val="superscript"/>
        </w:rPr>
        <w:t>3</w:t>
      </w:r>
      <w:r>
        <w:rPr>
          <w:rFonts w:hint="eastAsia"/>
        </w:rPr>
        <w:t>；</w:t>
      </w:r>
    </w:p>
    <w:p w14:paraId="332F7564">
      <w:pPr>
        <w:keepNext w:val="0"/>
        <w:keepLines w:val="0"/>
        <w:pageBreakBefore w:val="0"/>
        <w:widowControl w:val="0"/>
        <w:kinsoku/>
        <w:wordWrap/>
        <w:overflowPunct/>
        <w:topLinePunct w:val="0"/>
        <w:autoSpaceDE/>
        <w:autoSpaceDN/>
        <w:bidi w:val="0"/>
        <w:spacing w:line="460" w:lineRule="exact"/>
        <w:ind w:firstLine="1132" w:firstLineChars="472"/>
        <w:textAlignment w:val="auto"/>
      </w:pPr>
      <w:r>
        <w:rPr>
          <w:i/>
        </w:rPr>
        <w:t>C</w:t>
      </w:r>
      <w:r>
        <w:rPr>
          <w:i/>
          <w:vertAlign w:val="subscript"/>
        </w:rPr>
        <w:t>oi</w:t>
      </w:r>
      <w:r>
        <w:t>——</w:t>
      </w:r>
      <w:r>
        <w:rPr>
          <w:rFonts w:hint="eastAsia"/>
        </w:rPr>
        <w:t>第</w:t>
      </w:r>
      <w:r>
        <w:rPr>
          <w:rFonts w:hint="eastAsia"/>
          <w:i/>
          <w:iCs/>
        </w:rPr>
        <w:t>i</w:t>
      </w:r>
      <w:r>
        <w:rPr>
          <w:rFonts w:hint="eastAsia"/>
        </w:rPr>
        <w:t>个污染物的环境空气质量浓度标准，</w:t>
      </w:r>
      <w:r>
        <w:rPr>
          <w:rFonts w:cstheme="minorHAnsi"/>
        </w:rPr>
        <w:t>μ</w:t>
      </w:r>
      <w:r>
        <w:t>g/m</w:t>
      </w:r>
      <w:r>
        <w:rPr>
          <w:vertAlign w:val="superscript"/>
        </w:rPr>
        <w:t>3</w:t>
      </w:r>
      <w:r>
        <w:rPr>
          <w:rFonts w:hint="eastAsia"/>
        </w:rPr>
        <w:t>。</w:t>
      </w:r>
    </w:p>
    <w:p w14:paraId="25D5CFC4">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ascii="Times New Roman"/>
          <w:szCs w:val="24"/>
        </w:rPr>
      </w:pPr>
      <w:r>
        <w:rPr>
          <w:rFonts w:ascii="Times New Roman" w:hAnsi="宋体"/>
          <w:szCs w:val="24"/>
        </w:rPr>
        <w:t>大气评价工作等级判定表如表</w:t>
      </w:r>
      <w:r>
        <w:rPr>
          <w:rFonts w:ascii="Times New Roman"/>
          <w:szCs w:val="24"/>
        </w:rPr>
        <w:t>2.5-1</w:t>
      </w:r>
      <w:r>
        <w:rPr>
          <w:rFonts w:ascii="Times New Roman" w:hAnsi="宋体"/>
          <w:szCs w:val="24"/>
        </w:rPr>
        <w:t>所示。</w:t>
      </w:r>
    </w:p>
    <w:p w14:paraId="025F7149">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ascii="Times New Roman"/>
          <w:b/>
          <w:bCs/>
          <w:szCs w:val="24"/>
        </w:rPr>
      </w:pPr>
      <w:bookmarkStart w:id="27" w:name="_Ref413918772"/>
      <w:r>
        <w:rPr>
          <w:rFonts w:ascii="Times New Roman" w:hAnsi="宋体"/>
          <w:b/>
          <w:bCs/>
          <w:szCs w:val="24"/>
        </w:rPr>
        <w:t>表</w:t>
      </w:r>
      <w:bookmarkEnd w:id="27"/>
      <w:r>
        <w:rPr>
          <w:rFonts w:ascii="Times New Roman"/>
          <w:b/>
          <w:bCs/>
          <w:szCs w:val="24"/>
        </w:rPr>
        <w:t xml:space="preserve">2.5-1  </w:t>
      </w:r>
      <w:r>
        <w:rPr>
          <w:rFonts w:ascii="Times New Roman" w:hAnsi="宋体"/>
          <w:b/>
          <w:bCs/>
          <w:szCs w:val="24"/>
        </w:rPr>
        <w:t>大气评价工作等级判别表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766"/>
        <w:gridCol w:w="6362"/>
      </w:tblGrid>
      <w:tr w14:paraId="62B33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15" w:type="pct"/>
            <w:vAlign w:val="center"/>
          </w:tcPr>
          <w:p w14:paraId="0B26BFBF">
            <w:pPr>
              <w:adjustRightInd w:val="0"/>
              <w:snapToGrid w:val="0"/>
              <w:spacing w:line="28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评价工作等级</w:t>
            </w:r>
          </w:p>
        </w:tc>
        <w:tc>
          <w:tcPr>
            <w:tcW w:w="3484" w:type="pct"/>
            <w:vAlign w:val="center"/>
          </w:tcPr>
          <w:p w14:paraId="3CA9F940">
            <w:pPr>
              <w:adjustRightInd w:val="0"/>
              <w:snapToGrid w:val="0"/>
              <w:spacing w:line="28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评价工作分级判据</w:t>
            </w:r>
          </w:p>
        </w:tc>
      </w:tr>
      <w:tr w14:paraId="04405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15" w:type="pct"/>
            <w:vAlign w:val="center"/>
          </w:tcPr>
          <w:p w14:paraId="36CDFB0A">
            <w:pPr>
              <w:pStyle w:val="89"/>
              <w:adjustRightInd w:val="0"/>
              <w:snapToGrid w:val="0"/>
              <w:spacing w:line="280" w:lineRule="exact"/>
              <w:rPr>
                <w:rFonts w:ascii="Times New Roman" w:hAnsi="Times New Roman" w:eastAsia="宋体" w:cs="Times New Roman"/>
                <w:sz w:val="21"/>
                <w:szCs w:val="21"/>
              </w:rPr>
            </w:pPr>
            <w:r>
              <w:rPr>
                <w:rFonts w:ascii="Times New Roman" w:hAnsi="Times New Roman" w:eastAsia="宋体" w:cs="Times New Roman"/>
                <w:sz w:val="21"/>
                <w:szCs w:val="21"/>
              </w:rPr>
              <w:t>一级</w:t>
            </w:r>
          </w:p>
        </w:tc>
        <w:tc>
          <w:tcPr>
            <w:tcW w:w="3484" w:type="pct"/>
            <w:vAlign w:val="center"/>
          </w:tcPr>
          <w:p w14:paraId="472FB345">
            <w:pPr>
              <w:pStyle w:val="89"/>
              <w:adjustRightInd w:val="0"/>
              <w:snapToGrid w:val="0"/>
              <w:spacing w:line="280" w:lineRule="exact"/>
              <w:rPr>
                <w:rFonts w:ascii="Times New Roman" w:hAnsi="Times New Roman" w:eastAsia="宋体" w:cs="Times New Roman"/>
                <w:sz w:val="21"/>
                <w:szCs w:val="21"/>
              </w:rPr>
            </w:pPr>
            <w:r>
              <w:rPr>
                <w:rFonts w:ascii="Times New Roman" w:hAnsi="Times New Roman" w:eastAsia="宋体" w:cs="Times New Roman"/>
                <w:sz w:val="21"/>
                <w:szCs w:val="21"/>
              </w:rPr>
              <w:t>P</w:t>
            </w:r>
            <w:r>
              <w:rPr>
                <w:rFonts w:ascii="Times New Roman" w:hAnsi="Times New Roman" w:eastAsia="宋体" w:cs="Times New Roman"/>
                <w:sz w:val="21"/>
                <w:szCs w:val="21"/>
                <w:vertAlign w:val="subscript"/>
              </w:rPr>
              <w:t>max</w:t>
            </w:r>
            <w:r>
              <w:rPr>
                <w:rFonts w:ascii="Times New Roman" w:hAnsi="Times New Roman" w:eastAsia="宋体" w:cs="Times New Roman"/>
                <w:sz w:val="21"/>
                <w:szCs w:val="21"/>
              </w:rPr>
              <w:t>≥10%</w:t>
            </w:r>
          </w:p>
        </w:tc>
      </w:tr>
      <w:tr w14:paraId="3A490C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15" w:type="pct"/>
            <w:vAlign w:val="center"/>
          </w:tcPr>
          <w:p w14:paraId="10527BA0">
            <w:pPr>
              <w:adjustRightInd w:val="0"/>
              <w:snapToGrid w:val="0"/>
              <w:spacing w:line="28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二级</w:t>
            </w:r>
          </w:p>
        </w:tc>
        <w:tc>
          <w:tcPr>
            <w:tcW w:w="3484" w:type="pct"/>
            <w:vAlign w:val="center"/>
          </w:tcPr>
          <w:p w14:paraId="28B20CDE">
            <w:pPr>
              <w:adjustRightInd w:val="0"/>
              <w:snapToGrid w:val="0"/>
              <w:spacing w:line="28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1%≤Pmax＜10%</w:t>
            </w:r>
          </w:p>
        </w:tc>
      </w:tr>
      <w:tr w14:paraId="67BA1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515" w:type="pct"/>
            <w:vAlign w:val="center"/>
          </w:tcPr>
          <w:p w14:paraId="69BB67A6">
            <w:pPr>
              <w:adjustRightInd w:val="0"/>
              <w:snapToGrid w:val="0"/>
              <w:spacing w:line="28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三级</w:t>
            </w:r>
          </w:p>
        </w:tc>
        <w:tc>
          <w:tcPr>
            <w:tcW w:w="3484" w:type="pct"/>
            <w:vAlign w:val="center"/>
          </w:tcPr>
          <w:p w14:paraId="24A43656">
            <w:pPr>
              <w:adjustRightInd w:val="0"/>
              <w:snapToGrid w:val="0"/>
              <w:spacing w:line="28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P</w:t>
            </w:r>
            <w:r>
              <w:rPr>
                <w:rFonts w:ascii="Times New Roman" w:hAnsi="Times New Roman" w:eastAsia="宋体" w:cs="Times New Roman"/>
                <w:sz w:val="21"/>
                <w:szCs w:val="21"/>
                <w:vertAlign w:val="subscript"/>
              </w:rPr>
              <w:t>max</w:t>
            </w:r>
            <w:r>
              <w:rPr>
                <w:rFonts w:ascii="Times New Roman" w:hAnsi="Times New Roman" w:eastAsia="宋体" w:cs="Times New Roman"/>
                <w:bCs/>
                <w:sz w:val="21"/>
                <w:szCs w:val="21"/>
              </w:rPr>
              <w:t>＜</w:t>
            </w:r>
            <w:r>
              <w:rPr>
                <w:rFonts w:ascii="Times New Roman" w:hAnsi="Times New Roman" w:eastAsia="宋体" w:cs="Times New Roman"/>
                <w:sz w:val="21"/>
                <w:szCs w:val="21"/>
              </w:rPr>
              <w:t>1%</w:t>
            </w:r>
          </w:p>
        </w:tc>
      </w:tr>
    </w:tbl>
    <w:p w14:paraId="5541BD4A">
      <w:pPr>
        <w:spacing w:line="440" w:lineRule="exact"/>
        <w:ind w:firstLine="480"/>
        <w:rPr>
          <w:rFonts w:ascii="Times New Roman" w:hAnsi="Times New Roman" w:eastAsia="宋体" w:cs="Times New Roman"/>
        </w:rPr>
      </w:pPr>
      <w:r>
        <w:rPr>
          <w:rFonts w:ascii="Times New Roman" w:hAnsi="Times New Roman" w:eastAsia="宋体" w:cs="Times New Roman"/>
        </w:rPr>
        <w:t>根据本项目工程分析结果，选择大气污染物正常排放的主要污染物及相应的排放参数，采</w:t>
      </w:r>
      <w:r>
        <w:rPr>
          <w:rFonts w:ascii="Times New Roman" w:hAnsi="Times New Roman" w:eastAsia="宋体" w:cs="Times New Roman"/>
          <w:szCs w:val="24"/>
        </w:rPr>
        <w:t>用</w:t>
      </w:r>
      <w:r>
        <w:rPr>
          <w:rFonts w:ascii="Times New Roman"/>
          <w:szCs w:val="24"/>
        </w:rPr>
        <w:t>AerScreen</w:t>
      </w:r>
      <w:r>
        <w:rPr>
          <w:rFonts w:ascii="Times New Roman" w:hAnsi="Times New Roman" w:eastAsia="宋体" w:cs="Times New Roman"/>
        </w:rPr>
        <w:t>估算模式计算各污染源、各污染物的最大影响程度和最远影响范围。估算结果如表2.5-2。</w:t>
      </w:r>
    </w:p>
    <w:p w14:paraId="34700A5C">
      <w:pPr>
        <w:pStyle w:val="31"/>
        <w:spacing w:before="0" w:line="440" w:lineRule="exact"/>
        <w:rPr>
          <w:rFonts w:ascii="Times New Roman" w:hAnsi="Times New Roman" w:cs="Times New Roman"/>
        </w:rPr>
      </w:pPr>
      <w:r>
        <w:rPr>
          <w:rFonts w:ascii="Times New Roman" w:hAnsi="Times New Roman" w:eastAsia="宋体" w:cs="Times New Roman"/>
        </w:rPr>
        <w:t>表2.5-</w:t>
      </w:r>
      <w:r>
        <w:rPr>
          <w:rFonts w:hint="eastAsia" w:ascii="Times New Roman" w:hAnsi="Times New Roman" w:eastAsia="宋体" w:cs="Times New Roman"/>
        </w:rPr>
        <w:t>2</w:t>
      </w:r>
      <w:r>
        <w:rPr>
          <w:rFonts w:ascii="Times New Roman" w:hAnsi="Times New Roman" w:eastAsia="宋体" w:cs="Times New Roman"/>
        </w:rPr>
        <w:t xml:space="preserve"> 项目大气评价工作等级估算</w:t>
      </w:r>
      <w:r>
        <w:rPr>
          <w:rFonts w:hint="eastAsia" w:ascii="Times New Roman" w:hAnsi="Times New Roman" w:eastAsia="宋体" w:cs="Times New Roman"/>
        </w:rPr>
        <w:t>表</w:t>
      </w:r>
    </w:p>
    <w:tbl>
      <w:tblPr>
        <w:tblStyle w:val="4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2141"/>
        <w:gridCol w:w="2011"/>
        <w:gridCol w:w="925"/>
        <w:gridCol w:w="1281"/>
        <w:gridCol w:w="843"/>
        <w:gridCol w:w="843"/>
      </w:tblGrid>
      <w:tr w14:paraId="5A991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restart"/>
            <w:vAlign w:val="center"/>
          </w:tcPr>
          <w:p w14:paraId="4E1CE00E">
            <w:pPr>
              <w:pStyle w:val="61"/>
              <w:spacing w:line="3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污染源</w:t>
            </w:r>
          </w:p>
        </w:tc>
        <w:tc>
          <w:tcPr>
            <w:tcW w:w="1153" w:type="pct"/>
            <w:vMerge w:val="restart"/>
            <w:vAlign w:val="center"/>
          </w:tcPr>
          <w:p w14:paraId="5124C21A">
            <w:pPr>
              <w:pStyle w:val="61"/>
              <w:spacing w:line="3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污染物名称</w:t>
            </w:r>
          </w:p>
        </w:tc>
        <w:tc>
          <w:tcPr>
            <w:tcW w:w="2271" w:type="pct"/>
            <w:gridSpan w:val="3"/>
            <w:vAlign w:val="center"/>
          </w:tcPr>
          <w:p w14:paraId="278CBD12">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Pmax</w:t>
            </w:r>
          </w:p>
        </w:tc>
        <w:tc>
          <w:tcPr>
            <w:tcW w:w="454" w:type="pct"/>
            <w:vMerge w:val="restart"/>
            <w:vAlign w:val="center"/>
          </w:tcPr>
          <w:p w14:paraId="2A46FAA8">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（m）</w:t>
            </w:r>
          </w:p>
        </w:tc>
        <w:tc>
          <w:tcPr>
            <w:tcW w:w="454" w:type="pct"/>
            <w:vMerge w:val="restart"/>
            <w:vAlign w:val="center"/>
          </w:tcPr>
          <w:p w14:paraId="0BFE376C">
            <w:pPr>
              <w:pStyle w:val="61"/>
              <w:spacing w:line="300" w:lineRule="exact"/>
              <w:rPr>
                <w:color w:val="000000" w:themeColor="text1"/>
                <w14:textFill>
                  <w14:solidFill>
                    <w14:schemeClr w14:val="tx1"/>
                  </w14:solidFill>
                </w14:textFill>
              </w:rPr>
            </w:pPr>
            <w:r>
              <w:rPr>
                <w:rFonts w:hAnsi="宋体"/>
                <w:color w:val="000000" w:themeColor="text1"/>
                <w:szCs w:val="21"/>
                <w14:textFill>
                  <w14:solidFill>
                    <w14:schemeClr w14:val="tx1"/>
                  </w14:solidFill>
                </w14:textFill>
              </w:rPr>
              <w:t>评价等级判断</w:t>
            </w:r>
          </w:p>
        </w:tc>
      </w:tr>
      <w:tr w14:paraId="0FEEB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continue"/>
            <w:vAlign w:val="center"/>
          </w:tcPr>
          <w:p w14:paraId="39768CFF">
            <w:pPr>
              <w:pStyle w:val="61"/>
              <w:spacing w:line="300" w:lineRule="exact"/>
              <w:rPr>
                <w:color w:val="000000" w:themeColor="text1"/>
                <w:lang w:val="zh-CN"/>
                <w14:textFill>
                  <w14:solidFill>
                    <w14:schemeClr w14:val="tx1"/>
                  </w14:solidFill>
                </w14:textFill>
              </w:rPr>
            </w:pPr>
          </w:p>
        </w:tc>
        <w:tc>
          <w:tcPr>
            <w:tcW w:w="1153" w:type="pct"/>
            <w:vMerge w:val="continue"/>
            <w:vAlign w:val="center"/>
          </w:tcPr>
          <w:p w14:paraId="3F5400D7">
            <w:pPr>
              <w:pStyle w:val="61"/>
              <w:spacing w:line="300" w:lineRule="exact"/>
              <w:rPr>
                <w:color w:val="000000" w:themeColor="text1"/>
                <w:lang w:val="zh-CN"/>
                <w14:textFill>
                  <w14:solidFill>
                    <w14:schemeClr w14:val="tx1"/>
                  </w14:solidFill>
                </w14:textFill>
              </w:rPr>
            </w:pPr>
          </w:p>
        </w:tc>
        <w:tc>
          <w:tcPr>
            <w:tcW w:w="1083" w:type="pct"/>
            <w:tcMar>
              <w:left w:w="0" w:type="dxa"/>
              <w:right w:w="0" w:type="dxa"/>
            </w:tcMar>
            <w:vAlign w:val="center"/>
          </w:tcPr>
          <w:p w14:paraId="4F28CF53">
            <w:pPr>
              <w:pStyle w:val="61"/>
              <w:spacing w:line="300" w:lineRule="exact"/>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下风向最大质量浓度</w:t>
            </w:r>
            <w:r>
              <w:rPr>
                <w:rFonts w:hint="eastAsia"/>
                <w:color w:val="000000" w:themeColor="text1"/>
                <w:lang w:val="zh-CN"/>
                <w14:textFill>
                  <w14:solidFill>
                    <w14:schemeClr w14:val="tx1"/>
                  </w14:solidFill>
                </w14:textFill>
              </w:rPr>
              <w:t>/（</w:t>
            </w:r>
            <w:r>
              <w:rPr>
                <w:color w:val="000000" w:themeColor="text1"/>
                <w:szCs w:val="21"/>
                <w14:textFill>
                  <w14:solidFill>
                    <w14:schemeClr w14:val="tx1"/>
                  </w14:solidFill>
                </w14:textFill>
              </w:rPr>
              <w:t>μg /m</w:t>
            </w:r>
            <w:r>
              <w:rPr>
                <w:color w:val="000000" w:themeColor="text1"/>
                <w:szCs w:val="21"/>
                <w:vertAlign w:val="superscript"/>
                <w14:textFill>
                  <w14:solidFill>
                    <w14:schemeClr w14:val="tx1"/>
                  </w14:solidFill>
                </w14:textFill>
              </w:rPr>
              <w:t>3</w:t>
            </w:r>
            <w:r>
              <w:rPr>
                <w:rFonts w:hint="eastAsia"/>
                <w:color w:val="000000" w:themeColor="text1"/>
                <w:lang w:val="zh-CN"/>
                <w14:textFill>
                  <w14:solidFill>
                    <w14:schemeClr w14:val="tx1"/>
                  </w14:solidFill>
                </w14:textFill>
              </w:rPr>
              <w:t>）</w:t>
            </w:r>
          </w:p>
        </w:tc>
        <w:tc>
          <w:tcPr>
            <w:tcW w:w="498" w:type="pct"/>
            <w:vAlign w:val="center"/>
          </w:tcPr>
          <w:p w14:paraId="21C711BC">
            <w:pPr>
              <w:pStyle w:val="61"/>
              <w:spacing w:line="3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占标率/%</w:t>
            </w:r>
          </w:p>
        </w:tc>
        <w:tc>
          <w:tcPr>
            <w:tcW w:w="690" w:type="pct"/>
            <w:tcMar>
              <w:left w:w="0" w:type="dxa"/>
              <w:right w:w="0" w:type="dxa"/>
            </w:tcMar>
            <w:vAlign w:val="center"/>
          </w:tcPr>
          <w:p w14:paraId="2BDAAA48">
            <w:pPr>
              <w:pStyle w:val="61"/>
              <w:spacing w:line="300" w:lineRule="exact"/>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下风向距离/m</w:t>
            </w:r>
          </w:p>
        </w:tc>
        <w:tc>
          <w:tcPr>
            <w:tcW w:w="454" w:type="pct"/>
            <w:vMerge w:val="continue"/>
            <w:vAlign w:val="center"/>
          </w:tcPr>
          <w:p w14:paraId="76C4FEF7">
            <w:pPr>
              <w:pStyle w:val="61"/>
              <w:spacing w:line="300" w:lineRule="exact"/>
              <w:rPr>
                <w:color w:val="000000" w:themeColor="text1"/>
                <w14:textFill>
                  <w14:solidFill>
                    <w14:schemeClr w14:val="tx1"/>
                  </w14:solidFill>
                </w14:textFill>
              </w:rPr>
            </w:pPr>
          </w:p>
        </w:tc>
        <w:tc>
          <w:tcPr>
            <w:tcW w:w="454" w:type="pct"/>
            <w:vMerge w:val="continue"/>
            <w:vAlign w:val="center"/>
          </w:tcPr>
          <w:p w14:paraId="43572104">
            <w:pPr>
              <w:pStyle w:val="61"/>
              <w:spacing w:line="300" w:lineRule="exact"/>
              <w:rPr>
                <w:color w:val="000000" w:themeColor="text1"/>
                <w14:textFill>
                  <w14:solidFill>
                    <w14:schemeClr w14:val="tx1"/>
                  </w14:solidFill>
                </w14:textFill>
              </w:rPr>
            </w:pPr>
          </w:p>
        </w:tc>
      </w:tr>
      <w:tr w14:paraId="52DB0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restart"/>
            <w:vAlign w:val="center"/>
          </w:tcPr>
          <w:p w14:paraId="7DBEEF54">
            <w:pPr>
              <w:pStyle w:val="61"/>
              <w:spacing w:line="300" w:lineRule="exact"/>
              <w:rPr>
                <w:color w:val="000000" w:themeColor="text1"/>
                <w:lang w:val="zh-CN"/>
                <w14:textFill>
                  <w14:solidFill>
                    <w14:schemeClr w14:val="tx1"/>
                  </w14:solidFill>
                </w14:textFill>
              </w:rPr>
            </w:pPr>
            <w:r>
              <w:rPr>
                <w:color w:val="000000" w:themeColor="text1"/>
                <w14:textFill>
                  <w14:solidFill>
                    <w14:schemeClr w14:val="tx1"/>
                  </w14:solidFill>
                </w14:textFill>
              </w:rPr>
              <w:t>DA001</w:t>
            </w:r>
            <w:r>
              <w:rPr>
                <w:rFonts w:hint="eastAsia"/>
                <w:color w:val="000000" w:themeColor="text1"/>
                <w14:textFill>
                  <w14:solidFill>
                    <w14:schemeClr w14:val="tx1"/>
                  </w14:solidFill>
                </w14:textFill>
              </w:rPr>
              <w:t>排气筒</w:t>
            </w:r>
          </w:p>
        </w:tc>
        <w:tc>
          <w:tcPr>
            <w:tcW w:w="1153" w:type="pct"/>
            <w:vAlign w:val="center"/>
          </w:tcPr>
          <w:p w14:paraId="26082A97">
            <w:pPr>
              <w:pStyle w:val="61"/>
              <w:spacing w:line="300" w:lineRule="exact"/>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NH</w:t>
            </w:r>
            <w:r>
              <w:rPr>
                <w:rFonts w:hint="eastAsia"/>
                <w:color w:val="000000" w:themeColor="text1"/>
                <w:vertAlign w:val="subscript"/>
                <w14:textFill>
                  <w14:solidFill>
                    <w14:schemeClr w14:val="tx1"/>
                  </w14:solidFill>
                </w14:textFill>
              </w:rPr>
              <w:t>3</w:t>
            </w:r>
          </w:p>
        </w:tc>
        <w:tc>
          <w:tcPr>
            <w:tcW w:w="1083" w:type="pct"/>
            <w:shd w:val="clear" w:color="auto" w:fill="auto"/>
            <w:vAlign w:val="center"/>
          </w:tcPr>
          <w:p w14:paraId="6D283269">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0.255</w:t>
            </w:r>
          </w:p>
        </w:tc>
        <w:tc>
          <w:tcPr>
            <w:tcW w:w="498" w:type="pct"/>
            <w:shd w:val="clear" w:color="auto" w:fill="auto"/>
            <w:vAlign w:val="center"/>
          </w:tcPr>
          <w:p w14:paraId="49D6B87A">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0.13</w:t>
            </w:r>
          </w:p>
        </w:tc>
        <w:tc>
          <w:tcPr>
            <w:tcW w:w="690" w:type="pct"/>
            <w:vMerge w:val="restart"/>
            <w:shd w:val="clear" w:color="auto" w:fill="auto"/>
            <w:vAlign w:val="center"/>
          </w:tcPr>
          <w:p w14:paraId="781C1453">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211</w:t>
            </w:r>
          </w:p>
        </w:tc>
        <w:tc>
          <w:tcPr>
            <w:tcW w:w="454" w:type="pct"/>
            <w:shd w:val="clear" w:color="auto" w:fill="auto"/>
            <w:vAlign w:val="center"/>
          </w:tcPr>
          <w:p w14:paraId="697F2945">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54" w:type="pct"/>
            <w:shd w:val="clear" w:color="auto" w:fill="auto"/>
            <w:vAlign w:val="center"/>
          </w:tcPr>
          <w:p w14:paraId="0BE9DC93">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三级</w:t>
            </w:r>
          </w:p>
        </w:tc>
      </w:tr>
      <w:tr w14:paraId="4F5E93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continue"/>
            <w:vAlign w:val="center"/>
          </w:tcPr>
          <w:p w14:paraId="3633AF47">
            <w:pPr>
              <w:pStyle w:val="61"/>
              <w:spacing w:line="300" w:lineRule="exact"/>
              <w:rPr>
                <w:color w:val="000000" w:themeColor="text1"/>
                <w:lang w:val="zh-CN"/>
                <w14:textFill>
                  <w14:solidFill>
                    <w14:schemeClr w14:val="tx1"/>
                  </w14:solidFill>
                </w14:textFill>
              </w:rPr>
            </w:pPr>
          </w:p>
        </w:tc>
        <w:tc>
          <w:tcPr>
            <w:tcW w:w="1153" w:type="pct"/>
            <w:vAlign w:val="center"/>
          </w:tcPr>
          <w:p w14:paraId="16E6CFE3">
            <w:pPr>
              <w:pStyle w:val="61"/>
              <w:spacing w:line="300" w:lineRule="exact"/>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p>
        </w:tc>
        <w:tc>
          <w:tcPr>
            <w:tcW w:w="1083" w:type="pct"/>
            <w:vAlign w:val="center"/>
          </w:tcPr>
          <w:p w14:paraId="746D707C">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0.0247</w:t>
            </w:r>
          </w:p>
        </w:tc>
        <w:tc>
          <w:tcPr>
            <w:tcW w:w="498" w:type="pct"/>
            <w:vAlign w:val="center"/>
          </w:tcPr>
          <w:p w14:paraId="0919C5DC">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0.25</w:t>
            </w:r>
          </w:p>
        </w:tc>
        <w:tc>
          <w:tcPr>
            <w:tcW w:w="690" w:type="pct"/>
            <w:vMerge w:val="continue"/>
            <w:vAlign w:val="center"/>
          </w:tcPr>
          <w:p w14:paraId="56271712">
            <w:pPr>
              <w:pStyle w:val="61"/>
              <w:spacing w:line="300" w:lineRule="exact"/>
              <w:rPr>
                <w:color w:val="000000" w:themeColor="text1"/>
                <w14:textFill>
                  <w14:solidFill>
                    <w14:schemeClr w14:val="tx1"/>
                  </w14:solidFill>
                </w14:textFill>
              </w:rPr>
            </w:pPr>
          </w:p>
        </w:tc>
        <w:tc>
          <w:tcPr>
            <w:tcW w:w="454" w:type="pct"/>
            <w:vAlign w:val="center"/>
          </w:tcPr>
          <w:p w14:paraId="41A6B7C3">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54" w:type="pct"/>
            <w:vAlign w:val="center"/>
          </w:tcPr>
          <w:p w14:paraId="369BC901">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三级</w:t>
            </w:r>
          </w:p>
        </w:tc>
      </w:tr>
      <w:tr w14:paraId="0BB013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restart"/>
            <w:vAlign w:val="center"/>
          </w:tcPr>
          <w:p w14:paraId="2B4E71EC">
            <w:pPr>
              <w:pStyle w:val="61"/>
              <w:spacing w:line="300" w:lineRule="exact"/>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鸡舍区</w:t>
            </w:r>
          </w:p>
        </w:tc>
        <w:tc>
          <w:tcPr>
            <w:tcW w:w="1153" w:type="pct"/>
            <w:vAlign w:val="center"/>
          </w:tcPr>
          <w:p w14:paraId="3D571645">
            <w:pPr>
              <w:pStyle w:val="61"/>
              <w:spacing w:line="300" w:lineRule="exact"/>
              <w:rPr>
                <w:color w:val="000000" w:themeColor="text1"/>
                <w:lang w:val="zh-CN"/>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1083" w:type="pct"/>
            <w:vAlign w:val="center"/>
          </w:tcPr>
          <w:p w14:paraId="2473A48D">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2.78</w:t>
            </w:r>
          </w:p>
        </w:tc>
        <w:tc>
          <w:tcPr>
            <w:tcW w:w="498" w:type="pct"/>
            <w:vAlign w:val="center"/>
          </w:tcPr>
          <w:p w14:paraId="2F8F88FE">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1.39</w:t>
            </w:r>
          </w:p>
        </w:tc>
        <w:tc>
          <w:tcPr>
            <w:tcW w:w="690" w:type="pct"/>
            <w:vMerge w:val="restart"/>
            <w:vAlign w:val="center"/>
          </w:tcPr>
          <w:p w14:paraId="5615680D">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209</w:t>
            </w:r>
          </w:p>
        </w:tc>
        <w:tc>
          <w:tcPr>
            <w:tcW w:w="454" w:type="pct"/>
            <w:vAlign w:val="center"/>
          </w:tcPr>
          <w:p w14:paraId="2F4E613E">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54" w:type="pct"/>
            <w:vAlign w:val="center"/>
          </w:tcPr>
          <w:p w14:paraId="0790B71F">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r>
      <w:tr w14:paraId="713FB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continue"/>
            <w:tcMar>
              <w:left w:w="0" w:type="dxa"/>
              <w:right w:w="0" w:type="dxa"/>
            </w:tcMar>
            <w:vAlign w:val="center"/>
          </w:tcPr>
          <w:p w14:paraId="32DA39C2">
            <w:pPr>
              <w:pStyle w:val="61"/>
              <w:spacing w:line="300" w:lineRule="exact"/>
              <w:rPr>
                <w:color w:val="000000" w:themeColor="text1"/>
                <w:lang w:val="zh-CN"/>
                <w14:textFill>
                  <w14:solidFill>
                    <w14:schemeClr w14:val="tx1"/>
                  </w14:solidFill>
                </w14:textFill>
              </w:rPr>
            </w:pPr>
          </w:p>
        </w:tc>
        <w:tc>
          <w:tcPr>
            <w:tcW w:w="1153" w:type="pct"/>
            <w:vAlign w:val="center"/>
          </w:tcPr>
          <w:p w14:paraId="6A6BC81A">
            <w:pPr>
              <w:pStyle w:val="61"/>
              <w:spacing w:line="300" w:lineRule="exact"/>
              <w:rPr>
                <w:color w:val="000000" w:themeColor="text1"/>
                <w:lang w:val="zh-CN"/>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1083" w:type="pct"/>
            <w:vAlign w:val="center"/>
          </w:tcPr>
          <w:p w14:paraId="512F004F">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0.278</w:t>
            </w:r>
          </w:p>
        </w:tc>
        <w:tc>
          <w:tcPr>
            <w:tcW w:w="498" w:type="pct"/>
            <w:vAlign w:val="center"/>
          </w:tcPr>
          <w:p w14:paraId="4A3E588A">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2.78</w:t>
            </w:r>
          </w:p>
        </w:tc>
        <w:tc>
          <w:tcPr>
            <w:tcW w:w="690" w:type="pct"/>
            <w:vMerge w:val="continue"/>
            <w:vAlign w:val="center"/>
          </w:tcPr>
          <w:p w14:paraId="03E7EF6E">
            <w:pPr>
              <w:pStyle w:val="61"/>
              <w:spacing w:line="300" w:lineRule="exact"/>
              <w:rPr>
                <w:color w:val="000000" w:themeColor="text1"/>
                <w14:textFill>
                  <w14:solidFill>
                    <w14:schemeClr w14:val="tx1"/>
                  </w14:solidFill>
                </w14:textFill>
              </w:rPr>
            </w:pPr>
          </w:p>
        </w:tc>
        <w:tc>
          <w:tcPr>
            <w:tcW w:w="454" w:type="pct"/>
            <w:vAlign w:val="center"/>
          </w:tcPr>
          <w:p w14:paraId="590E546F">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54" w:type="pct"/>
            <w:vAlign w:val="center"/>
          </w:tcPr>
          <w:p w14:paraId="47673C4F">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r>
      <w:tr w14:paraId="23FB1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restart"/>
            <w:tcMar>
              <w:left w:w="0" w:type="dxa"/>
              <w:right w:w="0" w:type="dxa"/>
            </w:tcMar>
            <w:vAlign w:val="center"/>
          </w:tcPr>
          <w:p w14:paraId="33E23707">
            <w:pPr>
              <w:pStyle w:val="61"/>
              <w:spacing w:line="300" w:lineRule="exact"/>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鸡粪暂存库</w:t>
            </w:r>
          </w:p>
        </w:tc>
        <w:tc>
          <w:tcPr>
            <w:tcW w:w="1153" w:type="pct"/>
            <w:vAlign w:val="center"/>
          </w:tcPr>
          <w:p w14:paraId="63E05686">
            <w:pPr>
              <w:pStyle w:val="61"/>
              <w:spacing w:line="300" w:lineRule="exact"/>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1083" w:type="pct"/>
            <w:vAlign w:val="center"/>
          </w:tcPr>
          <w:p w14:paraId="469745FA">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1.19</w:t>
            </w:r>
          </w:p>
        </w:tc>
        <w:tc>
          <w:tcPr>
            <w:tcW w:w="498" w:type="pct"/>
            <w:vAlign w:val="center"/>
          </w:tcPr>
          <w:p w14:paraId="409FF89D">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0.59</w:t>
            </w:r>
          </w:p>
        </w:tc>
        <w:tc>
          <w:tcPr>
            <w:tcW w:w="690" w:type="pct"/>
            <w:vMerge w:val="restart"/>
            <w:vAlign w:val="center"/>
          </w:tcPr>
          <w:p w14:paraId="44BBE512">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21</w:t>
            </w:r>
          </w:p>
        </w:tc>
        <w:tc>
          <w:tcPr>
            <w:tcW w:w="454" w:type="pct"/>
            <w:vAlign w:val="center"/>
          </w:tcPr>
          <w:p w14:paraId="4646C5C7">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54" w:type="pct"/>
            <w:vAlign w:val="center"/>
          </w:tcPr>
          <w:p w14:paraId="7A389CEB">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三级</w:t>
            </w:r>
          </w:p>
        </w:tc>
      </w:tr>
      <w:tr w14:paraId="41591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continue"/>
            <w:tcMar>
              <w:left w:w="0" w:type="dxa"/>
              <w:right w:w="0" w:type="dxa"/>
            </w:tcMar>
            <w:vAlign w:val="center"/>
          </w:tcPr>
          <w:p w14:paraId="356C9C93">
            <w:pPr>
              <w:pStyle w:val="61"/>
              <w:spacing w:line="300" w:lineRule="exact"/>
              <w:rPr>
                <w:color w:val="000000" w:themeColor="text1"/>
                <w:lang w:val="zh-CN"/>
                <w14:textFill>
                  <w14:solidFill>
                    <w14:schemeClr w14:val="tx1"/>
                  </w14:solidFill>
                </w14:textFill>
              </w:rPr>
            </w:pPr>
          </w:p>
        </w:tc>
        <w:tc>
          <w:tcPr>
            <w:tcW w:w="1153" w:type="pct"/>
            <w:vAlign w:val="center"/>
          </w:tcPr>
          <w:p w14:paraId="5732A715">
            <w:pPr>
              <w:pStyle w:val="61"/>
              <w:spacing w:line="300" w:lineRule="exact"/>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1083" w:type="pct"/>
            <w:vAlign w:val="center"/>
          </w:tcPr>
          <w:p w14:paraId="56D56C29">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0.119</w:t>
            </w:r>
          </w:p>
        </w:tc>
        <w:tc>
          <w:tcPr>
            <w:tcW w:w="498" w:type="pct"/>
            <w:vAlign w:val="center"/>
          </w:tcPr>
          <w:p w14:paraId="6586C750">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1.19</w:t>
            </w:r>
          </w:p>
        </w:tc>
        <w:tc>
          <w:tcPr>
            <w:tcW w:w="690" w:type="pct"/>
            <w:vMerge w:val="continue"/>
            <w:vAlign w:val="center"/>
          </w:tcPr>
          <w:p w14:paraId="70611798">
            <w:pPr>
              <w:pStyle w:val="61"/>
              <w:spacing w:line="300" w:lineRule="exact"/>
              <w:rPr>
                <w:color w:val="000000" w:themeColor="text1"/>
                <w14:textFill>
                  <w14:solidFill>
                    <w14:schemeClr w14:val="tx1"/>
                  </w14:solidFill>
                </w14:textFill>
              </w:rPr>
            </w:pPr>
          </w:p>
        </w:tc>
        <w:tc>
          <w:tcPr>
            <w:tcW w:w="454" w:type="pct"/>
            <w:vAlign w:val="center"/>
          </w:tcPr>
          <w:p w14:paraId="66F7EDFF">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54" w:type="pct"/>
            <w:vAlign w:val="center"/>
          </w:tcPr>
          <w:p w14:paraId="539A3632">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r>
      <w:tr w14:paraId="4B950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restart"/>
            <w:tcMar>
              <w:left w:w="0" w:type="dxa"/>
              <w:right w:w="0" w:type="dxa"/>
            </w:tcMar>
            <w:vAlign w:val="center"/>
          </w:tcPr>
          <w:p w14:paraId="70CC75B2">
            <w:pPr>
              <w:pStyle w:val="61"/>
              <w:spacing w:line="300" w:lineRule="exact"/>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污水处理站</w:t>
            </w:r>
          </w:p>
        </w:tc>
        <w:tc>
          <w:tcPr>
            <w:tcW w:w="1153" w:type="pct"/>
            <w:vAlign w:val="center"/>
          </w:tcPr>
          <w:p w14:paraId="56073950">
            <w:pPr>
              <w:pStyle w:val="61"/>
              <w:spacing w:line="300" w:lineRule="exact"/>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1083" w:type="pct"/>
            <w:vAlign w:val="center"/>
          </w:tcPr>
          <w:p w14:paraId="4A4F0036">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0.073</w:t>
            </w:r>
          </w:p>
        </w:tc>
        <w:tc>
          <w:tcPr>
            <w:tcW w:w="498" w:type="pct"/>
            <w:vAlign w:val="center"/>
          </w:tcPr>
          <w:p w14:paraId="35A81A9B">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0.04</w:t>
            </w:r>
          </w:p>
        </w:tc>
        <w:tc>
          <w:tcPr>
            <w:tcW w:w="690" w:type="pct"/>
            <w:vMerge w:val="restart"/>
            <w:vAlign w:val="center"/>
          </w:tcPr>
          <w:p w14:paraId="27A8A58B">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31</w:t>
            </w:r>
          </w:p>
        </w:tc>
        <w:tc>
          <w:tcPr>
            <w:tcW w:w="454" w:type="pct"/>
            <w:vAlign w:val="center"/>
          </w:tcPr>
          <w:p w14:paraId="433302C3">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54" w:type="pct"/>
            <w:vAlign w:val="center"/>
          </w:tcPr>
          <w:p w14:paraId="1A3A45B6">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三级</w:t>
            </w:r>
          </w:p>
        </w:tc>
      </w:tr>
      <w:tr w14:paraId="43B0F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continue"/>
            <w:tcMar>
              <w:left w:w="0" w:type="dxa"/>
              <w:right w:w="0" w:type="dxa"/>
            </w:tcMar>
            <w:vAlign w:val="center"/>
          </w:tcPr>
          <w:p w14:paraId="1CCAE6F4">
            <w:pPr>
              <w:pStyle w:val="61"/>
              <w:spacing w:line="300" w:lineRule="exact"/>
              <w:rPr>
                <w:color w:val="000000" w:themeColor="text1"/>
                <w:lang w:val="zh-CN"/>
                <w14:textFill>
                  <w14:solidFill>
                    <w14:schemeClr w14:val="tx1"/>
                  </w14:solidFill>
                </w14:textFill>
              </w:rPr>
            </w:pPr>
          </w:p>
        </w:tc>
        <w:tc>
          <w:tcPr>
            <w:tcW w:w="1153" w:type="pct"/>
            <w:vAlign w:val="center"/>
          </w:tcPr>
          <w:p w14:paraId="003B8A22">
            <w:pPr>
              <w:pStyle w:val="61"/>
              <w:spacing w:line="300" w:lineRule="exact"/>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1083" w:type="pct"/>
            <w:vAlign w:val="center"/>
          </w:tcPr>
          <w:p w14:paraId="544C9851">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0.00365</w:t>
            </w:r>
          </w:p>
        </w:tc>
        <w:tc>
          <w:tcPr>
            <w:tcW w:w="498" w:type="pct"/>
            <w:vAlign w:val="center"/>
          </w:tcPr>
          <w:p w14:paraId="4EC4EF23">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0.04</w:t>
            </w:r>
          </w:p>
        </w:tc>
        <w:tc>
          <w:tcPr>
            <w:tcW w:w="690" w:type="pct"/>
            <w:vMerge w:val="continue"/>
            <w:vAlign w:val="center"/>
          </w:tcPr>
          <w:p w14:paraId="40BD74B6">
            <w:pPr>
              <w:pStyle w:val="61"/>
              <w:spacing w:line="300" w:lineRule="exact"/>
              <w:rPr>
                <w:color w:val="000000" w:themeColor="text1"/>
                <w14:textFill>
                  <w14:solidFill>
                    <w14:schemeClr w14:val="tx1"/>
                  </w14:solidFill>
                </w14:textFill>
              </w:rPr>
            </w:pPr>
          </w:p>
        </w:tc>
        <w:tc>
          <w:tcPr>
            <w:tcW w:w="454" w:type="pct"/>
            <w:vAlign w:val="center"/>
          </w:tcPr>
          <w:p w14:paraId="14F091E1">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54" w:type="pct"/>
            <w:vAlign w:val="center"/>
          </w:tcPr>
          <w:p w14:paraId="17E4588E">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三级</w:t>
            </w:r>
          </w:p>
        </w:tc>
      </w:tr>
    </w:tbl>
    <w:p w14:paraId="170D07AC">
      <w:pPr>
        <w:adjustRightInd w:val="0"/>
        <w:snapToGrid w:val="0"/>
        <w:spacing w:line="360" w:lineRule="exact"/>
        <w:ind w:firstLine="420" w:firstLineChars="200"/>
        <w:rPr>
          <w:rFonts w:ascii="Times New Roman"/>
          <w:sz w:val="21"/>
          <w:szCs w:val="21"/>
        </w:rPr>
      </w:pPr>
      <w:r>
        <w:rPr>
          <w:rFonts w:ascii="Times New Roman" w:hAnsi="宋体"/>
          <w:sz w:val="21"/>
          <w:szCs w:val="21"/>
        </w:rPr>
        <w:t>注：</w:t>
      </w:r>
      <w:r>
        <w:rPr>
          <w:rFonts w:ascii="Times New Roman"/>
          <w:sz w:val="21"/>
          <w:szCs w:val="21"/>
        </w:rPr>
        <w:t>*D</w:t>
      </w:r>
      <w:r>
        <w:rPr>
          <w:rFonts w:ascii="Times New Roman"/>
          <w:sz w:val="21"/>
          <w:szCs w:val="21"/>
          <w:vertAlign w:val="subscript"/>
        </w:rPr>
        <w:t>10%</w:t>
      </w:r>
      <w:r>
        <w:rPr>
          <w:rFonts w:ascii="Times New Roman" w:hAnsi="宋体"/>
          <w:sz w:val="21"/>
          <w:szCs w:val="21"/>
        </w:rPr>
        <w:t>为污染物的地面浓度达标准限值</w:t>
      </w:r>
      <w:r>
        <w:rPr>
          <w:rFonts w:ascii="Times New Roman"/>
          <w:sz w:val="21"/>
          <w:szCs w:val="21"/>
        </w:rPr>
        <w:t>10%</w:t>
      </w:r>
      <w:r>
        <w:rPr>
          <w:rFonts w:ascii="Times New Roman" w:hAnsi="宋体"/>
          <w:sz w:val="21"/>
          <w:szCs w:val="21"/>
        </w:rPr>
        <w:t>时所对应的最远距离。</w:t>
      </w:r>
    </w:p>
    <w:p w14:paraId="497822D0">
      <w:pPr>
        <w:pageBreakBefore w:val="0"/>
        <w:widowControl w:val="0"/>
        <w:kinsoku/>
        <w:wordWrap/>
        <w:overflowPunct/>
        <w:topLinePunct w:val="0"/>
        <w:autoSpaceDE/>
        <w:autoSpaceDN/>
        <w:bidi w:val="0"/>
        <w:adjustRightInd/>
        <w:snapToGrid/>
        <w:spacing w:line="440" w:lineRule="exact"/>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经估算模式预测，本项目各污染源最大地面浓度占标率P</w:t>
      </w:r>
      <w:r>
        <w:rPr>
          <w:rFonts w:hint="eastAsia"/>
          <w:color w:val="000000" w:themeColor="text1"/>
          <w:vertAlign w:val="subscript"/>
          <w14:textFill>
            <w14:solidFill>
              <w14:schemeClr w14:val="tx1"/>
            </w14:solidFill>
          </w14:textFill>
        </w:rPr>
        <w:t>max</w:t>
      </w:r>
      <w:r>
        <w:rPr>
          <w:rFonts w:hint="eastAsia"/>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2.78</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鸡舍区无组织</w:t>
      </w:r>
      <w:r>
        <w:rPr>
          <w:rFonts w:hint="eastAsia"/>
          <w:color w:val="000000" w:themeColor="text1"/>
          <w14:textFill>
            <w14:solidFill>
              <w14:schemeClr w14:val="tx1"/>
            </w14:solidFill>
          </w14:textFill>
        </w:rPr>
        <w:t>排放的</w:t>
      </w:r>
      <w:r>
        <w:rPr>
          <w:rFonts w:hint="eastAsia"/>
          <w:color w:val="000000" w:themeColor="text1"/>
          <w:lang w:val="en-US" w:eastAsia="zh-CN"/>
          <w14:textFill>
            <w14:solidFill>
              <w14:schemeClr w14:val="tx1"/>
            </w14:solidFill>
          </w14:textFill>
        </w:rPr>
        <w:t>H</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S</w:t>
      </w:r>
      <w:r>
        <w:rPr>
          <w:rFonts w:hint="eastAsia"/>
          <w:color w:val="000000" w:themeColor="text1"/>
          <w14:textFill>
            <w14:solidFill>
              <w14:schemeClr w14:val="tx1"/>
            </w14:solidFill>
          </w14:textFill>
        </w:rPr>
        <w:t>），P</w:t>
      </w:r>
      <w:r>
        <w:rPr>
          <w:rFonts w:hint="eastAsia"/>
          <w:color w:val="000000" w:themeColor="text1"/>
          <w:vertAlign w:val="subscript"/>
          <w14:textFill>
            <w14:solidFill>
              <w14:schemeClr w14:val="tx1"/>
            </w14:solidFill>
          </w14:textFill>
        </w:rPr>
        <w:t>max</w:t>
      </w:r>
      <w:r>
        <w:rPr>
          <w:rFonts w:hint="eastAsia"/>
          <w:color w:val="000000" w:themeColor="text1"/>
          <w14:textFill>
            <w14:solidFill>
              <w14:schemeClr w14:val="tx1"/>
            </w14:solidFill>
          </w14:textFill>
        </w:rPr>
        <w:t>大于1%，小于10%，根据《环境影响评价技术导则 大气环境》（HJ 2.2-2018）判定，本项目大气环境影响评价工作级别为二级。根评价范围以厂址为中心区域，边长为5km的矩形区域。</w:t>
      </w:r>
    </w:p>
    <w:p w14:paraId="2D63C895">
      <w:pPr>
        <w:pStyle w:val="8"/>
        <w:pageBreakBefore w:val="0"/>
        <w:widowControl w:val="0"/>
        <w:kinsoku/>
        <w:wordWrap/>
        <w:overflowPunct/>
        <w:topLinePunct w:val="0"/>
        <w:autoSpaceDE/>
        <w:autoSpaceDN/>
        <w:bidi w:val="0"/>
        <w:adjustRightInd/>
        <w:snapToGrid/>
        <w:spacing w:line="440" w:lineRule="exact"/>
        <w:textAlignment w:val="auto"/>
      </w:pPr>
      <w:r>
        <w:rPr>
          <w:rFonts w:hint="eastAsia"/>
        </w:rPr>
        <w:t>2</w:t>
      </w:r>
      <w:r>
        <w:t>.</w:t>
      </w:r>
      <w:r>
        <w:rPr>
          <w:rFonts w:hint="eastAsia"/>
        </w:rPr>
        <w:t>5.1</w:t>
      </w:r>
      <w:r>
        <w:t xml:space="preserve">.2 </w:t>
      </w:r>
      <w:r>
        <w:rPr>
          <w:rFonts w:hint="eastAsia"/>
        </w:rPr>
        <w:t>地表水评价工作等级</w:t>
      </w:r>
    </w:p>
    <w:p w14:paraId="612040E8">
      <w:pPr>
        <w:pageBreakBefore w:val="0"/>
        <w:widowControl w:val="0"/>
        <w:kinsoku/>
        <w:wordWrap/>
        <w:overflowPunct/>
        <w:topLinePunct w:val="0"/>
        <w:autoSpaceDE/>
        <w:autoSpaceDN/>
        <w:bidi w:val="0"/>
        <w:adjustRightInd/>
        <w:snapToGrid/>
        <w:spacing w:line="440" w:lineRule="exact"/>
        <w:ind w:firstLine="480" w:firstLineChars="200"/>
        <w:textAlignment w:val="auto"/>
      </w:pPr>
      <w:r>
        <w:rPr>
          <w:rFonts w:hint="eastAsia"/>
        </w:rPr>
        <w:t>本项目采用雨污分流制，项目投产后生产废水和生活污水收集后进厂区污水处理系统，经处理后暂存于尾水池，</w:t>
      </w:r>
      <w:r>
        <w:rPr>
          <w:rFonts w:hint="eastAsia"/>
          <w:lang w:val="en-US" w:eastAsia="zh-CN"/>
        </w:rPr>
        <w:t>采用管道输送</w:t>
      </w:r>
      <w:r>
        <w:rPr>
          <w:rFonts w:hint="eastAsia"/>
        </w:rPr>
        <w:t>用于农田灌溉，故项目无废水排放。</w:t>
      </w:r>
    </w:p>
    <w:p w14:paraId="55D65CE9">
      <w:pPr>
        <w:pageBreakBefore w:val="0"/>
        <w:widowControl w:val="0"/>
        <w:kinsoku/>
        <w:wordWrap/>
        <w:overflowPunct/>
        <w:topLinePunct w:val="0"/>
        <w:autoSpaceDE/>
        <w:autoSpaceDN/>
        <w:bidi w:val="0"/>
        <w:adjustRightInd/>
        <w:snapToGrid/>
        <w:spacing w:line="440" w:lineRule="exact"/>
        <w:ind w:firstLine="480" w:firstLineChars="200"/>
        <w:textAlignment w:val="auto"/>
      </w:pPr>
      <w:r>
        <w:rPr>
          <w:rFonts w:hint="eastAsia"/>
        </w:rPr>
        <w:t>根据《环境影响评价技术导则 地表水环境》（HJ2.3-2018）中的要求，建设项目地表水环境影响评价等级按照影响类型、排放方式、排放量或影响情况、受纳水体环境质量现状、水环境保护目标等综合确定。</w:t>
      </w:r>
    </w:p>
    <w:p w14:paraId="60D60AFF">
      <w:pPr>
        <w:pStyle w:val="31"/>
        <w:pageBreakBefore w:val="0"/>
        <w:widowControl w:val="0"/>
        <w:kinsoku/>
        <w:wordWrap/>
        <w:overflowPunct/>
        <w:topLinePunct w:val="0"/>
        <w:autoSpaceDE/>
        <w:autoSpaceDN/>
        <w:bidi w:val="0"/>
        <w:adjustRightInd/>
        <w:snapToGrid/>
        <w:spacing w:before="0" w:line="440" w:lineRule="exact"/>
        <w:textAlignment w:val="auto"/>
      </w:pPr>
      <w:r>
        <w:rPr>
          <w:rFonts w:hint="eastAsia"/>
        </w:rPr>
        <w:t>表</w:t>
      </w:r>
      <w:r>
        <w:t>2.</w:t>
      </w:r>
      <w:r>
        <w:rPr>
          <w:rFonts w:hint="eastAsia"/>
        </w:rPr>
        <w:t>5</w:t>
      </w:r>
      <w:r>
        <w:t>-</w:t>
      </w:r>
      <w:r>
        <w:rPr>
          <w:rFonts w:hint="eastAsia"/>
        </w:rPr>
        <w:t xml:space="preserve">3 </w:t>
      </w:r>
      <w:r>
        <w:t xml:space="preserve"> </w:t>
      </w:r>
      <w:r>
        <w:rPr>
          <w:rFonts w:hint="eastAsia"/>
        </w:rPr>
        <w:t>水污染影响型建设项目评价等级判定</w:t>
      </w:r>
    </w:p>
    <w:tbl>
      <w:tblPr>
        <w:tblStyle w:val="4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1593"/>
        <w:gridCol w:w="5966"/>
      </w:tblGrid>
      <w:tr w14:paraId="64756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0" w:type="pct"/>
            <w:vMerge w:val="restart"/>
            <w:vAlign w:val="center"/>
          </w:tcPr>
          <w:p w14:paraId="02CAEF0C">
            <w:pPr>
              <w:pStyle w:val="61"/>
            </w:pPr>
            <w:r>
              <w:rPr>
                <w:rFonts w:hint="eastAsia"/>
              </w:rPr>
              <w:t>评价等级</w:t>
            </w:r>
          </w:p>
        </w:tc>
        <w:tc>
          <w:tcPr>
            <w:tcW w:w="4069" w:type="pct"/>
            <w:gridSpan w:val="2"/>
            <w:vAlign w:val="center"/>
          </w:tcPr>
          <w:p w14:paraId="6061CCEC">
            <w:pPr>
              <w:pStyle w:val="61"/>
            </w:pPr>
            <w:r>
              <w:rPr>
                <w:rFonts w:hint="eastAsia"/>
              </w:rPr>
              <w:t>判定依据</w:t>
            </w:r>
          </w:p>
        </w:tc>
      </w:tr>
      <w:tr w14:paraId="16E39D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0" w:type="pct"/>
            <w:vMerge w:val="continue"/>
            <w:vAlign w:val="center"/>
          </w:tcPr>
          <w:p w14:paraId="2715F2F7">
            <w:pPr>
              <w:pStyle w:val="61"/>
            </w:pPr>
          </w:p>
        </w:tc>
        <w:tc>
          <w:tcPr>
            <w:tcW w:w="858" w:type="pct"/>
            <w:vAlign w:val="center"/>
          </w:tcPr>
          <w:p w14:paraId="78D15349">
            <w:pPr>
              <w:pStyle w:val="61"/>
            </w:pPr>
            <w:r>
              <w:rPr>
                <w:rFonts w:hint="eastAsia"/>
              </w:rPr>
              <w:t>排放方式</w:t>
            </w:r>
          </w:p>
        </w:tc>
        <w:tc>
          <w:tcPr>
            <w:tcW w:w="3210" w:type="pct"/>
            <w:vAlign w:val="center"/>
          </w:tcPr>
          <w:p w14:paraId="100A5AC2">
            <w:pPr>
              <w:pStyle w:val="61"/>
            </w:pPr>
            <w:r>
              <w:rPr>
                <w:rFonts w:hint="eastAsia"/>
              </w:rPr>
              <w:t>废水排放量</w:t>
            </w:r>
            <w:r>
              <w:rPr>
                <w:i/>
                <w:iCs/>
              </w:rPr>
              <w:t>Q</w:t>
            </w:r>
            <w:r>
              <w:t>/</w:t>
            </w:r>
            <w:r>
              <w:rPr>
                <w:rFonts w:hint="eastAsia"/>
              </w:rPr>
              <w:t>（</w:t>
            </w:r>
            <w:r>
              <w:t>m</w:t>
            </w:r>
            <w:r>
              <w:rPr>
                <w:vertAlign w:val="superscript"/>
              </w:rPr>
              <w:t>3</w:t>
            </w:r>
            <w:r>
              <w:t>/d</w:t>
            </w:r>
            <w:r>
              <w:rPr>
                <w:rFonts w:hint="eastAsia"/>
              </w:rPr>
              <w:t>）；水污染物单量数</w:t>
            </w:r>
            <w:r>
              <w:rPr>
                <w:i/>
                <w:iCs/>
              </w:rPr>
              <w:t>W</w:t>
            </w:r>
            <w:r>
              <w:t>/</w:t>
            </w:r>
            <w:r>
              <w:rPr>
                <w:rFonts w:hint="eastAsia"/>
              </w:rPr>
              <w:t>（无量纲）</w:t>
            </w:r>
          </w:p>
        </w:tc>
      </w:tr>
      <w:tr w14:paraId="4E6DCF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0" w:type="pct"/>
            <w:vAlign w:val="center"/>
          </w:tcPr>
          <w:p w14:paraId="551E0803">
            <w:pPr>
              <w:pStyle w:val="61"/>
            </w:pPr>
            <w:r>
              <w:rPr>
                <w:rFonts w:hint="eastAsia"/>
              </w:rPr>
              <w:t>一级</w:t>
            </w:r>
          </w:p>
        </w:tc>
        <w:tc>
          <w:tcPr>
            <w:tcW w:w="858" w:type="pct"/>
            <w:vAlign w:val="center"/>
          </w:tcPr>
          <w:p w14:paraId="29283F52">
            <w:pPr>
              <w:pStyle w:val="61"/>
            </w:pPr>
            <w:r>
              <w:rPr>
                <w:rFonts w:hint="eastAsia"/>
              </w:rPr>
              <w:t>直接排放</w:t>
            </w:r>
          </w:p>
        </w:tc>
        <w:tc>
          <w:tcPr>
            <w:tcW w:w="3210" w:type="pct"/>
            <w:vAlign w:val="center"/>
          </w:tcPr>
          <w:p w14:paraId="7FCA1882">
            <w:pPr>
              <w:pStyle w:val="61"/>
            </w:pPr>
            <w:r>
              <w:rPr>
                <w:i/>
                <w:iCs/>
              </w:rPr>
              <w:t>Q</w:t>
            </w:r>
            <w:r>
              <w:t>≥20000</w:t>
            </w:r>
            <w:r>
              <w:rPr>
                <w:rFonts w:hint="eastAsia"/>
              </w:rPr>
              <w:t>或</w:t>
            </w:r>
            <w:r>
              <w:rPr>
                <w:i/>
                <w:iCs/>
              </w:rPr>
              <w:t>W</w:t>
            </w:r>
            <w:r>
              <w:t>≥600000</w:t>
            </w:r>
          </w:p>
        </w:tc>
      </w:tr>
      <w:tr w14:paraId="1B4632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0" w:type="pct"/>
            <w:vAlign w:val="center"/>
          </w:tcPr>
          <w:p w14:paraId="49B5EE25">
            <w:pPr>
              <w:pStyle w:val="61"/>
            </w:pPr>
            <w:r>
              <w:rPr>
                <w:rFonts w:hint="eastAsia"/>
              </w:rPr>
              <w:t>二级</w:t>
            </w:r>
          </w:p>
        </w:tc>
        <w:tc>
          <w:tcPr>
            <w:tcW w:w="858" w:type="pct"/>
            <w:vAlign w:val="center"/>
          </w:tcPr>
          <w:p w14:paraId="7A784E0C">
            <w:pPr>
              <w:pStyle w:val="61"/>
            </w:pPr>
            <w:r>
              <w:rPr>
                <w:rFonts w:hint="eastAsia"/>
              </w:rPr>
              <w:t>直接排放</w:t>
            </w:r>
          </w:p>
        </w:tc>
        <w:tc>
          <w:tcPr>
            <w:tcW w:w="3210" w:type="pct"/>
            <w:vAlign w:val="center"/>
          </w:tcPr>
          <w:p w14:paraId="6E516472">
            <w:pPr>
              <w:pStyle w:val="61"/>
            </w:pPr>
            <w:r>
              <w:rPr>
                <w:rFonts w:hint="eastAsia"/>
              </w:rPr>
              <w:t>其他</w:t>
            </w:r>
          </w:p>
        </w:tc>
      </w:tr>
      <w:tr w14:paraId="50014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0" w:type="pct"/>
            <w:vAlign w:val="center"/>
          </w:tcPr>
          <w:p w14:paraId="03C0CCE9">
            <w:pPr>
              <w:pStyle w:val="61"/>
            </w:pPr>
            <w:r>
              <w:rPr>
                <w:rFonts w:hint="eastAsia"/>
              </w:rPr>
              <w:t>三级</w:t>
            </w:r>
            <w:r>
              <w:t>A</w:t>
            </w:r>
          </w:p>
        </w:tc>
        <w:tc>
          <w:tcPr>
            <w:tcW w:w="858" w:type="pct"/>
            <w:vAlign w:val="center"/>
          </w:tcPr>
          <w:p w14:paraId="4B2CEDE3">
            <w:pPr>
              <w:pStyle w:val="61"/>
            </w:pPr>
            <w:r>
              <w:rPr>
                <w:rFonts w:hint="eastAsia"/>
              </w:rPr>
              <w:t>直接排放</w:t>
            </w:r>
          </w:p>
        </w:tc>
        <w:tc>
          <w:tcPr>
            <w:tcW w:w="3210" w:type="pct"/>
            <w:vAlign w:val="center"/>
          </w:tcPr>
          <w:p w14:paraId="0662C7B6">
            <w:pPr>
              <w:pStyle w:val="61"/>
            </w:pPr>
            <w:r>
              <w:rPr>
                <w:i/>
                <w:iCs/>
              </w:rPr>
              <w:t>Q</w:t>
            </w:r>
            <w:r>
              <w:rPr>
                <w:rFonts w:hint="eastAsia"/>
              </w:rPr>
              <w:t>＜</w:t>
            </w:r>
            <w:r>
              <w:t>200</w:t>
            </w:r>
            <w:r>
              <w:rPr>
                <w:rFonts w:hint="eastAsia"/>
              </w:rPr>
              <w:t>且</w:t>
            </w:r>
            <w:r>
              <w:rPr>
                <w:i/>
                <w:iCs/>
              </w:rPr>
              <w:t>W</w:t>
            </w:r>
            <w:r>
              <w:rPr>
                <w:rFonts w:hint="eastAsia"/>
              </w:rPr>
              <w:t>＜</w:t>
            </w:r>
            <w:r>
              <w:t>6000</w:t>
            </w:r>
          </w:p>
        </w:tc>
      </w:tr>
      <w:tr w14:paraId="08E776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0" w:type="pct"/>
            <w:shd w:val="pct20" w:color="auto" w:fill="auto"/>
            <w:vAlign w:val="center"/>
          </w:tcPr>
          <w:p w14:paraId="16DBE8BD">
            <w:pPr>
              <w:pStyle w:val="61"/>
            </w:pPr>
            <w:r>
              <w:rPr>
                <w:rFonts w:hint="eastAsia"/>
              </w:rPr>
              <w:t>三级</w:t>
            </w:r>
            <w:r>
              <w:t>B</w:t>
            </w:r>
          </w:p>
        </w:tc>
        <w:tc>
          <w:tcPr>
            <w:tcW w:w="858" w:type="pct"/>
            <w:shd w:val="pct20" w:color="auto" w:fill="auto"/>
            <w:vAlign w:val="center"/>
          </w:tcPr>
          <w:p w14:paraId="28C89C85">
            <w:pPr>
              <w:pStyle w:val="61"/>
            </w:pPr>
            <w:r>
              <w:rPr>
                <w:rFonts w:hint="eastAsia"/>
              </w:rPr>
              <w:t>间接排放</w:t>
            </w:r>
          </w:p>
        </w:tc>
        <w:tc>
          <w:tcPr>
            <w:tcW w:w="3210" w:type="pct"/>
            <w:shd w:val="pct20" w:color="auto" w:fill="auto"/>
            <w:vAlign w:val="center"/>
          </w:tcPr>
          <w:p w14:paraId="30D306F9">
            <w:pPr>
              <w:pStyle w:val="61"/>
            </w:pPr>
            <w:r>
              <w:t>—</w:t>
            </w:r>
          </w:p>
        </w:tc>
      </w:tr>
      <w:tr w14:paraId="6AD94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14181B9B">
            <w:pPr>
              <w:pStyle w:val="61"/>
              <w:jc w:val="both"/>
              <w:rPr>
                <w:sz w:val="21"/>
                <w:szCs w:val="21"/>
              </w:rPr>
            </w:pPr>
            <w:r>
              <w:rPr>
                <w:rFonts w:hint="eastAsia"/>
                <w:sz w:val="21"/>
                <w:szCs w:val="21"/>
              </w:rPr>
              <w:t>注</w:t>
            </w:r>
            <w:r>
              <w:rPr>
                <w:sz w:val="21"/>
                <w:szCs w:val="21"/>
              </w:rPr>
              <w:t>1</w:t>
            </w:r>
            <w:r>
              <w:rPr>
                <w:rFonts w:hint="eastAsia"/>
                <w:sz w:val="21"/>
                <w:szCs w:val="21"/>
              </w:rPr>
              <w:t>：水污染物当量数等于该污染物的年排放量除以该污染物的污染当量值，计算排放污染物的污染当量数，应区分第一类污染物和其他类水污染物，统计第一类污染物当量数总和，然后与其他类污染物当量数从大到小排序，取得大当量数作为建设项目评价等级确定的依据。</w:t>
            </w:r>
          </w:p>
          <w:p w14:paraId="4E2BE9FD">
            <w:pPr>
              <w:pStyle w:val="61"/>
              <w:jc w:val="both"/>
              <w:rPr>
                <w:sz w:val="21"/>
                <w:szCs w:val="21"/>
              </w:rPr>
            </w:pPr>
            <w:r>
              <w:rPr>
                <w:rFonts w:hint="eastAsia"/>
                <w:sz w:val="21"/>
                <w:szCs w:val="21"/>
              </w:rPr>
              <w:t>注</w:t>
            </w:r>
            <w:r>
              <w:rPr>
                <w:sz w:val="21"/>
                <w:szCs w:val="21"/>
              </w:rPr>
              <w:t>2</w:t>
            </w:r>
            <w:r>
              <w:rPr>
                <w:rFonts w:hint="eastAsia"/>
                <w:sz w:val="21"/>
                <w:szCs w:val="21"/>
              </w:rPr>
              <w:t>：废水排放量按行业排放标准中规定的废水种类统计，没有相关行业排放标准要求的通过工程分析合理确定，应统计含热量大的冷却水的排放量，可不统计间接冷却水、循环水一级其他含污染物极少的清净下水的排放量。</w:t>
            </w:r>
          </w:p>
          <w:p w14:paraId="5102137E">
            <w:pPr>
              <w:pStyle w:val="61"/>
              <w:jc w:val="both"/>
              <w:rPr>
                <w:sz w:val="21"/>
                <w:szCs w:val="21"/>
              </w:rPr>
            </w:pPr>
            <w:r>
              <w:rPr>
                <w:rFonts w:hint="eastAsia"/>
                <w:sz w:val="21"/>
                <w:szCs w:val="21"/>
              </w:rPr>
              <w:t>注</w:t>
            </w:r>
            <w:r>
              <w:rPr>
                <w:sz w:val="21"/>
                <w:szCs w:val="21"/>
              </w:rPr>
              <w:t>3</w:t>
            </w:r>
            <w:r>
              <w:rPr>
                <w:rFonts w:hint="eastAsia"/>
                <w:sz w:val="21"/>
                <w:szCs w:val="21"/>
              </w:rPr>
              <w:t>：厂区存在堆积物（露天堆放的原料、燃料、废渣等以及垃圾堆放场）、降尘污染的，应将初期雨水纳入废水排放量，相应的主要污染物纳入水污染当量计算。</w:t>
            </w:r>
          </w:p>
          <w:p w14:paraId="141CFE32">
            <w:pPr>
              <w:pStyle w:val="61"/>
              <w:jc w:val="both"/>
              <w:rPr>
                <w:sz w:val="21"/>
                <w:szCs w:val="21"/>
              </w:rPr>
            </w:pPr>
            <w:r>
              <w:rPr>
                <w:rFonts w:hint="eastAsia"/>
                <w:sz w:val="21"/>
                <w:szCs w:val="21"/>
              </w:rPr>
              <w:t>注</w:t>
            </w:r>
            <w:r>
              <w:rPr>
                <w:sz w:val="21"/>
                <w:szCs w:val="21"/>
              </w:rPr>
              <w:t>4</w:t>
            </w:r>
            <w:r>
              <w:rPr>
                <w:rFonts w:hint="eastAsia"/>
                <w:sz w:val="21"/>
                <w:szCs w:val="21"/>
              </w:rPr>
              <w:t>：建设项目直接排放第一类污染物的，其评价等级为一级；建设项目直接排放的污染物为受纳水体超标因子的，评价等级不低于二级。</w:t>
            </w:r>
          </w:p>
          <w:p w14:paraId="41BDBC54">
            <w:pPr>
              <w:pStyle w:val="61"/>
              <w:jc w:val="both"/>
              <w:rPr>
                <w:sz w:val="21"/>
                <w:szCs w:val="21"/>
              </w:rPr>
            </w:pPr>
            <w:r>
              <w:rPr>
                <w:rFonts w:hint="eastAsia"/>
                <w:sz w:val="21"/>
                <w:szCs w:val="21"/>
              </w:rPr>
              <w:t>注</w:t>
            </w:r>
            <w:r>
              <w:rPr>
                <w:sz w:val="21"/>
                <w:szCs w:val="21"/>
              </w:rPr>
              <w:t>5</w:t>
            </w:r>
            <w:r>
              <w:rPr>
                <w:rFonts w:hint="eastAsia"/>
                <w:sz w:val="21"/>
                <w:szCs w:val="21"/>
              </w:rPr>
              <w:t>：直接排放受纳水体影响范围涉及饮用水源保护区、饮用水取水口、重点保护与珍惜水生生物的栖息地、重要水生生物的自然产卵场等保护目标时，评价等级不低于二级。</w:t>
            </w:r>
          </w:p>
          <w:p w14:paraId="2DFFA07E">
            <w:pPr>
              <w:pStyle w:val="61"/>
              <w:jc w:val="both"/>
              <w:rPr>
                <w:sz w:val="21"/>
                <w:szCs w:val="21"/>
              </w:rPr>
            </w:pPr>
            <w:r>
              <w:rPr>
                <w:rFonts w:hint="eastAsia"/>
                <w:sz w:val="21"/>
                <w:szCs w:val="21"/>
              </w:rPr>
              <w:t>注</w:t>
            </w:r>
            <w:r>
              <w:rPr>
                <w:sz w:val="21"/>
                <w:szCs w:val="21"/>
              </w:rPr>
              <w:t>6</w:t>
            </w:r>
            <w:r>
              <w:rPr>
                <w:rFonts w:hint="eastAsia"/>
                <w:sz w:val="21"/>
                <w:szCs w:val="21"/>
              </w:rPr>
              <w:t>：建设项目向河流、湖库排放温排水引起受纳水体水文变化超过水环境质量标准要求的，且评价范围有水温敏感目标时，评价等级为一级。</w:t>
            </w:r>
          </w:p>
          <w:p w14:paraId="385C6FA3">
            <w:pPr>
              <w:pStyle w:val="61"/>
              <w:jc w:val="both"/>
              <w:rPr>
                <w:sz w:val="21"/>
                <w:szCs w:val="21"/>
              </w:rPr>
            </w:pPr>
            <w:r>
              <w:rPr>
                <w:rFonts w:hint="eastAsia"/>
                <w:sz w:val="21"/>
                <w:szCs w:val="21"/>
              </w:rPr>
              <w:t>注</w:t>
            </w:r>
            <w:r>
              <w:rPr>
                <w:sz w:val="21"/>
                <w:szCs w:val="21"/>
              </w:rPr>
              <w:t>7</w:t>
            </w:r>
            <w:r>
              <w:rPr>
                <w:rFonts w:hint="eastAsia"/>
                <w:sz w:val="21"/>
                <w:szCs w:val="21"/>
              </w:rPr>
              <w:t>：建设项目利用海水作为调节温度介质，排水量≥</w:t>
            </w:r>
            <w:r>
              <w:rPr>
                <w:sz w:val="21"/>
                <w:szCs w:val="21"/>
              </w:rPr>
              <w:t>500</w:t>
            </w:r>
            <w:r>
              <w:rPr>
                <w:rFonts w:hint="eastAsia"/>
                <w:sz w:val="21"/>
                <w:szCs w:val="21"/>
              </w:rPr>
              <w:t>万</w:t>
            </w:r>
            <w:r>
              <w:rPr>
                <w:sz w:val="21"/>
                <w:szCs w:val="21"/>
              </w:rPr>
              <w:t>m</w:t>
            </w:r>
            <w:r>
              <w:rPr>
                <w:sz w:val="21"/>
                <w:szCs w:val="21"/>
                <w:vertAlign w:val="superscript"/>
              </w:rPr>
              <w:t>3</w:t>
            </w:r>
            <w:r>
              <w:rPr>
                <w:sz w:val="21"/>
                <w:szCs w:val="21"/>
              </w:rPr>
              <w:t>/d</w:t>
            </w:r>
            <w:r>
              <w:rPr>
                <w:rFonts w:hint="eastAsia"/>
                <w:sz w:val="21"/>
                <w:szCs w:val="21"/>
              </w:rPr>
              <w:t>，评价等级为一级；排水量＜</w:t>
            </w:r>
            <w:r>
              <w:rPr>
                <w:sz w:val="21"/>
                <w:szCs w:val="21"/>
              </w:rPr>
              <w:t>500</w:t>
            </w:r>
            <w:r>
              <w:rPr>
                <w:rFonts w:hint="eastAsia"/>
                <w:sz w:val="21"/>
                <w:szCs w:val="21"/>
              </w:rPr>
              <w:t>万</w:t>
            </w:r>
            <w:r>
              <w:rPr>
                <w:sz w:val="21"/>
                <w:szCs w:val="21"/>
              </w:rPr>
              <w:t>m</w:t>
            </w:r>
            <w:r>
              <w:rPr>
                <w:sz w:val="21"/>
                <w:szCs w:val="21"/>
                <w:vertAlign w:val="superscript"/>
              </w:rPr>
              <w:t>3</w:t>
            </w:r>
            <w:r>
              <w:rPr>
                <w:sz w:val="21"/>
                <w:szCs w:val="21"/>
              </w:rPr>
              <w:t>/d</w:t>
            </w:r>
            <w:r>
              <w:rPr>
                <w:rFonts w:hint="eastAsia"/>
                <w:sz w:val="21"/>
                <w:szCs w:val="21"/>
              </w:rPr>
              <w:t>，评价等级为二级。</w:t>
            </w:r>
          </w:p>
          <w:p w14:paraId="156B5265">
            <w:pPr>
              <w:pStyle w:val="61"/>
              <w:jc w:val="both"/>
              <w:rPr>
                <w:sz w:val="21"/>
                <w:szCs w:val="21"/>
              </w:rPr>
            </w:pPr>
            <w:r>
              <w:rPr>
                <w:rFonts w:hint="eastAsia"/>
                <w:sz w:val="21"/>
                <w:szCs w:val="21"/>
              </w:rPr>
              <w:t>注</w:t>
            </w:r>
            <w:r>
              <w:rPr>
                <w:sz w:val="21"/>
                <w:szCs w:val="21"/>
              </w:rPr>
              <w:t>8</w:t>
            </w:r>
            <w:r>
              <w:rPr>
                <w:rFonts w:hint="eastAsia"/>
                <w:sz w:val="21"/>
                <w:szCs w:val="21"/>
              </w:rPr>
              <w:t>：仅涉及清净下水排放的，如其排放水质满足受纳水体水环境质量标准要求的，评价等级为三级</w:t>
            </w:r>
            <w:r>
              <w:rPr>
                <w:sz w:val="21"/>
                <w:szCs w:val="21"/>
              </w:rPr>
              <w:t>A</w:t>
            </w:r>
            <w:r>
              <w:rPr>
                <w:rFonts w:hint="eastAsia"/>
                <w:sz w:val="21"/>
                <w:szCs w:val="21"/>
              </w:rPr>
              <w:t>。</w:t>
            </w:r>
          </w:p>
          <w:p w14:paraId="0B8AE450">
            <w:pPr>
              <w:pStyle w:val="61"/>
              <w:jc w:val="both"/>
              <w:rPr>
                <w:sz w:val="21"/>
                <w:szCs w:val="21"/>
              </w:rPr>
            </w:pPr>
            <w:r>
              <w:rPr>
                <w:rFonts w:hint="eastAsia"/>
                <w:sz w:val="21"/>
                <w:szCs w:val="21"/>
              </w:rPr>
              <w:t>注</w:t>
            </w:r>
            <w:r>
              <w:rPr>
                <w:sz w:val="21"/>
                <w:szCs w:val="21"/>
              </w:rPr>
              <w:t>9</w:t>
            </w:r>
            <w:r>
              <w:rPr>
                <w:rFonts w:hint="eastAsia"/>
                <w:sz w:val="21"/>
                <w:szCs w:val="21"/>
              </w:rPr>
              <w:t>：依托现有排放口，且对外环境未新增排放污染物的直接排放建设项目，评价等级参照间接排放，定位三级</w:t>
            </w:r>
            <w:r>
              <w:rPr>
                <w:sz w:val="21"/>
                <w:szCs w:val="21"/>
              </w:rPr>
              <w:t>B</w:t>
            </w:r>
            <w:r>
              <w:rPr>
                <w:rFonts w:hint="eastAsia"/>
                <w:sz w:val="21"/>
                <w:szCs w:val="21"/>
              </w:rPr>
              <w:t>。</w:t>
            </w:r>
          </w:p>
          <w:p w14:paraId="46364911">
            <w:pPr>
              <w:pStyle w:val="61"/>
              <w:jc w:val="both"/>
            </w:pPr>
            <w:r>
              <w:rPr>
                <w:rFonts w:hint="eastAsia"/>
                <w:sz w:val="21"/>
                <w:szCs w:val="21"/>
              </w:rPr>
              <w:t>注</w:t>
            </w:r>
            <w:r>
              <w:rPr>
                <w:sz w:val="21"/>
                <w:szCs w:val="21"/>
              </w:rPr>
              <w:t>10</w:t>
            </w:r>
            <w:r>
              <w:rPr>
                <w:rFonts w:hint="eastAsia"/>
                <w:sz w:val="21"/>
                <w:szCs w:val="21"/>
              </w:rPr>
              <w:t>：建设项目生产工艺中有废水产生，但作为回水利用，不排放到外环境，按三级</w:t>
            </w:r>
            <w:r>
              <w:rPr>
                <w:sz w:val="21"/>
                <w:szCs w:val="21"/>
              </w:rPr>
              <w:t>B</w:t>
            </w:r>
            <w:r>
              <w:rPr>
                <w:rFonts w:hint="eastAsia"/>
                <w:sz w:val="21"/>
                <w:szCs w:val="21"/>
              </w:rPr>
              <w:t>评价。</w:t>
            </w:r>
          </w:p>
        </w:tc>
      </w:tr>
    </w:tbl>
    <w:p w14:paraId="5CF56C1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pPr>
      <w:r>
        <w:rPr>
          <w:rFonts w:hint="eastAsia"/>
        </w:rPr>
        <w:t>根据“注10：建设项目生产工艺中有废水产生，但作为回水利用，不排放到外环境的，按三级B评价”判定，本项目地表水环境影响评价等级为三级B。本次环评仅对项目附近河流的</w:t>
      </w:r>
      <w:r>
        <w:rPr>
          <w:rFonts w:hint="eastAsia"/>
          <w:lang w:val="en-US" w:eastAsia="zh-CN"/>
        </w:rPr>
        <w:t>地表</w:t>
      </w:r>
      <w:r>
        <w:rPr>
          <w:rFonts w:hint="eastAsia"/>
        </w:rPr>
        <w:t>水环境质量做现状监测分析，并对废水处理工艺可行性及合理性进行分析。</w:t>
      </w:r>
    </w:p>
    <w:p w14:paraId="30141F18">
      <w:pPr>
        <w:pStyle w:val="8"/>
        <w:pageBreakBefore w:val="0"/>
        <w:widowControl w:val="0"/>
        <w:kinsoku/>
        <w:wordWrap/>
        <w:overflowPunct/>
        <w:topLinePunct w:val="0"/>
        <w:autoSpaceDE/>
        <w:autoSpaceDN/>
        <w:bidi w:val="0"/>
        <w:adjustRightInd/>
        <w:snapToGrid/>
        <w:spacing w:line="480" w:lineRule="exact"/>
        <w:textAlignment w:val="auto"/>
      </w:pPr>
      <w:r>
        <w:rPr>
          <w:rFonts w:hint="eastAsia"/>
        </w:rPr>
        <w:t>2</w:t>
      </w:r>
      <w:r>
        <w:t>.</w:t>
      </w:r>
      <w:r>
        <w:rPr>
          <w:rFonts w:hint="eastAsia"/>
        </w:rPr>
        <w:t>5.1</w:t>
      </w:r>
      <w:r>
        <w:t xml:space="preserve">.3 </w:t>
      </w:r>
      <w:r>
        <w:rPr>
          <w:rFonts w:hint="eastAsia"/>
        </w:rPr>
        <w:t>地下水评价工作等级</w:t>
      </w:r>
    </w:p>
    <w:p w14:paraId="0EB050AF">
      <w:pPr>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rPr>
      </w:pPr>
      <w:r>
        <w:rPr>
          <w:rFonts w:ascii="Times New Roman" w:hAnsi="Times New Roman" w:cs="Times New Roman"/>
        </w:rPr>
        <w:t>根据《环境影响评价技术导则 地下水环境》（HJ 610-2016），本项目属于畜禽养殖场（养殖小区）项目，属于Ⅲ类。项目所在区域不属于生活供水水源地准保护区、不属于热水、矿泉水、温泉等特殊地下水源保护区、也不属于补给径流区，同时项目占地为一般农业用地，场地内无分散居民饮用水源等其它环境敏感区，因此项目所在地地下水敏感程度为不敏感</w:t>
      </w:r>
      <w:r>
        <w:rPr>
          <w:rFonts w:hint="eastAsia" w:ascii="Times New Roman" w:hAnsi="Times New Roman" w:cs="Times New Roman"/>
        </w:rPr>
        <w:t>。</w:t>
      </w:r>
    </w:p>
    <w:p w14:paraId="21F980E2">
      <w:pPr>
        <w:pStyle w:val="31"/>
        <w:pageBreakBefore w:val="0"/>
        <w:widowControl w:val="0"/>
        <w:kinsoku/>
        <w:wordWrap/>
        <w:overflowPunct/>
        <w:topLinePunct w:val="0"/>
        <w:autoSpaceDE/>
        <w:autoSpaceDN/>
        <w:bidi w:val="0"/>
        <w:adjustRightInd/>
        <w:snapToGrid/>
        <w:spacing w:before="0" w:line="480" w:lineRule="exact"/>
        <w:textAlignment w:val="auto"/>
      </w:pPr>
      <w:r>
        <w:rPr>
          <w:rFonts w:hint="eastAsia"/>
        </w:rPr>
        <w:t>表</w:t>
      </w:r>
      <w:r>
        <w:t>2.</w:t>
      </w:r>
      <w:r>
        <w:rPr>
          <w:rFonts w:hint="eastAsia"/>
        </w:rPr>
        <w:t>5-4</w:t>
      </w:r>
      <w:r>
        <w:t xml:space="preserve">  </w:t>
      </w:r>
      <w:r>
        <w:rPr>
          <w:rFonts w:hint="eastAsia"/>
        </w:rPr>
        <w:t>地下水环境敏感程度分级</w:t>
      </w:r>
    </w:p>
    <w:tbl>
      <w:tblPr>
        <w:tblStyle w:val="4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7977"/>
      </w:tblGrid>
      <w:tr w14:paraId="2BF91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5" w:type="pct"/>
            <w:vAlign w:val="center"/>
          </w:tcPr>
          <w:p w14:paraId="1C1F1396">
            <w:pPr>
              <w:pStyle w:val="61"/>
            </w:pPr>
            <w:r>
              <w:rPr>
                <w:rFonts w:hint="eastAsia"/>
              </w:rPr>
              <w:t>敏感程度</w:t>
            </w:r>
          </w:p>
        </w:tc>
        <w:tc>
          <w:tcPr>
            <w:tcW w:w="4294" w:type="pct"/>
            <w:vAlign w:val="center"/>
          </w:tcPr>
          <w:p w14:paraId="45A78828">
            <w:pPr>
              <w:pStyle w:val="61"/>
            </w:pPr>
            <w:r>
              <w:rPr>
                <w:rFonts w:hint="eastAsia"/>
              </w:rPr>
              <w:t>地下水环境敏感特征</w:t>
            </w:r>
          </w:p>
        </w:tc>
      </w:tr>
      <w:tr w14:paraId="392B0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pct"/>
            <w:vAlign w:val="center"/>
          </w:tcPr>
          <w:p w14:paraId="58B03DD5">
            <w:pPr>
              <w:pStyle w:val="61"/>
              <w:rPr>
                <w:szCs w:val="21"/>
                <w:lang w:val="zh-CN"/>
              </w:rPr>
            </w:pPr>
            <w:r>
              <w:rPr>
                <w:rFonts w:hint="eastAsia"/>
                <w:szCs w:val="21"/>
                <w:lang w:val="zh-CN"/>
              </w:rPr>
              <w:t>敏感</w:t>
            </w:r>
          </w:p>
        </w:tc>
        <w:tc>
          <w:tcPr>
            <w:tcW w:w="4294" w:type="pct"/>
            <w:vAlign w:val="center"/>
          </w:tcPr>
          <w:p w14:paraId="383F4442">
            <w:pPr>
              <w:pStyle w:val="61"/>
              <w:jc w:val="both"/>
              <w:rPr>
                <w:szCs w:val="21"/>
                <w:lang w:val="zh-CN"/>
              </w:rPr>
            </w:pPr>
            <w:r>
              <w:rPr>
                <w:rFonts w:hint="eastAsia"/>
                <w:szCs w:val="21"/>
                <w:lang w:val="zh-CN"/>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14:paraId="5F600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pct"/>
            <w:vAlign w:val="center"/>
          </w:tcPr>
          <w:p w14:paraId="41A27635">
            <w:pPr>
              <w:pStyle w:val="61"/>
              <w:rPr>
                <w:szCs w:val="21"/>
                <w:lang w:val="zh-CN"/>
              </w:rPr>
            </w:pPr>
            <w:r>
              <w:rPr>
                <w:rFonts w:hint="eastAsia"/>
                <w:szCs w:val="21"/>
                <w:lang w:val="zh-CN"/>
              </w:rPr>
              <w:t>较敏感</w:t>
            </w:r>
          </w:p>
        </w:tc>
        <w:tc>
          <w:tcPr>
            <w:tcW w:w="4294" w:type="pct"/>
            <w:vAlign w:val="center"/>
          </w:tcPr>
          <w:p w14:paraId="23AF4653">
            <w:pPr>
              <w:pStyle w:val="61"/>
              <w:jc w:val="both"/>
              <w:rPr>
                <w:szCs w:val="21"/>
                <w:lang w:val="zh-CN"/>
              </w:rPr>
            </w:pPr>
            <w:r>
              <w:rPr>
                <w:rFonts w:hint="eastAsia"/>
                <w:szCs w:val="21"/>
                <w:lang w:val="zh-CN"/>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Pr>
                <w:szCs w:val="21"/>
                <w:lang w:val="zh-CN"/>
              </w:rPr>
              <w:t>a</w:t>
            </w:r>
            <w:r>
              <w:rPr>
                <w:rFonts w:hint="eastAsia"/>
                <w:szCs w:val="21"/>
                <w:lang w:val="zh-CN"/>
              </w:rPr>
              <w:t>。</w:t>
            </w:r>
          </w:p>
        </w:tc>
      </w:tr>
      <w:tr w14:paraId="20F9E4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pct"/>
            <w:shd w:val="pct20" w:color="auto" w:fill="auto"/>
            <w:vAlign w:val="center"/>
          </w:tcPr>
          <w:p w14:paraId="22101F5A">
            <w:pPr>
              <w:pStyle w:val="61"/>
              <w:rPr>
                <w:szCs w:val="21"/>
                <w:lang w:val="zh-CN"/>
              </w:rPr>
            </w:pPr>
            <w:r>
              <w:rPr>
                <w:rFonts w:hint="eastAsia"/>
                <w:szCs w:val="21"/>
                <w:lang w:val="zh-CN"/>
              </w:rPr>
              <w:t>不敏感</w:t>
            </w:r>
          </w:p>
        </w:tc>
        <w:tc>
          <w:tcPr>
            <w:tcW w:w="4294" w:type="pct"/>
            <w:shd w:val="pct20" w:color="auto" w:fill="auto"/>
            <w:vAlign w:val="center"/>
          </w:tcPr>
          <w:p w14:paraId="5A47F4DB">
            <w:pPr>
              <w:pStyle w:val="61"/>
              <w:jc w:val="both"/>
              <w:rPr>
                <w:szCs w:val="21"/>
                <w:lang w:val="zh-CN"/>
              </w:rPr>
            </w:pPr>
            <w:r>
              <w:rPr>
                <w:rFonts w:hint="eastAsia"/>
                <w:szCs w:val="21"/>
                <w:lang w:val="zh-CN"/>
              </w:rPr>
              <w:t>上述地区之外的其它地区。</w:t>
            </w:r>
          </w:p>
        </w:tc>
      </w:tr>
      <w:tr w14:paraId="48E40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vAlign w:val="center"/>
          </w:tcPr>
          <w:p w14:paraId="27AFAF52">
            <w:pPr>
              <w:pStyle w:val="61"/>
              <w:jc w:val="both"/>
              <w:rPr>
                <w:szCs w:val="21"/>
                <w:lang w:val="zh-CN"/>
              </w:rPr>
            </w:pPr>
            <w:r>
              <w:rPr>
                <w:rFonts w:hint="eastAsia"/>
                <w:szCs w:val="21"/>
                <w:lang w:val="zh-CN"/>
              </w:rPr>
              <w:t>注：</w:t>
            </w:r>
            <w:r>
              <w:rPr>
                <w:szCs w:val="21"/>
                <w:lang w:val="zh-CN"/>
              </w:rPr>
              <w:t>a</w:t>
            </w:r>
            <w:r>
              <w:rPr>
                <w:rFonts w:hint="eastAsia"/>
                <w:szCs w:val="21"/>
                <w:lang w:val="zh-CN"/>
              </w:rPr>
              <w:t>“环境敏感区”是指《建设项目环境影响评价分类管理名录》中所界定的涉及地下水的环境敏感区。</w:t>
            </w:r>
          </w:p>
        </w:tc>
      </w:tr>
    </w:tbl>
    <w:p w14:paraId="1E1A6928">
      <w:pPr>
        <w:pStyle w:val="31"/>
        <w:spacing w:before="0" w:line="480" w:lineRule="exact"/>
      </w:pPr>
      <w:r>
        <w:rPr>
          <w:rFonts w:hint="eastAsia"/>
        </w:rPr>
        <w:t>表</w:t>
      </w:r>
      <w:r>
        <w:t>2.</w:t>
      </w:r>
      <w:r>
        <w:rPr>
          <w:rFonts w:hint="eastAsia"/>
        </w:rPr>
        <w:t>5-5</w:t>
      </w:r>
      <w:r>
        <w:t xml:space="preserve"> </w:t>
      </w:r>
      <w:r>
        <w:rPr>
          <w:rFonts w:hint="eastAsia"/>
        </w:rPr>
        <w:t>地下水环境影响评价等级分级表</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73"/>
        <w:gridCol w:w="2251"/>
        <w:gridCol w:w="2294"/>
        <w:gridCol w:w="1966"/>
      </w:tblGrid>
      <w:tr w14:paraId="7A855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3" w:type="pct"/>
            <w:tcBorders>
              <w:top w:val="single" w:color="auto" w:sz="12" w:space="0"/>
              <w:bottom w:val="single" w:color="auto" w:sz="4" w:space="0"/>
              <w:tl2br w:val="single" w:color="auto" w:sz="4" w:space="0"/>
            </w:tcBorders>
            <w:vAlign w:val="center"/>
          </w:tcPr>
          <w:p w14:paraId="17932050">
            <w:pPr>
              <w:pStyle w:val="61"/>
              <w:jc w:val="right"/>
              <w:rPr>
                <w:lang w:val="zh-CN"/>
              </w:rPr>
            </w:pPr>
            <w:r>
              <w:rPr>
                <w:rFonts w:hint="eastAsia"/>
                <w:lang w:val="zh-CN"/>
              </w:rPr>
              <w:t>项目类别</w:t>
            </w:r>
          </w:p>
          <w:p w14:paraId="46DAC70B">
            <w:pPr>
              <w:pStyle w:val="61"/>
              <w:jc w:val="left"/>
              <w:rPr>
                <w:lang w:val="zh-CN"/>
              </w:rPr>
            </w:pPr>
            <w:r>
              <w:rPr>
                <w:rFonts w:hint="eastAsia"/>
                <w:lang w:val="zh-CN"/>
              </w:rPr>
              <w:t>敏感程度</w:t>
            </w:r>
          </w:p>
        </w:tc>
        <w:tc>
          <w:tcPr>
            <w:tcW w:w="1212" w:type="pct"/>
            <w:vAlign w:val="center"/>
          </w:tcPr>
          <w:p w14:paraId="26B994E3">
            <w:pPr>
              <w:pStyle w:val="61"/>
            </w:pPr>
            <w:r>
              <w:rPr>
                <w:rFonts w:hint="eastAsia"/>
              </w:rPr>
              <w:t>Ⅰ类项目</w:t>
            </w:r>
          </w:p>
        </w:tc>
        <w:tc>
          <w:tcPr>
            <w:tcW w:w="1235" w:type="pct"/>
            <w:vAlign w:val="center"/>
          </w:tcPr>
          <w:p w14:paraId="66960129">
            <w:pPr>
              <w:pStyle w:val="61"/>
            </w:pPr>
            <w:r>
              <w:rPr>
                <w:rFonts w:hint="eastAsia"/>
              </w:rPr>
              <w:t>Ⅱ类项目</w:t>
            </w:r>
          </w:p>
        </w:tc>
        <w:tc>
          <w:tcPr>
            <w:tcW w:w="1058" w:type="pct"/>
            <w:vAlign w:val="center"/>
          </w:tcPr>
          <w:p w14:paraId="413F6E3E">
            <w:pPr>
              <w:pStyle w:val="61"/>
            </w:pPr>
            <w:r>
              <w:rPr>
                <w:rFonts w:hint="eastAsia"/>
              </w:rPr>
              <w:t>Ⅲ类项目</w:t>
            </w:r>
          </w:p>
        </w:tc>
      </w:tr>
      <w:tr w14:paraId="0263D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3" w:type="pct"/>
            <w:tcBorders>
              <w:top w:val="single" w:color="auto" w:sz="4" w:space="0"/>
            </w:tcBorders>
            <w:vAlign w:val="center"/>
          </w:tcPr>
          <w:p w14:paraId="04FBCC0C">
            <w:pPr>
              <w:pStyle w:val="61"/>
              <w:rPr>
                <w:lang w:val="zh-CN"/>
              </w:rPr>
            </w:pPr>
            <w:r>
              <w:rPr>
                <w:rFonts w:hint="eastAsia"/>
                <w:lang w:val="zh-CN"/>
              </w:rPr>
              <w:t>敏感</w:t>
            </w:r>
          </w:p>
        </w:tc>
        <w:tc>
          <w:tcPr>
            <w:tcW w:w="1212" w:type="pct"/>
            <w:vAlign w:val="center"/>
          </w:tcPr>
          <w:p w14:paraId="577548FC">
            <w:pPr>
              <w:pStyle w:val="61"/>
              <w:rPr>
                <w:lang w:val="zh-CN"/>
              </w:rPr>
            </w:pPr>
            <w:r>
              <w:rPr>
                <w:rFonts w:hint="eastAsia"/>
                <w:lang w:val="zh-CN"/>
              </w:rPr>
              <w:t>一</w:t>
            </w:r>
          </w:p>
        </w:tc>
        <w:tc>
          <w:tcPr>
            <w:tcW w:w="1235" w:type="pct"/>
            <w:vAlign w:val="center"/>
          </w:tcPr>
          <w:p w14:paraId="12C4C6FF">
            <w:pPr>
              <w:pStyle w:val="61"/>
              <w:rPr>
                <w:lang w:val="zh-CN"/>
              </w:rPr>
            </w:pPr>
            <w:r>
              <w:rPr>
                <w:rFonts w:hint="eastAsia"/>
                <w:lang w:val="zh-CN"/>
              </w:rPr>
              <w:t>一</w:t>
            </w:r>
          </w:p>
        </w:tc>
        <w:tc>
          <w:tcPr>
            <w:tcW w:w="1058" w:type="pct"/>
            <w:vAlign w:val="center"/>
          </w:tcPr>
          <w:p w14:paraId="0CD16793">
            <w:pPr>
              <w:pStyle w:val="61"/>
              <w:rPr>
                <w:lang w:val="zh-CN"/>
              </w:rPr>
            </w:pPr>
            <w:r>
              <w:rPr>
                <w:rFonts w:hint="eastAsia"/>
                <w:lang w:val="zh-CN"/>
              </w:rPr>
              <w:t>二</w:t>
            </w:r>
          </w:p>
        </w:tc>
      </w:tr>
      <w:tr w14:paraId="29D6FC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3" w:type="pct"/>
            <w:vAlign w:val="center"/>
          </w:tcPr>
          <w:p w14:paraId="4012372E">
            <w:pPr>
              <w:pStyle w:val="61"/>
              <w:rPr>
                <w:lang w:val="zh-CN"/>
              </w:rPr>
            </w:pPr>
            <w:r>
              <w:rPr>
                <w:rFonts w:hint="eastAsia"/>
                <w:lang w:val="zh-CN"/>
              </w:rPr>
              <w:t>较敏感</w:t>
            </w:r>
          </w:p>
        </w:tc>
        <w:tc>
          <w:tcPr>
            <w:tcW w:w="1212" w:type="pct"/>
            <w:vAlign w:val="center"/>
          </w:tcPr>
          <w:p w14:paraId="5E0588AA">
            <w:pPr>
              <w:pStyle w:val="61"/>
              <w:rPr>
                <w:lang w:val="zh-CN"/>
              </w:rPr>
            </w:pPr>
            <w:r>
              <w:rPr>
                <w:rFonts w:hint="eastAsia"/>
                <w:lang w:val="zh-CN"/>
              </w:rPr>
              <w:t>一</w:t>
            </w:r>
          </w:p>
        </w:tc>
        <w:tc>
          <w:tcPr>
            <w:tcW w:w="1235" w:type="pct"/>
            <w:vAlign w:val="center"/>
          </w:tcPr>
          <w:p w14:paraId="0B59F619">
            <w:pPr>
              <w:pStyle w:val="61"/>
              <w:rPr>
                <w:lang w:val="zh-CN"/>
              </w:rPr>
            </w:pPr>
            <w:r>
              <w:rPr>
                <w:rFonts w:hint="eastAsia"/>
                <w:lang w:val="zh-CN"/>
              </w:rPr>
              <w:t>二</w:t>
            </w:r>
          </w:p>
        </w:tc>
        <w:tc>
          <w:tcPr>
            <w:tcW w:w="1058" w:type="pct"/>
            <w:vAlign w:val="center"/>
          </w:tcPr>
          <w:p w14:paraId="250F9089">
            <w:pPr>
              <w:pStyle w:val="61"/>
              <w:rPr>
                <w:lang w:val="zh-CN"/>
              </w:rPr>
            </w:pPr>
            <w:r>
              <w:rPr>
                <w:rFonts w:hint="eastAsia"/>
                <w:lang w:val="zh-CN"/>
              </w:rPr>
              <w:t>三</w:t>
            </w:r>
          </w:p>
        </w:tc>
      </w:tr>
      <w:tr w14:paraId="5868C3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3" w:type="pct"/>
            <w:shd w:val="clear" w:color="auto" w:fill="FFFFFF"/>
            <w:vAlign w:val="center"/>
          </w:tcPr>
          <w:p w14:paraId="399B41B2">
            <w:pPr>
              <w:pStyle w:val="61"/>
              <w:rPr>
                <w:lang w:val="zh-CN"/>
              </w:rPr>
            </w:pPr>
            <w:r>
              <w:rPr>
                <w:rFonts w:hint="eastAsia"/>
                <w:lang w:val="zh-CN"/>
              </w:rPr>
              <w:t>不敏感</w:t>
            </w:r>
          </w:p>
        </w:tc>
        <w:tc>
          <w:tcPr>
            <w:tcW w:w="1212" w:type="pct"/>
            <w:shd w:val="clear" w:color="auto" w:fill="auto"/>
            <w:vAlign w:val="center"/>
          </w:tcPr>
          <w:p w14:paraId="6F5D7FA1">
            <w:pPr>
              <w:pStyle w:val="61"/>
              <w:rPr>
                <w:lang w:val="zh-CN"/>
              </w:rPr>
            </w:pPr>
            <w:r>
              <w:rPr>
                <w:rFonts w:hint="eastAsia"/>
                <w:lang w:val="zh-CN"/>
              </w:rPr>
              <w:t>二</w:t>
            </w:r>
          </w:p>
        </w:tc>
        <w:tc>
          <w:tcPr>
            <w:tcW w:w="1235" w:type="pct"/>
            <w:vAlign w:val="center"/>
          </w:tcPr>
          <w:p w14:paraId="54442C53">
            <w:pPr>
              <w:pStyle w:val="61"/>
              <w:rPr>
                <w:lang w:val="zh-CN"/>
              </w:rPr>
            </w:pPr>
            <w:r>
              <w:rPr>
                <w:rFonts w:hint="eastAsia"/>
                <w:lang w:val="zh-CN"/>
              </w:rPr>
              <w:t>三</w:t>
            </w:r>
          </w:p>
        </w:tc>
        <w:tc>
          <w:tcPr>
            <w:tcW w:w="1058" w:type="pct"/>
            <w:shd w:val="clear" w:color="auto" w:fill="A5A5A5" w:themeFill="accent3"/>
            <w:vAlign w:val="center"/>
          </w:tcPr>
          <w:p w14:paraId="7A83383B">
            <w:pPr>
              <w:pStyle w:val="61"/>
              <w:rPr>
                <w:lang w:val="zh-CN"/>
              </w:rPr>
            </w:pPr>
            <w:r>
              <w:rPr>
                <w:rFonts w:hint="eastAsia"/>
                <w:lang w:val="zh-CN"/>
              </w:rPr>
              <w:t>三</w:t>
            </w:r>
          </w:p>
        </w:tc>
      </w:tr>
    </w:tbl>
    <w:p w14:paraId="52FE243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pPr>
      <w:r>
        <w:rPr>
          <w:rFonts w:hint="eastAsia"/>
        </w:rPr>
        <w:t>根据《环境影响评价技术导则 地下水环境》（HJ 610-2016），确定本项目地下水环境影响评价等级为三级。</w:t>
      </w:r>
    </w:p>
    <w:p w14:paraId="736ECD57">
      <w:pPr>
        <w:pStyle w:val="8"/>
        <w:spacing w:line="460" w:lineRule="exact"/>
      </w:pPr>
      <w:r>
        <w:rPr>
          <w:rFonts w:hint="eastAsia"/>
        </w:rPr>
        <w:t>2</w:t>
      </w:r>
      <w:r>
        <w:t>.</w:t>
      </w:r>
      <w:r>
        <w:rPr>
          <w:rFonts w:hint="eastAsia"/>
        </w:rPr>
        <w:t>5.1</w:t>
      </w:r>
      <w:r>
        <w:t xml:space="preserve">.4 </w:t>
      </w:r>
      <w:r>
        <w:rPr>
          <w:rFonts w:hint="eastAsia"/>
        </w:rPr>
        <w:t>土壤环境评价工作等级</w:t>
      </w:r>
    </w:p>
    <w:p w14:paraId="6A42C43A">
      <w:pPr>
        <w:adjustRightInd w:val="0"/>
        <w:spacing w:line="460" w:lineRule="exact"/>
        <w:ind w:firstLine="480" w:firstLineChars="200"/>
        <w:rPr>
          <w:szCs w:val="24"/>
        </w:rPr>
      </w:pPr>
      <w:r>
        <w:rPr>
          <w:rFonts w:hint="eastAsia"/>
          <w:szCs w:val="24"/>
        </w:rPr>
        <w:t>根据</w:t>
      </w:r>
      <w:r>
        <w:rPr>
          <w:szCs w:val="24"/>
        </w:rPr>
        <w:t>《畜禽养殖业污染物排放标准》</w:t>
      </w:r>
      <w:r>
        <w:rPr>
          <w:rFonts w:hint="eastAsia"/>
          <w:szCs w:val="24"/>
        </w:rPr>
        <w:t>（</w:t>
      </w:r>
      <w:r>
        <w:rPr>
          <w:szCs w:val="24"/>
        </w:rPr>
        <w:t>GB 18596-2001</w:t>
      </w:r>
      <w:r>
        <w:rPr>
          <w:rFonts w:hint="eastAsia"/>
          <w:szCs w:val="24"/>
        </w:rPr>
        <w:t>）第1.2.2条规定“6</w:t>
      </w:r>
      <w:r>
        <w:rPr>
          <w:szCs w:val="24"/>
        </w:rPr>
        <w:t>0只</w:t>
      </w:r>
      <w:r>
        <w:rPr>
          <w:rFonts w:hint="eastAsia"/>
          <w:szCs w:val="24"/>
        </w:rPr>
        <w:t>肉</w:t>
      </w:r>
      <w:r>
        <w:rPr>
          <w:szCs w:val="24"/>
        </w:rPr>
        <w:t>鸡折算成1头猪</w:t>
      </w:r>
      <w:r>
        <w:rPr>
          <w:rFonts w:hint="eastAsia"/>
          <w:szCs w:val="24"/>
        </w:rPr>
        <w:t>”，本项目年出栏100</w:t>
      </w:r>
      <w:r>
        <w:rPr>
          <w:szCs w:val="24"/>
        </w:rPr>
        <w:t>万</w:t>
      </w:r>
      <w:r>
        <w:rPr>
          <w:rFonts w:hint="eastAsia"/>
          <w:szCs w:val="24"/>
        </w:rPr>
        <w:t>只肉</w:t>
      </w:r>
      <w:r>
        <w:rPr>
          <w:szCs w:val="24"/>
        </w:rPr>
        <w:t>鸡</w:t>
      </w:r>
      <w:r>
        <w:rPr>
          <w:rFonts w:hint="eastAsia"/>
          <w:szCs w:val="24"/>
        </w:rPr>
        <w:t>，折算为年出栏1.67万头猪</w:t>
      </w:r>
      <w:r>
        <w:rPr>
          <w:szCs w:val="24"/>
        </w:rPr>
        <w:t>；根据《环境影响评价技术导则 土壤环境（试行）》（HJ964-2018），本项目属于污染影响型，</w:t>
      </w:r>
      <w:r>
        <w:rPr>
          <w:rFonts w:hint="eastAsia"/>
          <w:szCs w:val="24"/>
        </w:rPr>
        <w:t>行业类别属于“农林牧渔业”，属于Ⅲ类项目；项目全厂占地面积</w:t>
      </w:r>
      <w:r>
        <w:rPr>
          <w:rFonts w:hint="eastAsia"/>
          <w:color w:val="000000" w:themeColor="text1"/>
          <w14:textFill>
            <w14:solidFill>
              <w14:schemeClr w14:val="tx1"/>
            </w14:solidFill>
          </w14:textFill>
        </w:rPr>
        <w:t>49053m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（约73.5795</w:t>
      </w:r>
      <w:r>
        <w:rPr>
          <w:color w:val="000000" w:themeColor="text1"/>
          <w14:textFill>
            <w14:solidFill>
              <w14:schemeClr w14:val="tx1"/>
            </w14:solidFill>
          </w14:textFill>
        </w:rPr>
        <w:t>亩</w:t>
      </w:r>
      <w:r>
        <w:rPr>
          <w:rFonts w:hint="eastAsia"/>
          <w:color w:val="000000" w:themeColor="text1"/>
          <w14:textFill>
            <w14:solidFill>
              <w14:schemeClr w14:val="tx1"/>
            </w14:solidFill>
          </w14:textFill>
        </w:rPr>
        <w:t>），本项目用地面积约25333.4m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（约38亩）</w:t>
      </w:r>
      <w:r>
        <w:rPr>
          <w:rFonts w:hint="eastAsia"/>
          <w:szCs w:val="24"/>
        </w:rPr>
        <w:t>，占地规模为小型；项目周边为农田，土壤环境敏感程度为敏感。</w:t>
      </w:r>
    </w:p>
    <w:p w14:paraId="412AC386">
      <w:pPr>
        <w:adjustRightInd w:val="0"/>
        <w:spacing w:line="460" w:lineRule="exact"/>
        <w:ind w:firstLine="480" w:firstLineChars="200"/>
      </w:pPr>
      <w:r>
        <w:t>根据《环境影响评价技术导则 土壤环境（试行）》（HJ964-2018），</w:t>
      </w:r>
      <w:r>
        <w:rPr>
          <w:rFonts w:hint="eastAsia"/>
        </w:rPr>
        <w:t>土壤</w:t>
      </w:r>
      <w:r>
        <w:t>环境</w:t>
      </w:r>
      <w:r>
        <w:rPr>
          <w:rFonts w:hint="eastAsia"/>
        </w:rPr>
        <w:t>污染影响型</w:t>
      </w:r>
      <w:r>
        <w:t>评价工作等级划分情况见表2.</w:t>
      </w:r>
      <w:r>
        <w:rPr>
          <w:rFonts w:hint="eastAsia"/>
        </w:rPr>
        <w:t>5-6</w:t>
      </w:r>
      <w:r>
        <w:rPr>
          <w:rFonts w:ascii="Times New Roman" w:hAnsi="Times New Roman" w:cs="Times New Roman"/>
        </w:rPr>
        <w:t>~</w:t>
      </w:r>
      <w:r>
        <w:rPr>
          <w:rFonts w:hint="eastAsia"/>
        </w:rPr>
        <w:t>2.5-7</w:t>
      </w:r>
      <w:r>
        <w:t>。</w:t>
      </w:r>
    </w:p>
    <w:p w14:paraId="6FAD1490">
      <w:pPr>
        <w:pStyle w:val="31"/>
        <w:spacing w:before="0" w:line="460" w:lineRule="exact"/>
      </w:pPr>
      <w:r>
        <w:rPr>
          <w:rFonts w:hint="eastAsia"/>
        </w:rPr>
        <w:t>表2.5-6  污染影响型敏感程度分级表</w:t>
      </w:r>
    </w:p>
    <w:tbl>
      <w:tblPr>
        <w:tblStyle w:val="41"/>
        <w:tblW w:w="486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68"/>
        <w:gridCol w:w="7162"/>
      </w:tblGrid>
      <w:tr w14:paraId="513BEC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4" w:type="pct"/>
            <w:vAlign w:val="center"/>
          </w:tcPr>
          <w:p w14:paraId="5D61F427">
            <w:pPr>
              <w:pStyle w:val="61"/>
              <w:rPr>
                <w:lang w:val="zh-CN"/>
              </w:rPr>
            </w:pPr>
            <w:r>
              <w:rPr>
                <w:rFonts w:hint="eastAsia"/>
                <w:lang w:val="zh-CN"/>
              </w:rPr>
              <w:t>敏感程度</w:t>
            </w:r>
          </w:p>
        </w:tc>
        <w:tc>
          <w:tcPr>
            <w:tcW w:w="3965" w:type="pct"/>
            <w:vAlign w:val="center"/>
          </w:tcPr>
          <w:p w14:paraId="0768989E">
            <w:pPr>
              <w:pStyle w:val="61"/>
              <w:rPr>
                <w:rFonts w:ascii="宋体" w:hAnsi="宋体"/>
                <w:lang w:val="zh-CN"/>
              </w:rPr>
            </w:pPr>
            <w:r>
              <w:rPr>
                <w:rFonts w:hint="eastAsia" w:ascii="宋体" w:hAnsi="宋体"/>
                <w:lang w:val="zh-CN"/>
              </w:rPr>
              <w:t>判别依据</w:t>
            </w:r>
          </w:p>
        </w:tc>
      </w:tr>
      <w:tr w14:paraId="00C1F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4" w:type="pct"/>
            <w:shd w:val="clear" w:color="auto" w:fill="A5A5A5" w:themeFill="accent3"/>
            <w:vAlign w:val="center"/>
          </w:tcPr>
          <w:p w14:paraId="068468EE">
            <w:pPr>
              <w:pStyle w:val="61"/>
              <w:rPr>
                <w:bCs/>
                <w:lang w:val="zh-CN"/>
              </w:rPr>
            </w:pPr>
            <w:r>
              <w:rPr>
                <w:rFonts w:hint="eastAsia"/>
                <w:bCs/>
                <w:lang w:val="zh-CN"/>
              </w:rPr>
              <w:t>敏感</w:t>
            </w:r>
          </w:p>
        </w:tc>
        <w:tc>
          <w:tcPr>
            <w:tcW w:w="3965" w:type="pct"/>
            <w:shd w:val="clear" w:color="auto" w:fill="A5A5A5" w:themeFill="accent3"/>
            <w:vAlign w:val="center"/>
          </w:tcPr>
          <w:p w14:paraId="0A2C805B">
            <w:pPr>
              <w:pStyle w:val="61"/>
              <w:jc w:val="both"/>
              <w:rPr>
                <w:lang w:val="zh-CN"/>
              </w:rPr>
            </w:pPr>
            <w:r>
              <w:rPr>
                <w:rFonts w:hint="eastAsia"/>
                <w:lang w:val="zh-CN"/>
              </w:rPr>
              <w:t>建设项目周边存在耕地、园地、牧草地、饮用水水源地或居民区、学校、医院、疗养院、养老院等土壤环境敏感目标的</w:t>
            </w:r>
          </w:p>
        </w:tc>
      </w:tr>
      <w:tr w14:paraId="663AC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4" w:type="pct"/>
            <w:vAlign w:val="center"/>
          </w:tcPr>
          <w:p w14:paraId="4A13CE4C">
            <w:pPr>
              <w:pStyle w:val="61"/>
              <w:rPr>
                <w:bCs/>
                <w:lang w:val="zh-CN"/>
              </w:rPr>
            </w:pPr>
            <w:r>
              <w:rPr>
                <w:rFonts w:hint="eastAsia"/>
                <w:bCs/>
                <w:lang w:val="zh-CN"/>
              </w:rPr>
              <w:t>较敏感</w:t>
            </w:r>
          </w:p>
        </w:tc>
        <w:tc>
          <w:tcPr>
            <w:tcW w:w="3965" w:type="pct"/>
            <w:vAlign w:val="center"/>
          </w:tcPr>
          <w:p w14:paraId="4FF21C21">
            <w:pPr>
              <w:pStyle w:val="61"/>
              <w:jc w:val="both"/>
              <w:rPr>
                <w:lang w:val="zh-CN"/>
              </w:rPr>
            </w:pPr>
            <w:r>
              <w:rPr>
                <w:rFonts w:hint="eastAsia"/>
                <w:lang w:val="zh-CN"/>
              </w:rPr>
              <w:t>建设项目周边存在其他土壤环境敏感目标的</w:t>
            </w:r>
          </w:p>
        </w:tc>
      </w:tr>
      <w:tr w14:paraId="5DB5F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4" w:type="pct"/>
            <w:vAlign w:val="center"/>
          </w:tcPr>
          <w:p w14:paraId="3A48B24B">
            <w:pPr>
              <w:pStyle w:val="61"/>
              <w:rPr>
                <w:bCs/>
                <w:lang w:val="zh-CN"/>
              </w:rPr>
            </w:pPr>
            <w:r>
              <w:rPr>
                <w:rFonts w:hint="eastAsia"/>
                <w:bCs/>
                <w:lang w:val="zh-CN"/>
              </w:rPr>
              <w:t>不敏感</w:t>
            </w:r>
          </w:p>
        </w:tc>
        <w:tc>
          <w:tcPr>
            <w:tcW w:w="3965" w:type="pct"/>
            <w:vAlign w:val="center"/>
          </w:tcPr>
          <w:p w14:paraId="57A6CFF4">
            <w:pPr>
              <w:pStyle w:val="61"/>
              <w:jc w:val="both"/>
              <w:rPr>
                <w:lang w:val="zh-CN"/>
              </w:rPr>
            </w:pPr>
            <w:r>
              <w:rPr>
                <w:rFonts w:hint="eastAsia"/>
                <w:lang w:val="zh-CN"/>
              </w:rPr>
              <w:t>其他情况</w:t>
            </w:r>
          </w:p>
        </w:tc>
      </w:tr>
    </w:tbl>
    <w:p w14:paraId="7A03E545">
      <w:pPr>
        <w:pStyle w:val="31"/>
        <w:spacing w:before="0" w:line="480" w:lineRule="exact"/>
        <w:rPr>
          <w:snapToGrid w:val="0"/>
        </w:rPr>
      </w:pPr>
      <w:r>
        <w:rPr>
          <w:rFonts w:hint="eastAsia"/>
          <w:snapToGrid w:val="0"/>
        </w:rPr>
        <w:t>表</w:t>
      </w:r>
      <w:r>
        <w:t>2.</w:t>
      </w:r>
      <w:r>
        <w:rPr>
          <w:rFonts w:hint="eastAsia"/>
        </w:rPr>
        <w:t>5-7</w:t>
      </w:r>
      <w:r>
        <w:rPr>
          <w:snapToGrid w:val="0"/>
        </w:rPr>
        <w:t xml:space="preserve">  </w:t>
      </w:r>
      <w:r>
        <w:rPr>
          <w:rFonts w:hint="eastAsia"/>
          <w:snapToGrid w:val="0"/>
        </w:rPr>
        <w:t>污染影响型评价工作等级划分表</w:t>
      </w:r>
    </w:p>
    <w:tbl>
      <w:tblPr>
        <w:tblStyle w:val="41"/>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240"/>
        <w:gridCol w:w="800"/>
        <w:gridCol w:w="780"/>
        <w:gridCol w:w="738"/>
        <w:gridCol w:w="733"/>
        <w:gridCol w:w="879"/>
        <w:gridCol w:w="738"/>
        <w:gridCol w:w="753"/>
        <w:gridCol w:w="731"/>
        <w:gridCol w:w="675"/>
      </w:tblGrid>
      <w:tr w14:paraId="553239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236" w:type="pct"/>
            <w:vMerge w:val="restart"/>
            <w:tcBorders>
              <w:left w:val="nil"/>
            </w:tcBorders>
            <w:vAlign w:val="center"/>
          </w:tcPr>
          <w:p w14:paraId="21D75082">
            <w:pPr>
              <w:spacing w:line="300" w:lineRule="exact"/>
              <w:jc w:val="right"/>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s">
                  <w:drawing>
                    <wp:anchor distT="0" distB="0" distL="114300" distR="114300" simplePos="0" relativeHeight="251661312" behindDoc="0" locked="0" layoutInCell="1" allowOverlap="1">
                      <wp:simplePos x="0" y="0"/>
                      <wp:positionH relativeFrom="column">
                        <wp:posOffset>563245</wp:posOffset>
                      </wp:positionH>
                      <wp:positionV relativeFrom="paragraph">
                        <wp:posOffset>-6985</wp:posOffset>
                      </wp:positionV>
                      <wp:extent cx="871855" cy="667385"/>
                      <wp:effectExtent l="3175" t="3810" r="20320" b="14605"/>
                      <wp:wrapNone/>
                      <wp:docPr id="1" name="直接箭头连接符 1"/>
                      <wp:cNvGraphicFramePr/>
                      <a:graphic xmlns:a="http://schemas.openxmlformats.org/drawingml/2006/main">
                        <a:graphicData uri="http://schemas.microsoft.com/office/word/2010/wordprocessingShape">
                          <wps:wsp>
                            <wps:cNvCnPr/>
                            <wps:spPr>
                              <a:xfrm>
                                <a:off x="0" y="0"/>
                                <a:ext cx="871855" cy="667385"/>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4.35pt;margin-top:-0.55pt;height:52.55pt;width:68.65pt;z-index:251661312;mso-width-relative:page;mso-height-relative:page;" filled="f" stroked="t" coordsize="21600,21600" o:gfxdata="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E4SGnXAAAACQEAAA8AAAAAAAAAAQAgAAAAIgAAAGRycy9kb3du&#10;cmV2LnhtbFBLAQIUABQAAAAIAIdO4kBMTt2iAAIAAPADAAAOAAAAAAAAAAEAIAAAACYBAABkcnMv&#10;ZTJvRG9jLnhtbFBLBQYAAAAABgAGAFkBAACYBQAAAAA=&#10;">
                      <v:fill on="f" focussize="0,0"/>
                      <v:stroke weight="0.5pt" color="#000000" joinstyle="round"/>
                      <v:imagedata o:title=""/>
                      <o:lock v:ext="edit" aspectratio="f"/>
                    </v:shape>
                  </w:pict>
                </mc:Fallback>
              </mc:AlternateContent>
            </w:r>
            <w:r>
              <w:rPr>
                <w:rFonts w:ascii="Times New Roman" w:hAnsi="Times New Roman" w:eastAsia="宋体" w:cs="Times New Roman"/>
                <w:bCs/>
                <w:sz w:val="21"/>
                <w:szCs w:val="21"/>
              </w:rPr>
              <w:t>占地规模</w:t>
            </w:r>
          </w:p>
          <w:p w14:paraId="0CBC6EC6">
            <w:pPr>
              <w:spacing w:line="300" w:lineRule="exact"/>
              <w:rPr>
                <w:rFonts w:ascii="Times New Roman" w:hAnsi="Times New Roman" w:eastAsia="宋体" w:cs="Times New Roman"/>
                <w:bCs/>
                <w:sz w:val="21"/>
                <w:szCs w:val="21"/>
              </w:rPr>
            </w:pPr>
            <w:r>
              <w:rPr>
                <w:rFonts w:ascii="Times New Roman" w:hAnsi="Times New Roman" w:eastAsia="宋体" w:cs="Times New Roman"/>
                <w:bCs/>
                <w:sz w:val="21"/>
                <w:szCs w:val="21"/>
              </w:rPr>
              <w:t>评价工作等级</w:t>
            </w:r>
          </w:p>
          <w:p w14:paraId="4F397BD5">
            <w:pPr>
              <w:spacing w:line="300" w:lineRule="exact"/>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4445</wp:posOffset>
                      </wp:positionV>
                      <wp:extent cx="1452880" cy="310515"/>
                      <wp:effectExtent l="1270" t="4445" r="12700" b="8890"/>
                      <wp:wrapNone/>
                      <wp:docPr id="2" name="直接箭头连接符 2"/>
                      <wp:cNvGraphicFramePr/>
                      <a:graphic xmlns:a="http://schemas.openxmlformats.org/drawingml/2006/main">
                        <a:graphicData uri="http://schemas.microsoft.com/office/word/2010/wordprocessingShape">
                          <wps:wsp>
                            <wps:cNvCnPr/>
                            <wps:spPr>
                              <a:xfrm>
                                <a:off x="0" y="0"/>
                                <a:ext cx="1452880" cy="310515"/>
                              </a:xfrm>
                              <a:prstGeom prst="straightConnector1">
                                <a:avLst/>
                              </a:prstGeom>
                              <a:ln w="317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pt;margin-top:0.35pt;height:24.45pt;width:114.4pt;z-index:251662336;mso-width-relative:page;mso-height-relative:page;" filled="f" stroked="t" coordsize="21600,21600" o:gfxdata="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12XrtUAAAAGAQAADwAAAAAAAAABACAAAAAiAAAAZHJzL2Rvd25yZXYu&#10;eG1sUEsBAhQAFAAAAAgAh07iQGCKQSP+AQAA8QMAAA4AAAAAAAAAAQAgAAAAJAEAAGRycy9lMm9E&#10;b2MueG1sUEsFBgAAAAAGAAYAWQEAAJQFAAAAAA==&#10;">
                      <v:fill on="f" focussize="0,0"/>
                      <v:stroke weight="0.25pt" color="#000000" joinstyle="round"/>
                      <v:imagedata o:title=""/>
                      <o:lock v:ext="edit" aspectratio="f"/>
                    </v:shape>
                  </w:pict>
                </mc:Fallback>
              </mc:AlternateContent>
            </w:r>
          </w:p>
          <w:p w14:paraId="305982F8">
            <w:pPr>
              <w:spacing w:line="300" w:lineRule="exact"/>
              <w:rPr>
                <w:rFonts w:ascii="Times New Roman" w:hAnsi="Times New Roman" w:eastAsia="宋体" w:cs="Times New Roman"/>
                <w:bCs/>
                <w:sz w:val="21"/>
                <w:szCs w:val="21"/>
              </w:rPr>
            </w:pPr>
            <w:r>
              <w:rPr>
                <w:rFonts w:ascii="Times New Roman" w:hAnsi="Times New Roman" w:eastAsia="宋体" w:cs="Times New Roman"/>
                <w:bCs/>
                <w:sz w:val="21"/>
                <w:szCs w:val="21"/>
              </w:rPr>
              <w:t>敏感程度</w:t>
            </w:r>
          </w:p>
        </w:tc>
        <w:tc>
          <w:tcPr>
            <w:tcW w:w="1278" w:type="pct"/>
            <w:gridSpan w:val="3"/>
            <w:tcBorders>
              <w:right w:val="single" w:color="auto" w:sz="4" w:space="0"/>
            </w:tcBorders>
            <w:vAlign w:val="center"/>
          </w:tcPr>
          <w:p w14:paraId="47CF93AE">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Ⅰ类</w:t>
            </w:r>
          </w:p>
        </w:tc>
        <w:tc>
          <w:tcPr>
            <w:tcW w:w="1296" w:type="pct"/>
            <w:gridSpan w:val="3"/>
            <w:tcBorders>
              <w:left w:val="single" w:color="auto" w:sz="4" w:space="0"/>
              <w:right w:val="nil"/>
            </w:tcBorders>
            <w:vAlign w:val="center"/>
          </w:tcPr>
          <w:p w14:paraId="79290528">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Ⅱ类</w:t>
            </w:r>
          </w:p>
        </w:tc>
        <w:tc>
          <w:tcPr>
            <w:tcW w:w="1188" w:type="pct"/>
            <w:gridSpan w:val="3"/>
            <w:tcBorders>
              <w:left w:val="single" w:color="auto" w:sz="4" w:space="0"/>
              <w:right w:val="nil"/>
            </w:tcBorders>
            <w:vAlign w:val="center"/>
          </w:tcPr>
          <w:p w14:paraId="0BA023C6">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Ⅲ类</w:t>
            </w:r>
          </w:p>
        </w:tc>
      </w:tr>
      <w:tr w14:paraId="2D091E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236" w:type="pct"/>
            <w:vMerge w:val="continue"/>
            <w:tcBorders>
              <w:left w:val="nil"/>
            </w:tcBorders>
            <w:vAlign w:val="center"/>
          </w:tcPr>
          <w:p w14:paraId="47BD309B">
            <w:pPr>
              <w:spacing w:line="300" w:lineRule="exact"/>
              <w:jc w:val="center"/>
              <w:rPr>
                <w:rFonts w:ascii="Times New Roman" w:hAnsi="Times New Roman" w:eastAsia="宋体" w:cs="Times New Roman"/>
                <w:bCs/>
                <w:sz w:val="21"/>
                <w:szCs w:val="21"/>
              </w:rPr>
            </w:pPr>
          </w:p>
        </w:tc>
        <w:tc>
          <w:tcPr>
            <w:tcW w:w="441" w:type="pct"/>
            <w:tcBorders>
              <w:right w:val="single" w:color="auto" w:sz="4" w:space="0"/>
            </w:tcBorders>
            <w:vAlign w:val="center"/>
          </w:tcPr>
          <w:p w14:paraId="5CAF8ECA">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大</w:t>
            </w:r>
          </w:p>
        </w:tc>
        <w:tc>
          <w:tcPr>
            <w:tcW w:w="430" w:type="pct"/>
            <w:tcBorders>
              <w:left w:val="single" w:color="auto" w:sz="4" w:space="0"/>
              <w:right w:val="single" w:color="auto" w:sz="4" w:space="0"/>
            </w:tcBorders>
            <w:vAlign w:val="center"/>
          </w:tcPr>
          <w:p w14:paraId="7CC9F8CD">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中</w:t>
            </w:r>
          </w:p>
        </w:tc>
        <w:tc>
          <w:tcPr>
            <w:tcW w:w="406" w:type="pct"/>
            <w:tcBorders>
              <w:left w:val="single" w:color="auto" w:sz="4" w:space="0"/>
              <w:right w:val="single" w:color="auto" w:sz="4" w:space="0"/>
            </w:tcBorders>
            <w:vAlign w:val="center"/>
          </w:tcPr>
          <w:p w14:paraId="125CB4ED">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小</w:t>
            </w:r>
          </w:p>
        </w:tc>
        <w:tc>
          <w:tcPr>
            <w:tcW w:w="404" w:type="pct"/>
            <w:tcBorders>
              <w:left w:val="single" w:color="auto" w:sz="4" w:space="0"/>
              <w:right w:val="single" w:color="auto" w:sz="4" w:space="0"/>
            </w:tcBorders>
            <w:vAlign w:val="center"/>
          </w:tcPr>
          <w:p w14:paraId="3D5311BF">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大</w:t>
            </w:r>
          </w:p>
        </w:tc>
        <w:tc>
          <w:tcPr>
            <w:tcW w:w="485" w:type="pct"/>
            <w:tcBorders>
              <w:left w:val="single" w:color="auto" w:sz="4" w:space="0"/>
              <w:right w:val="single" w:color="auto" w:sz="4" w:space="0"/>
            </w:tcBorders>
            <w:vAlign w:val="center"/>
          </w:tcPr>
          <w:p w14:paraId="19580793">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中</w:t>
            </w:r>
          </w:p>
        </w:tc>
        <w:tc>
          <w:tcPr>
            <w:tcW w:w="405" w:type="pct"/>
            <w:tcBorders>
              <w:left w:val="single" w:color="auto" w:sz="4" w:space="0"/>
              <w:right w:val="single" w:color="auto" w:sz="4" w:space="0"/>
            </w:tcBorders>
            <w:vAlign w:val="center"/>
          </w:tcPr>
          <w:p w14:paraId="04DBA6DD">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小</w:t>
            </w:r>
          </w:p>
        </w:tc>
        <w:tc>
          <w:tcPr>
            <w:tcW w:w="415" w:type="pct"/>
            <w:tcBorders>
              <w:left w:val="single" w:color="auto" w:sz="4" w:space="0"/>
              <w:bottom w:val="single" w:color="auto" w:sz="6" w:space="0"/>
              <w:right w:val="nil"/>
            </w:tcBorders>
            <w:vAlign w:val="center"/>
          </w:tcPr>
          <w:p w14:paraId="2AC39488">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大</w:t>
            </w:r>
          </w:p>
        </w:tc>
        <w:tc>
          <w:tcPr>
            <w:tcW w:w="403" w:type="pct"/>
            <w:tcBorders>
              <w:left w:val="single" w:color="auto" w:sz="4" w:space="0"/>
              <w:bottom w:val="single" w:color="auto" w:sz="6" w:space="0"/>
              <w:right w:val="nil"/>
            </w:tcBorders>
            <w:vAlign w:val="center"/>
          </w:tcPr>
          <w:p w14:paraId="590F59D7">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中</w:t>
            </w:r>
          </w:p>
        </w:tc>
        <w:tc>
          <w:tcPr>
            <w:tcW w:w="370" w:type="pct"/>
            <w:tcBorders>
              <w:left w:val="single" w:color="auto" w:sz="4" w:space="0"/>
              <w:right w:val="nil"/>
            </w:tcBorders>
            <w:vAlign w:val="center"/>
          </w:tcPr>
          <w:p w14:paraId="3D2AA8FE">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小</w:t>
            </w:r>
          </w:p>
        </w:tc>
      </w:tr>
      <w:tr w14:paraId="0F0398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36" w:type="pct"/>
            <w:tcBorders>
              <w:left w:val="nil"/>
            </w:tcBorders>
            <w:shd w:val="clear" w:color="auto" w:fill="auto"/>
            <w:vAlign w:val="center"/>
          </w:tcPr>
          <w:p w14:paraId="6CED5C13">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敏感</w:t>
            </w:r>
          </w:p>
        </w:tc>
        <w:tc>
          <w:tcPr>
            <w:tcW w:w="441" w:type="pct"/>
            <w:tcBorders>
              <w:right w:val="single" w:color="auto" w:sz="4" w:space="0"/>
            </w:tcBorders>
            <w:shd w:val="clear" w:color="auto" w:fill="auto"/>
            <w:vAlign w:val="center"/>
          </w:tcPr>
          <w:p w14:paraId="3029EEE7">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一级</w:t>
            </w:r>
          </w:p>
        </w:tc>
        <w:tc>
          <w:tcPr>
            <w:tcW w:w="430" w:type="pct"/>
            <w:tcBorders>
              <w:left w:val="single" w:color="auto" w:sz="4" w:space="0"/>
              <w:right w:val="single" w:color="auto" w:sz="4" w:space="0"/>
            </w:tcBorders>
            <w:shd w:val="clear" w:color="auto" w:fill="auto"/>
            <w:vAlign w:val="center"/>
          </w:tcPr>
          <w:p w14:paraId="7CC1EE39">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一级</w:t>
            </w:r>
          </w:p>
        </w:tc>
        <w:tc>
          <w:tcPr>
            <w:tcW w:w="406" w:type="pct"/>
            <w:tcBorders>
              <w:left w:val="single" w:color="auto" w:sz="4" w:space="0"/>
            </w:tcBorders>
            <w:shd w:val="clear" w:color="auto" w:fill="auto"/>
            <w:vAlign w:val="center"/>
          </w:tcPr>
          <w:p w14:paraId="79A6E9BF">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一级</w:t>
            </w:r>
          </w:p>
        </w:tc>
        <w:tc>
          <w:tcPr>
            <w:tcW w:w="404" w:type="pct"/>
            <w:tcBorders>
              <w:right w:val="single" w:color="auto" w:sz="4" w:space="0"/>
            </w:tcBorders>
            <w:shd w:val="clear" w:color="auto" w:fill="auto"/>
            <w:vAlign w:val="center"/>
          </w:tcPr>
          <w:p w14:paraId="02DDBBAF">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二级</w:t>
            </w:r>
          </w:p>
        </w:tc>
        <w:tc>
          <w:tcPr>
            <w:tcW w:w="485" w:type="pct"/>
            <w:tcBorders>
              <w:left w:val="single" w:color="auto" w:sz="4" w:space="0"/>
              <w:right w:val="single" w:color="auto" w:sz="4" w:space="0"/>
            </w:tcBorders>
            <w:shd w:val="clear" w:color="auto" w:fill="auto"/>
            <w:vAlign w:val="center"/>
          </w:tcPr>
          <w:p w14:paraId="1239B30F">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二级</w:t>
            </w:r>
          </w:p>
        </w:tc>
        <w:tc>
          <w:tcPr>
            <w:tcW w:w="405" w:type="pct"/>
            <w:tcBorders>
              <w:left w:val="single" w:color="auto" w:sz="4" w:space="0"/>
            </w:tcBorders>
            <w:shd w:val="clear" w:color="auto" w:fill="auto"/>
            <w:vAlign w:val="center"/>
          </w:tcPr>
          <w:p w14:paraId="582D5B0D">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二级</w:t>
            </w:r>
          </w:p>
        </w:tc>
        <w:tc>
          <w:tcPr>
            <w:tcW w:w="415" w:type="pct"/>
            <w:tcBorders>
              <w:top w:val="single" w:color="auto" w:sz="6" w:space="0"/>
              <w:bottom w:val="single" w:color="auto" w:sz="6" w:space="0"/>
              <w:right w:val="single" w:color="auto" w:sz="4" w:space="0"/>
            </w:tcBorders>
            <w:shd w:val="clear" w:color="auto" w:fill="auto"/>
            <w:vAlign w:val="center"/>
          </w:tcPr>
          <w:p w14:paraId="61327267">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三级</w:t>
            </w:r>
          </w:p>
        </w:tc>
        <w:tc>
          <w:tcPr>
            <w:tcW w:w="403" w:type="pct"/>
            <w:tcBorders>
              <w:top w:val="single" w:color="auto" w:sz="6" w:space="0"/>
              <w:left w:val="single" w:color="auto" w:sz="4" w:space="0"/>
              <w:bottom w:val="single" w:color="auto" w:sz="6" w:space="0"/>
              <w:right w:val="nil"/>
            </w:tcBorders>
            <w:shd w:val="clear" w:color="auto" w:fill="auto"/>
            <w:vAlign w:val="center"/>
          </w:tcPr>
          <w:p w14:paraId="3068CCE9">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三级</w:t>
            </w:r>
          </w:p>
        </w:tc>
        <w:tc>
          <w:tcPr>
            <w:tcW w:w="370" w:type="pct"/>
            <w:tcBorders>
              <w:top w:val="single" w:color="auto" w:sz="6" w:space="0"/>
              <w:left w:val="single" w:color="auto" w:sz="4" w:space="0"/>
              <w:bottom w:val="single" w:color="auto" w:sz="6" w:space="0"/>
              <w:right w:val="nil"/>
            </w:tcBorders>
            <w:shd w:val="pct20" w:color="auto" w:fill="FFFFFF"/>
            <w:vAlign w:val="center"/>
          </w:tcPr>
          <w:p w14:paraId="44F21DD5">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三级</w:t>
            </w:r>
          </w:p>
        </w:tc>
      </w:tr>
      <w:tr w14:paraId="79050B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36" w:type="pct"/>
            <w:tcBorders>
              <w:left w:val="nil"/>
            </w:tcBorders>
            <w:vAlign w:val="center"/>
          </w:tcPr>
          <w:p w14:paraId="7327BE35">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较敏感</w:t>
            </w:r>
          </w:p>
        </w:tc>
        <w:tc>
          <w:tcPr>
            <w:tcW w:w="441" w:type="pct"/>
            <w:tcBorders>
              <w:right w:val="single" w:color="auto" w:sz="4" w:space="0"/>
            </w:tcBorders>
            <w:vAlign w:val="center"/>
          </w:tcPr>
          <w:p w14:paraId="373C1724">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一级</w:t>
            </w:r>
          </w:p>
        </w:tc>
        <w:tc>
          <w:tcPr>
            <w:tcW w:w="430" w:type="pct"/>
            <w:tcBorders>
              <w:left w:val="single" w:color="auto" w:sz="4" w:space="0"/>
              <w:right w:val="single" w:color="auto" w:sz="4" w:space="0"/>
            </w:tcBorders>
            <w:vAlign w:val="center"/>
          </w:tcPr>
          <w:p w14:paraId="701F88F0">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一级</w:t>
            </w:r>
          </w:p>
        </w:tc>
        <w:tc>
          <w:tcPr>
            <w:tcW w:w="406" w:type="pct"/>
            <w:tcBorders>
              <w:left w:val="single" w:color="auto" w:sz="4" w:space="0"/>
            </w:tcBorders>
            <w:vAlign w:val="center"/>
          </w:tcPr>
          <w:p w14:paraId="15B63CDB">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二级</w:t>
            </w:r>
          </w:p>
        </w:tc>
        <w:tc>
          <w:tcPr>
            <w:tcW w:w="404" w:type="pct"/>
            <w:tcBorders>
              <w:right w:val="single" w:color="auto" w:sz="4" w:space="0"/>
            </w:tcBorders>
            <w:vAlign w:val="center"/>
          </w:tcPr>
          <w:p w14:paraId="765A7D0E">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二级</w:t>
            </w:r>
          </w:p>
        </w:tc>
        <w:tc>
          <w:tcPr>
            <w:tcW w:w="485" w:type="pct"/>
            <w:tcBorders>
              <w:left w:val="single" w:color="auto" w:sz="4" w:space="0"/>
              <w:right w:val="single" w:color="auto" w:sz="4" w:space="0"/>
            </w:tcBorders>
            <w:vAlign w:val="center"/>
          </w:tcPr>
          <w:p w14:paraId="6077E5F4">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二级</w:t>
            </w:r>
          </w:p>
        </w:tc>
        <w:tc>
          <w:tcPr>
            <w:tcW w:w="405" w:type="pct"/>
            <w:tcBorders>
              <w:left w:val="single" w:color="auto" w:sz="4" w:space="0"/>
            </w:tcBorders>
            <w:vAlign w:val="center"/>
          </w:tcPr>
          <w:p w14:paraId="6F737CCD">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三级</w:t>
            </w:r>
          </w:p>
        </w:tc>
        <w:tc>
          <w:tcPr>
            <w:tcW w:w="415" w:type="pct"/>
            <w:tcBorders>
              <w:top w:val="single" w:color="auto" w:sz="6" w:space="0"/>
              <w:bottom w:val="single" w:color="auto" w:sz="6" w:space="0"/>
              <w:right w:val="single" w:color="auto" w:sz="4" w:space="0"/>
            </w:tcBorders>
            <w:vAlign w:val="center"/>
          </w:tcPr>
          <w:p w14:paraId="531180D0">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三级</w:t>
            </w:r>
          </w:p>
        </w:tc>
        <w:tc>
          <w:tcPr>
            <w:tcW w:w="403" w:type="pct"/>
            <w:tcBorders>
              <w:top w:val="single" w:color="auto" w:sz="6" w:space="0"/>
              <w:left w:val="single" w:color="auto" w:sz="4" w:space="0"/>
              <w:bottom w:val="single" w:color="auto" w:sz="6" w:space="0"/>
              <w:right w:val="nil"/>
            </w:tcBorders>
            <w:vAlign w:val="center"/>
          </w:tcPr>
          <w:p w14:paraId="24C8D7FE">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三级</w:t>
            </w:r>
          </w:p>
        </w:tc>
        <w:tc>
          <w:tcPr>
            <w:tcW w:w="370" w:type="pct"/>
            <w:tcBorders>
              <w:top w:val="single" w:color="auto" w:sz="6" w:space="0"/>
              <w:left w:val="single" w:color="auto" w:sz="4" w:space="0"/>
              <w:bottom w:val="single" w:color="auto" w:sz="6" w:space="0"/>
              <w:right w:val="nil"/>
            </w:tcBorders>
            <w:vAlign w:val="center"/>
          </w:tcPr>
          <w:p w14:paraId="30B84D22">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14:paraId="00CF81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36" w:type="pct"/>
            <w:tcBorders>
              <w:left w:val="nil"/>
              <w:bottom w:val="single" w:color="auto" w:sz="6" w:space="0"/>
            </w:tcBorders>
            <w:vAlign w:val="center"/>
          </w:tcPr>
          <w:p w14:paraId="324DA790">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不敏感</w:t>
            </w:r>
          </w:p>
        </w:tc>
        <w:tc>
          <w:tcPr>
            <w:tcW w:w="441" w:type="pct"/>
            <w:tcBorders>
              <w:bottom w:val="single" w:color="auto" w:sz="6" w:space="0"/>
              <w:right w:val="single" w:color="auto" w:sz="4" w:space="0"/>
            </w:tcBorders>
            <w:vAlign w:val="center"/>
          </w:tcPr>
          <w:p w14:paraId="7CABAB2E">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一级</w:t>
            </w:r>
          </w:p>
        </w:tc>
        <w:tc>
          <w:tcPr>
            <w:tcW w:w="430" w:type="pct"/>
            <w:tcBorders>
              <w:left w:val="single" w:color="auto" w:sz="4" w:space="0"/>
              <w:bottom w:val="single" w:color="auto" w:sz="6" w:space="0"/>
              <w:right w:val="single" w:color="auto" w:sz="4" w:space="0"/>
            </w:tcBorders>
            <w:vAlign w:val="center"/>
          </w:tcPr>
          <w:p w14:paraId="31FB04A1">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二级</w:t>
            </w:r>
          </w:p>
        </w:tc>
        <w:tc>
          <w:tcPr>
            <w:tcW w:w="406" w:type="pct"/>
            <w:tcBorders>
              <w:left w:val="single" w:color="auto" w:sz="4" w:space="0"/>
              <w:bottom w:val="single" w:color="auto" w:sz="6" w:space="0"/>
            </w:tcBorders>
            <w:vAlign w:val="center"/>
          </w:tcPr>
          <w:p w14:paraId="477ACCB8">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二级</w:t>
            </w:r>
          </w:p>
        </w:tc>
        <w:tc>
          <w:tcPr>
            <w:tcW w:w="404" w:type="pct"/>
            <w:tcBorders>
              <w:bottom w:val="single" w:color="auto" w:sz="6" w:space="0"/>
              <w:right w:val="single" w:color="auto" w:sz="4" w:space="0"/>
            </w:tcBorders>
            <w:vAlign w:val="center"/>
          </w:tcPr>
          <w:p w14:paraId="2293ECF2">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二级</w:t>
            </w:r>
          </w:p>
        </w:tc>
        <w:tc>
          <w:tcPr>
            <w:tcW w:w="485" w:type="pct"/>
            <w:tcBorders>
              <w:left w:val="single" w:color="auto" w:sz="4" w:space="0"/>
              <w:bottom w:val="single" w:color="auto" w:sz="6" w:space="0"/>
              <w:right w:val="single" w:color="auto" w:sz="4" w:space="0"/>
            </w:tcBorders>
            <w:vAlign w:val="center"/>
          </w:tcPr>
          <w:p w14:paraId="63C51D61">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三级</w:t>
            </w:r>
          </w:p>
        </w:tc>
        <w:tc>
          <w:tcPr>
            <w:tcW w:w="405" w:type="pct"/>
            <w:tcBorders>
              <w:left w:val="single" w:color="auto" w:sz="4" w:space="0"/>
              <w:bottom w:val="single" w:color="auto" w:sz="6" w:space="0"/>
            </w:tcBorders>
            <w:vAlign w:val="center"/>
          </w:tcPr>
          <w:p w14:paraId="56CC7708">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三级</w:t>
            </w:r>
          </w:p>
        </w:tc>
        <w:tc>
          <w:tcPr>
            <w:tcW w:w="415" w:type="pct"/>
            <w:tcBorders>
              <w:top w:val="single" w:color="auto" w:sz="6" w:space="0"/>
              <w:bottom w:val="single" w:color="auto" w:sz="6" w:space="0"/>
              <w:right w:val="single" w:color="auto" w:sz="4" w:space="0"/>
            </w:tcBorders>
            <w:vAlign w:val="center"/>
          </w:tcPr>
          <w:p w14:paraId="526290BB">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三级</w:t>
            </w:r>
          </w:p>
        </w:tc>
        <w:tc>
          <w:tcPr>
            <w:tcW w:w="403" w:type="pct"/>
            <w:tcBorders>
              <w:top w:val="single" w:color="auto" w:sz="6" w:space="0"/>
              <w:left w:val="single" w:color="auto" w:sz="4" w:space="0"/>
              <w:bottom w:val="single" w:color="auto" w:sz="6" w:space="0"/>
              <w:right w:val="nil"/>
            </w:tcBorders>
            <w:vAlign w:val="center"/>
          </w:tcPr>
          <w:p w14:paraId="01F08E1F">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370" w:type="pct"/>
            <w:tcBorders>
              <w:top w:val="single" w:color="auto" w:sz="6" w:space="0"/>
              <w:left w:val="single" w:color="auto" w:sz="4" w:space="0"/>
              <w:bottom w:val="single" w:color="auto" w:sz="6" w:space="0"/>
              <w:right w:val="nil"/>
            </w:tcBorders>
            <w:vAlign w:val="center"/>
          </w:tcPr>
          <w:p w14:paraId="40FDFCFE">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14:paraId="244D8E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000" w:type="pct"/>
            <w:gridSpan w:val="10"/>
            <w:tcBorders>
              <w:top w:val="single" w:color="auto" w:sz="6" w:space="0"/>
              <w:left w:val="nil"/>
              <w:bottom w:val="single" w:color="auto" w:sz="12" w:space="0"/>
              <w:right w:val="nil"/>
            </w:tcBorders>
            <w:vAlign w:val="center"/>
          </w:tcPr>
          <w:p w14:paraId="03866E13">
            <w:pPr>
              <w:spacing w:line="300" w:lineRule="exact"/>
              <w:rPr>
                <w:rFonts w:ascii="Times New Roman" w:hAnsi="Times New Roman" w:eastAsia="宋体" w:cs="Times New Roman"/>
                <w:bCs/>
                <w:sz w:val="21"/>
                <w:szCs w:val="21"/>
              </w:rPr>
            </w:pPr>
            <w:r>
              <w:rPr>
                <w:rFonts w:ascii="Times New Roman" w:hAnsi="Times New Roman" w:eastAsia="宋体" w:cs="Times New Roman"/>
                <w:bCs/>
                <w:sz w:val="21"/>
                <w:szCs w:val="21"/>
              </w:rPr>
              <w:t>注：“-”表示可不开展土壤环境影响评价工作。</w:t>
            </w:r>
          </w:p>
        </w:tc>
      </w:tr>
    </w:tbl>
    <w:p w14:paraId="7BD5627B">
      <w:pPr>
        <w:pStyle w:val="82"/>
        <w:snapToGrid/>
        <w:spacing w:line="460" w:lineRule="exact"/>
        <w:rPr>
          <w:rFonts w:asciiTheme="minorHAnsi" w:hAnsiTheme="minorHAnsi" w:eastAsiaTheme="minorEastAsia"/>
          <w:color w:val="auto"/>
          <w:szCs w:val="22"/>
        </w:rPr>
      </w:pPr>
      <w:r>
        <w:rPr>
          <w:rFonts w:hint="eastAsia" w:asciiTheme="minorHAnsi" w:hAnsiTheme="minorHAnsi" w:eastAsiaTheme="minorEastAsia"/>
          <w:color w:val="auto"/>
          <w:szCs w:val="22"/>
        </w:rPr>
        <w:t>根据上表划分结果，本项目土壤环境评价工作等级为三级，环境影响评价范围为项目占地范围内及占地范围外50m范围。</w:t>
      </w:r>
    </w:p>
    <w:p w14:paraId="06132836">
      <w:pPr>
        <w:pStyle w:val="8"/>
        <w:spacing w:line="460" w:lineRule="exact"/>
      </w:pPr>
      <w:r>
        <w:rPr>
          <w:rFonts w:hint="eastAsia"/>
        </w:rPr>
        <w:t>2</w:t>
      </w:r>
      <w:r>
        <w:t>.</w:t>
      </w:r>
      <w:r>
        <w:rPr>
          <w:rFonts w:hint="eastAsia"/>
        </w:rPr>
        <w:t>5.1</w:t>
      </w:r>
      <w:r>
        <w:t xml:space="preserve">.5 </w:t>
      </w:r>
      <w:r>
        <w:rPr>
          <w:rFonts w:hint="eastAsia"/>
        </w:rPr>
        <w:t>声环境评价工作等级</w:t>
      </w:r>
    </w:p>
    <w:p w14:paraId="042DD0CF">
      <w:pPr>
        <w:spacing w:line="460" w:lineRule="exact"/>
        <w:ind w:firstLine="480" w:firstLineChars="200"/>
      </w:pPr>
      <w:r>
        <w:rPr>
          <w:rFonts w:hint="eastAsia"/>
        </w:rPr>
        <w:t>本项目位于泗阳县穿城镇向阳村，属于《声环境质量标准》（GB3096-2008）中规定的1类区域，根据噪声预测结果，项目建设前后厂界噪声级增高量不足3dB（A），根据《环境影评价技术导则  声环境》（HJ/T2.4-2009）中规定，建设项目建设前后评价范围内敏感目标噪声级增高量在3dB（A）以下（不含3dB（A）），且受影响人口数量变化不大时，噪声评价等级可按二级评价，因此确定本项目声环境影响评价工作等级定为二级。</w:t>
      </w:r>
    </w:p>
    <w:p w14:paraId="233C2252">
      <w:pPr>
        <w:pStyle w:val="8"/>
        <w:spacing w:line="480" w:lineRule="exact"/>
      </w:pPr>
      <w:r>
        <w:rPr>
          <w:rFonts w:hint="eastAsia"/>
        </w:rPr>
        <w:t>2</w:t>
      </w:r>
      <w:r>
        <w:t>.</w:t>
      </w:r>
      <w:r>
        <w:rPr>
          <w:rFonts w:hint="eastAsia"/>
        </w:rPr>
        <w:t>5.1</w:t>
      </w:r>
      <w:r>
        <w:t xml:space="preserve">.6 </w:t>
      </w:r>
      <w:r>
        <w:rPr>
          <w:rFonts w:hint="eastAsia"/>
        </w:rPr>
        <w:t>环境风险评价工作等级</w:t>
      </w:r>
    </w:p>
    <w:p w14:paraId="10B0FE9C">
      <w:pPr>
        <w:adjustRightInd w:val="0"/>
        <w:snapToGrid w:val="0"/>
        <w:spacing w:line="480" w:lineRule="exact"/>
        <w:ind w:firstLine="480" w:firstLineChars="200"/>
        <w:rPr>
          <w:color w:val="000000" w:themeColor="text1"/>
          <w14:textFill>
            <w14:solidFill>
              <w14:schemeClr w14:val="tx1"/>
            </w14:solidFill>
          </w14:textFill>
        </w:rPr>
      </w:pPr>
      <w:r>
        <w:rPr>
          <w:rFonts w:ascii="Times New Roman" w:hAnsi="Times New Roman" w:eastAsia="宋体" w:cs="Times New Roman"/>
          <w:snapToGrid w:val="0"/>
          <w:color w:val="000000" w:themeColor="text1"/>
          <w:kern w:val="0"/>
          <w:szCs w:val="24"/>
          <w14:textFill>
            <w14:solidFill>
              <w14:schemeClr w14:val="tx1"/>
            </w14:solidFill>
          </w14:textFill>
        </w:rPr>
        <w:t>根据《建设项目环境风险评价技术导则》（HJ169-2018），本项目风险潜势为</w:t>
      </w:r>
      <w:r>
        <w:rPr>
          <w:rFonts w:ascii="Times New Roman" w:hAnsi="Times New Roman" w:eastAsia="宋体" w:cs="Times New Roman"/>
          <w:color w:val="000000" w:themeColor="text1"/>
          <w:szCs w:val="24"/>
          <w14:textFill>
            <w14:solidFill>
              <w14:schemeClr w14:val="tx1"/>
            </w14:solidFill>
          </w14:textFill>
        </w:rPr>
        <w:t>Ⅰ（详见3.</w:t>
      </w:r>
      <w:r>
        <w:rPr>
          <w:rFonts w:hint="eastAsia" w:ascii="Times New Roman" w:hAnsi="Times New Roman" w:eastAsia="宋体" w:cs="Times New Roman"/>
          <w:color w:val="000000" w:themeColor="text1"/>
          <w:szCs w:val="24"/>
          <w14:textFill>
            <w14:solidFill>
              <w14:schemeClr w14:val="tx1"/>
            </w14:solidFill>
          </w14:textFill>
        </w:rPr>
        <w:t>9.1</w:t>
      </w:r>
      <w:r>
        <w:rPr>
          <w:rFonts w:ascii="Times New Roman" w:hAnsi="Times New Roman" w:eastAsia="宋体" w:cs="Times New Roman"/>
          <w:color w:val="000000" w:themeColor="text1"/>
          <w:szCs w:val="24"/>
          <w14:textFill>
            <w14:solidFill>
              <w14:schemeClr w14:val="tx1"/>
            </w14:solidFill>
          </w14:textFill>
        </w:rPr>
        <w:t>章节）</w:t>
      </w:r>
      <w:r>
        <w:rPr>
          <w:rFonts w:ascii="Times New Roman" w:hAnsi="Times New Roman" w:cs="Times New Roman"/>
          <w:snapToGrid w:val="0"/>
          <w:color w:val="000000" w:themeColor="text1"/>
          <w:kern w:val="0"/>
          <w14:textFill>
            <w14:solidFill>
              <w14:schemeClr w14:val="tx1"/>
            </w14:solidFill>
          </w14:textFill>
        </w:rPr>
        <w:t>，评价工作级别确定详见表2.</w:t>
      </w:r>
      <w:r>
        <w:rPr>
          <w:rFonts w:hint="eastAsia" w:ascii="Times New Roman" w:hAnsi="Times New Roman" w:cs="Times New Roman"/>
          <w:snapToGrid w:val="0"/>
          <w:color w:val="000000" w:themeColor="text1"/>
          <w:kern w:val="0"/>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w:t>
      </w:r>
    </w:p>
    <w:p w14:paraId="38C983EE">
      <w:pPr>
        <w:pStyle w:val="31"/>
        <w:spacing w:before="0" w:line="480" w:lineRule="exact"/>
      </w:pPr>
      <w:r>
        <w:rPr>
          <w:rFonts w:hint="eastAsia"/>
        </w:rPr>
        <w:t>表2.5</w:t>
      </w:r>
      <w:r>
        <w:t>-8</w:t>
      </w:r>
      <w:r>
        <w:rPr>
          <w:rFonts w:hint="eastAsia"/>
        </w:rPr>
        <w:t xml:space="preserve">  环境风险评价等级划分</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855"/>
        <w:gridCol w:w="1857"/>
        <w:gridCol w:w="1857"/>
        <w:gridCol w:w="1861"/>
      </w:tblGrid>
      <w:tr w14:paraId="44BEFC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999" w:type="pct"/>
            <w:tcBorders>
              <w:top w:val="single" w:color="auto" w:sz="12" w:space="0"/>
              <w:left w:val="nil"/>
              <w:bottom w:val="single" w:color="auto" w:sz="4" w:space="0"/>
              <w:right w:val="single" w:color="auto" w:sz="4" w:space="0"/>
            </w:tcBorders>
            <w:vAlign w:val="center"/>
          </w:tcPr>
          <w:p w14:paraId="61CB15BD">
            <w:pPr>
              <w:pStyle w:val="61"/>
              <w:rPr>
                <w:lang w:val="zh-CN"/>
              </w:rPr>
            </w:pPr>
            <w:r>
              <w:rPr>
                <w:lang w:val="zh-CN"/>
              </w:rPr>
              <w:t>环境风险潜势</w:t>
            </w:r>
          </w:p>
        </w:tc>
        <w:tc>
          <w:tcPr>
            <w:tcW w:w="999" w:type="pct"/>
            <w:tcBorders>
              <w:top w:val="single" w:color="auto" w:sz="12" w:space="0"/>
              <w:left w:val="single" w:color="auto" w:sz="4" w:space="0"/>
              <w:bottom w:val="single" w:color="auto" w:sz="4" w:space="0"/>
              <w:right w:val="single" w:color="auto" w:sz="4" w:space="0"/>
            </w:tcBorders>
            <w:vAlign w:val="center"/>
          </w:tcPr>
          <w:p w14:paraId="125BF307">
            <w:pPr>
              <w:pStyle w:val="61"/>
              <w:rPr>
                <w:lang w:val="zh-CN"/>
              </w:rPr>
            </w:pPr>
            <w:r>
              <w:t>Ⅳ、Ⅳ</w:t>
            </w:r>
            <w:r>
              <w:rPr>
                <w:vertAlign w:val="superscript"/>
              </w:rPr>
              <w:t>+</w:t>
            </w:r>
          </w:p>
        </w:tc>
        <w:tc>
          <w:tcPr>
            <w:tcW w:w="1000" w:type="pct"/>
            <w:tcBorders>
              <w:top w:val="single" w:color="auto" w:sz="12" w:space="0"/>
              <w:left w:val="single" w:color="auto" w:sz="4" w:space="0"/>
              <w:bottom w:val="single" w:color="auto" w:sz="4" w:space="0"/>
              <w:right w:val="single" w:color="auto" w:sz="4" w:space="0"/>
            </w:tcBorders>
            <w:vAlign w:val="center"/>
          </w:tcPr>
          <w:p w14:paraId="11C1BB9E">
            <w:pPr>
              <w:pStyle w:val="61"/>
              <w:rPr>
                <w:lang w:val="zh-CN"/>
              </w:rPr>
            </w:pPr>
            <w:r>
              <w:rPr>
                <w:lang w:val="zh-CN"/>
              </w:rPr>
              <w:t>Ⅲ</w:t>
            </w:r>
          </w:p>
        </w:tc>
        <w:tc>
          <w:tcPr>
            <w:tcW w:w="1000" w:type="pct"/>
            <w:tcBorders>
              <w:top w:val="single" w:color="auto" w:sz="12" w:space="0"/>
              <w:left w:val="single" w:color="auto" w:sz="4" w:space="0"/>
              <w:bottom w:val="single" w:color="auto" w:sz="4" w:space="0"/>
              <w:right w:val="single" w:color="auto" w:sz="4" w:space="0"/>
            </w:tcBorders>
            <w:vAlign w:val="center"/>
          </w:tcPr>
          <w:p w14:paraId="1C1BA6F9">
            <w:pPr>
              <w:pStyle w:val="61"/>
              <w:rPr>
                <w:lang w:val="zh-CN"/>
              </w:rPr>
            </w:pPr>
            <w:r>
              <w:rPr>
                <w:lang w:val="zh-CN"/>
              </w:rPr>
              <w:t>Ⅱ</w:t>
            </w:r>
          </w:p>
        </w:tc>
        <w:tc>
          <w:tcPr>
            <w:tcW w:w="1000" w:type="pct"/>
            <w:tcBorders>
              <w:top w:val="single" w:color="auto" w:sz="12" w:space="0"/>
              <w:left w:val="single" w:color="auto" w:sz="4" w:space="0"/>
              <w:bottom w:val="single" w:color="auto" w:sz="4" w:space="0"/>
              <w:right w:val="nil"/>
            </w:tcBorders>
            <w:shd w:val="clear" w:color="auto" w:fill="BEBEBE" w:themeFill="background1" w:themeFillShade="BF"/>
            <w:vAlign w:val="center"/>
          </w:tcPr>
          <w:p w14:paraId="3C7A6E15">
            <w:pPr>
              <w:pStyle w:val="61"/>
              <w:rPr>
                <w:lang w:val="zh-CN"/>
              </w:rPr>
            </w:pPr>
            <w:r>
              <w:rPr>
                <w:lang w:val="zh-CN"/>
              </w:rPr>
              <w:t>Ⅰ</w:t>
            </w:r>
          </w:p>
        </w:tc>
      </w:tr>
      <w:tr w14:paraId="088F45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tcBorders>
              <w:top w:val="single" w:color="auto" w:sz="4" w:space="0"/>
              <w:left w:val="nil"/>
              <w:bottom w:val="single" w:color="auto" w:sz="4" w:space="0"/>
              <w:right w:val="single" w:color="auto" w:sz="4" w:space="0"/>
            </w:tcBorders>
            <w:vAlign w:val="center"/>
          </w:tcPr>
          <w:p w14:paraId="267FDBF6">
            <w:pPr>
              <w:pStyle w:val="61"/>
              <w:rPr>
                <w:lang w:val="zh-CN"/>
              </w:rPr>
            </w:pPr>
            <w:r>
              <w:rPr>
                <w:lang w:val="zh-CN"/>
              </w:rPr>
              <w:t>评价工作等级</w:t>
            </w:r>
          </w:p>
        </w:tc>
        <w:tc>
          <w:tcPr>
            <w:tcW w:w="999" w:type="pct"/>
            <w:tcBorders>
              <w:top w:val="single" w:color="auto" w:sz="4" w:space="0"/>
              <w:left w:val="single" w:color="auto" w:sz="4" w:space="0"/>
              <w:bottom w:val="single" w:color="auto" w:sz="4" w:space="0"/>
              <w:right w:val="single" w:color="auto" w:sz="4" w:space="0"/>
            </w:tcBorders>
            <w:vAlign w:val="center"/>
          </w:tcPr>
          <w:p w14:paraId="6CF4DC52">
            <w:pPr>
              <w:pStyle w:val="61"/>
              <w:rPr>
                <w:lang w:val="zh-CN"/>
              </w:rPr>
            </w:pPr>
            <w:r>
              <w:rPr>
                <w:lang w:val="zh-CN"/>
              </w:rPr>
              <w:t>一</w:t>
            </w:r>
          </w:p>
        </w:tc>
        <w:tc>
          <w:tcPr>
            <w:tcW w:w="1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BBD5896">
            <w:pPr>
              <w:pStyle w:val="61"/>
              <w:rPr>
                <w:lang w:val="zh-CN"/>
              </w:rPr>
            </w:pPr>
            <w:r>
              <w:rPr>
                <w:lang w:val="zh-CN"/>
              </w:rPr>
              <w:t>二</w:t>
            </w:r>
          </w:p>
        </w:tc>
        <w:tc>
          <w:tcPr>
            <w:tcW w:w="1000" w:type="pct"/>
            <w:tcBorders>
              <w:top w:val="single" w:color="auto" w:sz="4" w:space="0"/>
              <w:left w:val="single" w:color="auto" w:sz="4" w:space="0"/>
              <w:bottom w:val="single" w:color="auto" w:sz="4" w:space="0"/>
              <w:right w:val="single" w:color="auto" w:sz="4" w:space="0"/>
            </w:tcBorders>
            <w:vAlign w:val="center"/>
          </w:tcPr>
          <w:p w14:paraId="39A5C0DE">
            <w:pPr>
              <w:pStyle w:val="61"/>
              <w:rPr>
                <w:lang w:val="zh-CN"/>
              </w:rPr>
            </w:pPr>
            <w:r>
              <w:rPr>
                <w:lang w:val="zh-CN"/>
              </w:rPr>
              <w:t>三</w:t>
            </w:r>
          </w:p>
        </w:tc>
        <w:tc>
          <w:tcPr>
            <w:tcW w:w="1000" w:type="pct"/>
            <w:tcBorders>
              <w:top w:val="single" w:color="auto" w:sz="4" w:space="0"/>
              <w:left w:val="single" w:color="auto" w:sz="4" w:space="0"/>
              <w:bottom w:val="single" w:color="auto" w:sz="4" w:space="0"/>
              <w:right w:val="nil"/>
            </w:tcBorders>
            <w:shd w:val="clear" w:color="auto" w:fill="BEBEBE" w:themeFill="background1" w:themeFillShade="BF"/>
            <w:vAlign w:val="center"/>
          </w:tcPr>
          <w:p w14:paraId="7229AA79">
            <w:pPr>
              <w:pStyle w:val="61"/>
              <w:rPr>
                <w:lang w:val="zh-CN"/>
              </w:rPr>
            </w:pPr>
            <w:r>
              <w:rPr>
                <w:lang w:val="zh-CN"/>
              </w:rPr>
              <w:t>简单分析</w:t>
            </w:r>
            <w:r>
              <w:rPr>
                <w:vertAlign w:val="superscript"/>
                <w:lang w:val="zh-CN"/>
              </w:rPr>
              <w:t>a</w:t>
            </w:r>
          </w:p>
        </w:tc>
      </w:tr>
      <w:tr w14:paraId="3ED14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op w:val="single" w:color="auto" w:sz="4" w:space="0"/>
              <w:left w:val="nil"/>
              <w:bottom w:val="single" w:color="auto" w:sz="12" w:space="0"/>
              <w:right w:val="nil"/>
            </w:tcBorders>
            <w:vAlign w:val="center"/>
          </w:tcPr>
          <w:p w14:paraId="067FED52">
            <w:pPr>
              <w:pStyle w:val="61"/>
              <w:jc w:val="both"/>
              <w:rPr>
                <w:lang w:val="zh-CN"/>
              </w:rPr>
            </w:pPr>
            <w:r>
              <w:rPr>
                <w:vertAlign w:val="superscript"/>
                <w:lang w:val="zh-CN"/>
              </w:rPr>
              <w:t>a</w:t>
            </w:r>
            <w:r>
              <w:rPr>
                <w:lang w:val="zh-CN"/>
              </w:rPr>
              <w:t>是相对于详细评价工作内容而言，在描述危险物质、环境影响途径、环境危害后果、风险防范措施等方面给出定性的说明。</w:t>
            </w:r>
          </w:p>
        </w:tc>
      </w:tr>
    </w:tbl>
    <w:p w14:paraId="4C325586">
      <w:pPr>
        <w:spacing w:line="460" w:lineRule="exact"/>
        <w:ind w:firstLine="480" w:firstLineChars="200"/>
      </w:pPr>
      <w:r>
        <w:rPr>
          <w:rFonts w:hint="eastAsia"/>
        </w:rPr>
        <w:t>由上表可知：本项目风险评价等级为简单分析。</w:t>
      </w:r>
    </w:p>
    <w:p w14:paraId="21AE12AA">
      <w:pPr>
        <w:pStyle w:val="8"/>
        <w:spacing w:line="460" w:lineRule="exact"/>
      </w:pPr>
      <w:r>
        <w:rPr>
          <w:rFonts w:hint="eastAsia"/>
        </w:rPr>
        <w:t>2</w:t>
      </w:r>
      <w:r>
        <w:t>.</w:t>
      </w:r>
      <w:r>
        <w:rPr>
          <w:rFonts w:hint="eastAsia"/>
        </w:rPr>
        <w:t>5.1</w:t>
      </w:r>
      <w:r>
        <w:t xml:space="preserve">.7 </w:t>
      </w:r>
      <w:r>
        <w:rPr>
          <w:rFonts w:hint="eastAsia"/>
        </w:rPr>
        <w:t>生态环境评价工作等级</w:t>
      </w:r>
    </w:p>
    <w:p w14:paraId="3A758562">
      <w:pPr>
        <w:pStyle w:val="91"/>
        <w:spacing w:line="460" w:lineRule="exact"/>
        <w:ind w:firstLine="480"/>
      </w:pPr>
      <w:r>
        <w:rPr>
          <w:rFonts w:hint="eastAsia" w:cs="Times New Roman"/>
        </w:rPr>
        <w:t>本项目位于</w:t>
      </w:r>
      <w:r>
        <w:rPr>
          <w:rFonts w:hint="eastAsia"/>
        </w:rPr>
        <w:t>泗阳县穿城镇向阳村</w:t>
      </w:r>
      <w:r>
        <w:rPr>
          <w:rFonts w:hint="eastAsia" w:cs="Times New Roman"/>
          <w:color w:val="auto"/>
          <w:szCs w:val="24"/>
        </w:rPr>
        <w:t>，本</w:t>
      </w:r>
      <w:bookmarkStart w:id="28" w:name="OLE_LINK14"/>
      <w:r>
        <w:rPr>
          <w:rFonts w:hint="eastAsia" w:cs="Times New Roman"/>
          <w:color w:val="auto"/>
          <w:szCs w:val="24"/>
        </w:rPr>
        <w:t>项目是在原泗阳县张家圩江泰生猪养殖场基础上重新建设，</w:t>
      </w:r>
      <w:bookmarkEnd w:id="28"/>
      <w:r>
        <w:rPr>
          <w:rFonts w:hint="eastAsia" w:cs="Times New Roman"/>
          <w:color w:val="auto"/>
          <w:szCs w:val="24"/>
        </w:rPr>
        <w:t>不新增用地，项目用地性质属于设施农用地，不属于永久农田，不涉及生态敏感区。</w:t>
      </w:r>
      <w:r>
        <w:rPr>
          <w:rFonts w:hint="eastAsia"/>
          <w:color w:val="auto"/>
          <w:kern w:val="0"/>
          <w:szCs w:val="24"/>
        </w:rPr>
        <w:t>本项目为污染影响类项目，项目对生态环境的影响主要体现在项目工程建设阶段。</w:t>
      </w:r>
      <w:r>
        <w:rPr>
          <w:rFonts w:hint="eastAsia" w:cs="Times New Roman"/>
          <w:color w:val="auto"/>
          <w:szCs w:val="24"/>
        </w:rPr>
        <w:t>根据《环境影响评价技术导则 生态影响》（HJ19-2022）中的规定，本项目属于不涉及生态敏感区的污染影响类建设项目且在原场地范围内进行建设，故项目生态影响评价工作不用确定评价等级，直接进行生态影响简单分析。</w:t>
      </w:r>
    </w:p>
    <w:p w14:paraId="4BDC8F5C">
      <w:pPr>
        <w:pStyle w:val="7"/>
        <w:spacing w:line="460" w:lineRule="exact"/>
      </w:pPr>
      <w:r>
        <w:rPr>
          <w:rFonts w:hint="eastAsia"/>
        </w:rPr>
        <w:t>2</w:t>
      </w:r>
      <w:r>
        <w:t>.</w:t>
      </w:r>
      <w:r>
        <w:rPr>
          <w:rFonts w:hint="eastAsia"/>
        </w:rPr>
        <w:t>5</w:t>
      </w:r>
      <w:r>
        <w:t>.</w:t>
      </w:r>
      <w:r>
        <w:rPr>
          <w:rFonts w:hint="eastAsia"/>
        </w:rPr>
        <w:t>2</w:t>
      </w:r>
      <w:r>
        <w:t xml:space="preserve"> </w:t>
      </w:r>
      <w:r>
        <w:rPr>
          <w:rFonts w:hint="eastAsia"/>
        </w:rPr>
        <w:t>评价重点</w:t>
      </w:r>
    </w:p>
    <w:p w14:paraId="02218A4C">
      <w:pPr>
        <w:spacing w:line="460" w:lineRule="exact"/>
        <w:ind w:firstLine="480" w:firstLineChars="200"/>
      </w:pPr>
      <w:r>
        <w:rPr>
          <w:rFonts w:hint="eastAsia"/>
        </w:rPr>
        <w:t>根据本项目的环境影响特征和项目所处区域的环境现状情况，结合当前环保管理的有关要求，确定本次评价重点如下：</w:t>
      </w:r>
    </w:p>
    <w:p w14:paraId="31F12A42">
      <w:pPr>
        <w:keepNext w:val="0"/>
        <w:keepLines w:val="0"/>
        <w:pageBreakBefore w:val="0"/>
        <w:widowControl w:val="0"/>
        <w:kinsoku/>
        <w:wordWrap/>
        <w:overflowPunct/>
        <w:topLinePunct w:val="0"/>
        <w:bidi w:val="0"/>
        <w:snapToGrid/>
        <w:spacing w:line="500" w:lineRule="exact"/>
        <w:ind w:firstLine="480" w:firstLineChars="200"/>
        <w:textAlignment w:val="auto"/>
      </w:pPr>
      <w:r>
        <w:rPr>
          <w:rFonts w:hint="eastAsia"/>
        </w:rPr>
        <w:t>（1）突出工程分析，搞清生产过程中各类污染物的排放点、排放规律及排放量，为影响评价打好基础，为搞好污染防治提供依据。在工程分析的基础上，重点预测评价该工程对环境空气的影响，保证预测结果的可靠性；重点评价该工程废水处理工艺可行性。</w:t>
      </w:r>
    </w:p>
    <w:p w14:paraId="271D35F1">
      <w:pPr>
        <w:keepNext w:val="0"/>
        <w:keepLines w:val="0"/>
        <w:pageBreakBefore w:val="0"/>
        <w:widowControl w:val="0"/>
        <w:kinsoku/>
        <w:wordWrap/>
        <w:overflowPunct/>
        <w:topLinePunct w:val="0"/>
        <w:bidi w:val="0"/>
        <w:snapToGrid/>
        <w:spacing w:line="500" w:lineRule="exact"/>
        <w:ind w:firstLine="480" w:firstLineChars="200"/>
        <w:textAlignment w:val="auto"/>
      </w:pPr>
      <w:r>
        <w:rPr>
          <w:rFonts w:hint="eastAsia"/>
        </w:rPr>
        <w:t>（2）针对本项目的工艺特点，分析其工艺的先进性。从经济、技术、环境三个方面，对项目的污染防治措施进行评价，在此基础上，提出进一步的对策建议。</w:t>
      </w:r>
    </w:p>
    <w:p w14:paraId="380A1EBB">
      <w:pPr>
        <w:keepNext w:val="0"/>
        <w:keepLines w:val="0"/>
        <w:pageBreakBefore w:val="0"/>
        <w:widowControl w:val="0"/>
        <w:kinsoku/>
        <w:wordWrap/>
        <w:overflowPunct/>
        <w:topLinePunct w:val="0"/>
        <w:bidi w:val="0"/>
        <w:snapToGrid/>
        <w:spacing w:line="500" w:lineRule="exact"/>
        <w:ind w:firstLine="480" w:firstLineChars="200"/>
        <w:textAlignment w:val="auto"/>
      </w:pPr>
      <w:r>
        <w:rPr>
          <w:rFonts w:hint="eastAsia"/>
        </w:rPr>
        <w:t>（3）结合本工程污染防治措施、周围环境特点、环境影响预测结论及公众参与意见，认真分析本项目环境可行性。</w:t>
      </w:r>
    </w:p>
    <w:p w14:paraId="100491B5">
      <w:pPr>
        <w:keepNext w:val="0"/>
        <w:keepLines w:val="0"/>
        <w:pageBreakBefore w:val="0"/>
        <w:widowControl w:val="0"/>
        <w:kinsoku/>
        <w:wordWrap/>
        <w:overflowPunct/>
        <w:topLinePunct w:val="0"/>
        <w:autoSpaceDE w:val="0"/>
        <w:autoSpaceDN w:val="0"/>
        <w:bidi w:val="0"/>
        <w:adjustRightInd w:val="0"/>
        <w:snapToGrid/>
        <w:spacing w:line="500" w:lineRule="exact"/>
        <w:ind w:firstLine="480"/>
        <w:jc w:val="left"/>
        <w:textAlignment w:val="auto"/>
        <w:rPr>
          <w:rFonts w:ascii="Times New Roman"/>
          <w:color w:val="000000"/>
          <w:szCs w:val="24"/>
        </w:rPr>
      </w:pPr>
      <w:r>
        <w:rPr>
          <w:rFonts w:ascii="Times New Roman"/>
          <w:color w:val="000000"/>
          <w:szCs w:val="24"/>
        </w:rPr>
        <w:t>建设项目的环境影响评价等级汇总于表2.</w:t>
      </w:r>
      <w:r>
        <w:rPr>
          <w:rFonts w:hint="eastAsia" w:ascii="Times New Roman"/>
          <w:color w:val="000000"/>
          <w:szCs w:val="24"/>
        </w:rPr>
        <w:t>5-9</w:t>
      </w:r>
      <w:r>
        <w:rPr>
          <w:rFonts w:ascii="Times New Roman"/>
          <w:color w:val="000000"/>
          <w:szCs w:val="24"/>
        </w:rPr>
        <w:t>。</w:t>
      </w:r>
    </w:p>
    <w:p w14:paraId="4A742CBB">
      <w:pPr>
        <w:pStyle w:val="2"/>
        <w:keepNext w:val="0"/>
        <w:keepLines w:val="0"/>
        <w:pageBreakBefore w:val="0"/>
        <w:widowControl w:val="0"/>
        <w:kinsoku/>
        <w:wordWrap/>
        <w:overflowPunct/>
        <w:topLinePunct w:val="0"/>
        <w:bidi w:val="0"/>
        <w:snapToGrid/>
        <w:spacing w:after="0" w:line="500" w:lineRule="exact"/>
        <w:jc w:val="center"/>
        <w:textAlignment w:val="auto"/>
        <w:rPr>
          <w:rFonts w:ascii="Times New Roman" w:hAnsi="Times New Roman"/>
          <w:b/>
          <w:color w:val="000000"/>
          <w:sz w:val="24"/>
          <w:szCs w:val="24"/>
        </w:rPr>
      </w:pPr>
      <w:r>
        <w:rPr>
          <w:rFonts w:ascii="Times New Roman" w:hAnsi="Times New Roman"/>
          <w:b/>
          <w:color w:val="000000"/>
          <w:sz w:val="24"/>
          <w:szCs w:val="24"/>
        </w:rPr>
        <w:t>表2.</w:t>
      </w:r>
      <w:r>
        <w:rPr>
          <w:rFonts w:hint="eastAsia" w:ascii="Times New Roman" w:hAnsi="Times New Roman"/>
          <w:b/>
          <w:color w:val="000000"/>
          <w:sz w:val="24"/>
          <w:szCs w:val="24"/>
        </w:rPr>
        <w:t>5-</w:t>
      </w:r>
      <w:r>
        <w:rPr>
          <w:rFonts w:hint="eastAsia" w:ascii="Times New Roman" w:hAnsi="Times New Roman"/>
          <w:b/>
          <w:color w:val="000000"/>
          <w:sz w:val="24"/>
          <w:szCs w:val="24"/>
          <w:lang w:val="en-US"/>
        </w:rPr>
        <w:t>9</w:t>
      </w:r>
      <w:r>
        <w:rPr>
          <w:rFonts w:ascii="Times New Roman" w:hAnsi="Times New Roman"/>
          <w:b/>
          <w:color w:val="000000"/>
          <w:sz w:val="24"/>
          <w:szCs w:val="24"/>
        </w:rPr>
        <w:t xml:space="preserve"> 生态影响评价工作等级划分表</w:t>
      </w:r>
    </w:p>
    <w:tbl>
      <w:tblPr>
        <w:tblStyle w:val="41"/>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1225"/>
        <w:gridCol w:w="1225"/>
        <w:gridCol w:w="1229"/>
        <w:gridCol w:w="1084"/>
        <w:gridCol w:w="853"/>
        <w:gridCol w:w="1224"/>
        <w:gridCol w:w="1223"/>
      </w:tblGrid>
      <w:tr w14:paraId="024D61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exact"/>
        </w:trPr>
        <w:tc>
          <w:tcPr>
            <w:tcW w:w="659" w:type="pct"/>
            <w:noWrap/>
            <w:vAlign w:val="center"/>
          </w:tcPr>
          <w:p w14:paraId="45A23632">
            <w:pPr>
              <w:autoSpaceDE w:val="0"/>
              <w:autoSpaceDN w:val="0"/>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类别</w:t>
            </w:r>
          </w:p>
        </w:tc>
        <w:tc>
          <w:tcPr>
            <w:tcW w:w="659" w:type="pct"/>
            <w:noWrap/>
            <w:vAlign w:val="center"/>
          </w:tcPr>
          <w:p w14:paraId="33E6E635">
            <w:pPr>
              <w:autoSpaceDE w:val="0"/>
              <w:autoSpaceDN w:val="0"/>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大气</w:t>
            </w:r>
          </w:p>
        </w:tc>
        <w:tc>
          <w:tcPr>
            <w:tcW w:w="659" w:type="pct"/>
            <w:noWrap/>
            <w:vAlign w:val="center"/>
          </w:tcPr>
          <w:p w14:paraId="06AAD1CD">
            <w:pPr>
              <w:autoSpaceDE w:val="0"/>
              <w:autoSpaceDN w:val="0"/>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地表水</w:t>
            </w:r>
          </w:p>
        </w:tc>
        <w:tc>
          <w:tcPr>
            <w:tcW w:w="661" w:type="pct"/>
            <w:noWrap/>
            <w:vAlign w:val="center"/>
          </w:tcPr>
          <w:p w14:paraId="0E4C4C63">
            <w:pPr>
              <w:autoSpaceDE w:val="0"/>
              <w:autoSpaceDN w:val="0"/>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地下水</w:t>
            </w:r>
          </w:p>
        </w:tc>
        <w:tc>
          <w:tcPr>
            <w:tcW w:w="583" w:type="pct"/>
            <w:noWrap/>
            <w:vAlign w:val="center"/>
          </w:tcPr>
          <w:p w14:paraId="186D57B8">
            <w:pPr>
              <w:autoSpaceDE w:val="0"/>
              <w:autoSpaceDN w:val="0"/>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噪声</w:t>
            </w:r>
          </w:p>
        </w:tc>
        <w:tc>
          <w:tcPr>
            <w:tcW w:w="459" w:type="pct"/>
            <w:noWrap/>
            <w:vAlign w:val="center"/>
          </w:tcPr>
          <w:p w14:paraId="13554F37">
            <w:pPr>
              <w:autoSpaceDE w:val="0"/>
              <w:autoSpaceDN w:val="0"/>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土壤</w:t>
            </w:r>
          </w:p>
        </w:tc>
        <w:tc>
          <w:tcPr>
            <w:tcW w:w="658" w:type="pct"/>
            <w:noWrap/>
            <w:vAlign w:val="center"/>
          </w:tcPr>
          <w:p w14:paraId="194E20DE">
            <w:pPr>
              <w:autoSpaceDE w:val="0"/>
              <w:autoSpaceDN w:val="0"/>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环境风险</w:t>
            </w:r>
          </w:p>
        </w:tc>
        <w:tc>
          <w:tcPr>
            <w:tcW w:w="657" w:type="pct"/>
            <w:noWrap/>
            <w:vAlign w:val="center"/>
          </w:tcPr>
          <w:p w14:paraId="6FBBF1D3">
            <w:pPr>
              <w:autoSpaceDE w:val="0"/>
              <w:autoSpaceDN w:val="0"/>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生态</w:t>
            </w:r>
          </w:p>
        </w:tc>
      </w:tr>
      <w:tr w14:paraId="5ADF94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59" w:type="pct"/>
            <w:noWrap/>
            <w:vAlign w:val="center"/>
          </w:tcPr>
          <w:p w14:paraId="30219982">
            <w:pPr>
              <w:autoSpaceDE w:val="0"/>
              <w:autoSpaceDN w:val="0"/>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评价等级</w:t>
            </w:r>
          </w:p>
        </w:tc>
        <w:tc>
          <w:tcPr>
            <w:tcW w:w="659" w:type="pct"/>
            <w:noWrap/>
            <w:vAlign w:val="center"/>
          </w:tcPr>
          <w:p w14:paraId="758246D2">
            <w:pPr>
              <w:autoSpaceDE w:val="0"/>
              <w:autoSpaceDN w:val="0"/>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二级</w:t>
            </w:r>
          </w:p>
        </w:tc>
        <w:tc>
          <w:tcPr>
            <w:tcW w:w="659" w:type="pct"/>
            <w:noWrap/>
            <w:vAlign w:val="center"/>
          </w:tcPr>
          <w:p w14:paraId="7D00B5B6">
            <w:pPr>
              <w:autoSpaceDE w:val="0"/>
              <w:autoSpaceDN w:val="0"/>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三级B</w:t>
            </w:r>
          </w:p>
        </w:tc>
        <w:tc>
          <w:tcPr>
            <w:tcW w:w="661" w:type="pct"/>
            <w:noWrap/>
            <w:vAlign w:val="center"/>
          </w:tcPr>
          <w:p w14:paraId="3F05F4F4">
            <w:pPr>
              <w:autoSpaceDE w:val="0"/>
              <w:autoSpaceDN w:val="0"/>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三级</w:t>
            </w:r>
          </w:p>
        </w:tc>
        <w:tc>
          <w:tcPr>
            <w:tcW w:w="583" w:type="pct"/>
            <w:noWrap/>
            <w:vAlign w:val="center"/>
          </w:tcPr>
          <w:p w14:paraId="1B395949">
            <w:pPr>
              <w:autoSpaceDE w:val="0"/>
              <w:autoSpaceDN w:val="0"/>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二</w:t>
            </w:r>
            <w:r>
              <w:rPr>
                <w:rFonts w:ascii="Times New Roman" w:eastAsia="宋体"/>
                <w:color w:val="000000"/>
                <w:sz w:val="21"/>
                <w:szCs w:val="21"/>
              </w:rPr>
              <w:t>级</w:t>
            </w:r>
          </w:p>
        </w:tc>
        <w:tc>
          <w:tcPr>
            <w:tcW w:w="459" w:type="pct"/>
            <w:noWrap/>
            <w:vAlign w:val="center"/>
          </w:tcPr>
          <w:p w14:paraId="1590419C">
            <w:pPr>
              <w:autoSpaceDE w:val="0"/>
              <w:autoSpaceDN w:val="0"/>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三</w:t>
            </w:r>
            <w:r>
              <w:rPr>
                <w:rFonts w:ascii="Times New Roman" w:eastAsia="宋体"/>
                <w:color w:val="000000"/>
                <w:sz w:val="21"/>
                <w:szCs w:val="21"/>
              </w:rPr>
              <w:t>级</w:t>
            </w:r>
          </w:p>
        </w:tc>
        <w:tc>
          <w:tcPr>
            <w:tcW w:w="658" w:type="pct"/>
            <w:noWrap/>
            <w:vAlign w:val="center"/>
          </w:tcPr>
          <w:p w14:paraId="011A2AF7">
            <w:pPr>
              <w:autoSpaceDE w:val="0"/>
              <w:autoSpaceDN w:val="0"/>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简单分析</w:t>
            </w:r>
          </w:p>
        </w:tc>
        <w:tc>
          <w:tcPr>
            <w:tcW w:w="657" w:type="pct"/>
            <w:noWrap/>
            <w:vAlign w:val="center"/>
          </w:tcPr>
          <w:p w14:paraId="5FABD867">
            <w:pPr>
              <w:autoSpaceDE w:val="0"/>
              <w:autoSpaceDN w:val="0"/>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简单分析</w:t>
            </w:r>
          </w:p>
        </w:tc>
      </w:tr>
    </w:tbl>
    <w:p w14:paraId="61B715C4">
      <w:pPr>
        <w:pStyle w:val="4"/>
        <w:pageBreakBefore w:val="0"/>
        <w:widowControl w:val="0"/>
        <w:kinsoku/>
        <w:wordWrap/>
        <w:overflowPunct/>
        <w:topLinePunct w:val="0"/>
        <w:autoSpaceDE/>
        <w:autoSpaceDN/>
        <w:bidi w:val="0"/>
        <w:snapToGrid/>
        <w:spacing w:after="0" w:line="500" w:lineRule="exact"/>
        <w:jc w:val="both"/>
        <w:textAlignment w:val="auto"/>
        <w:rPr>
          <w:color w:val="000000" w:themeColor="text1"/>
          <w14:textFill>
            <w14:solidFill>
              <w14:schemeClr w14:val="tx1"/>
            </w14:solidFill>
          </w14:textFill>
        </w:rPr>
      </w:pPr>
      <w:bookmarkStart w:id="29" w:name="_Toc24693"/>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评价范围和环境保护目标</w:t>
      </w:r>
      <w:bookmarkEnd w:id="29"/>
    </w:p>
    <w:p w14:paraId="44245EA8">
      <w:pPr>
        <w:pStyle w:val="7"/>
        <w:pageBreakBefore w:val="0"/>
        <w:widowControl w:val="0"/>
        <w:kinsoku/>
        <w:wordWrap/>
        <w:overflowPunct/>
        <w:topLinePunct w:val="0"/>
        <w:autoSpaceDE/>
        <w:autoSpaceDN/>
        <w:bidi w:val="0"/>
        <w:snapToGrid/>
        <w:spacing w:line="50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评价范围</w:t>
      </w:r>
    </w:p>
    <w:p w14:paraId="4A3A403E">
      <w:pPr>
        <w:pageBreakBefore w:val="0"/>
        <w:widowControl w:val="0"/>
        <w:kinsoku/>
        <w:wordWrap/>
        <w:overflowPunct/>
        <w:topLinePunct w:val="0"/>
        <w:autoSpaceDE/>
        <w:autoSpaceDN/>
        <w:bidi w:val="0"/>
        <w:adjustRightInd w:val="0"/>
        <w:snapToGrid/>
        <w:spacing w:line="500" w:lineRule="exact"/>
        <w:ind w:firstLine="480" w:firstLineChars="200"/>
        <w:textAlignment w:val="auto"/>
        <w:rPr>
          <w:rFonts w:ascii="Times New Roman"/>
          <w:color w:val="000000" w:themeColor="text1"/>
          <w:szCs w:val="24"/>
          <w14:textFill>
            <w14:solidFill>
              <w14:schemeClr w14:val="tx1"/>
            </w14:solidFill>
          </w14:textFill>
        </w:rPr>
      </w:pPr>
      <w:r>
        <w:rPr>
          <w:rFonts w:ascii="Times New Roman" w:hAnsi="宋体"/>
          <w:color w:val="000000" w:themeColor="text1"/>
          <w:szCs w:val="24"/>
          <w14:textFill>
            <w14:solidFill>
              <w14:schemeClr w14:val="tx1"/>
            </w14:solidFill>
          </w14:textFill>
        </w:rPr>
        <w:t>根据建设项目污染物排放特点及当地气象条件、自然环境状况</w:t>
      </w:r>
      <w:r>
        <w:rPr>
          <w:rFonts w:hint="eastAsia" w:ascii="Times New Roman" w:hAnsi="宋体"/>
          <w:color w:val="000000" w:themeColor="text1"/>
          <w:szCs w:val="24"/>
          <w14:textFill>
            <w14:solidFill>
              <w14:schemeClr w14:val="tx1"/>
            </w14:solidFill>
          </w14:textFill>
        </w:rPr>
        <w:t>，</w:t>
      </w:r>
      <w:r>
        <w:rPr>
          <w:rFonts w:ascii="Times New Roman" w:hAnsi="宋体"/>
          <w:color w:val="000000" w:themeColor="text1"/>
          <w:szCs w:val="24"/>
          <w14:textFill>
            <w14:solidFill>
              <w14:schemeClr w14:val="tx1"/>
            </w14:solidFill>
          </w14:textFill>
        </w:rPr>
        <w:t>确定各环境要素评价范围，</w:t>
      </w:r>
      <w:r>
        <w:rPr>
          <w:rFonts w:hint="eastAsia" w:ascii="Times New Roman" w:hAnsi="宋体"/>
          <w:color w:val="000000" w:themeColor="text1"/>
          <w:szCs w:val="24"/>
          <w14:textFill>
            <w14:solidFill>
              <w14:schemeClr w14:val="tx1"/>
            </w14:solidFill>
          </w14:textFill>
        </w:rPr>
        <w:t>详</w:t>
      </w:r>
      <w:r>
        <w:rPr>
          <w:rFonts w:ascii="Times New Roman" w:hAnsi="宋体"/>
          <w:color w:val="000000" w:themeColor="text1"/>
          <w:szCs w:val="24"/>
          <w14:textFill>
            <w14:solidFill>
              <w14:schemeClr w14:val="tx1"/>
            </w14:solidFill>
          </w14:textFill>
        </w:rPr>
        <w:t>见表</w:t>
      </w:r>
      <w:r>
        <w:rPr>
          <w:rFonts w:ascii="Times New Roman"/>
          <w:color w:val="000000" w:themeColor="text1"/>
          <w:szCs w:val="24"/>
          <w14:textFill>
            <w14:solidFill>
              <w14:schemeClr w14:val="tx1"/>
            </w14:solidFill>
          </w14:textFill>
        </w:rPr>
        <w:t>2.6-1</w:t>
      </w:r>
      <w:r>
        <w:rPr>
          <w:rFonts w:ascii="Times New Roman" w:hAnsi="宋体"/>
          <w:color w:val="000000" w:themeColor="text1"/>
          <w:szCs w:val="24"/>
          <w14:textFill>
            <w14:solidFill>
              <w14:schemeClr w14:val="tx1"/>
            </w14:solidFill>
          </w14:textFill>
        </w:rPr>
        <w:t>。</w:t>
      </w:r>
    </w:p>
    <w:p w14:paraId="2658D405">
      <w:pPr>
        <w:pageBreakBefore w:val="0"/>
        <w:widowControl w:val="0"/>
        <w:kinsoku/>
        <w:wordWrap/>
        <w:overflowPunct/>
        <w:topLinePunct w:val="0"/>
        <w:autoSpaceDE/>
        <w:autoSpaceDN/>
        <w:bidi w:val="0"/>
        <w:adjustRightInd w:val="0"/>
        <w:snapToGrid/>
        <w:spacing w:line="500" w:lineRule="exact"/>
        <w:jc w:val="center"/>
        <w:textAlignment w:val="auto"/>
        <w:rPr>
          <w:rFonts w:ascii="Times New Roman"/>
          <w:color w:val="000000" w:themeColor="text1"/>
          <w:szCs w:val="24"/>
          <w14:textFill>
            <w14:solidFill>
              <w14:schemeClr w14:val="tx1"/>
            </w14:solidFill>
          </w14:textFill>
        </w:rPr>
      </w:pPr>
      <w:r>
        <w:rPr>
          <w:rFonts w:ascii="Times New Roman" w:hAnsi="宋体"/>
          <w:b/>
          <w:bCs/>
          <w:color w:val="000000" w:themeColor="text1"/>
          <w:szCs w:val="24"/>
          <w14:textFill>
            <w14:solidFill>
              <w14:schemeClr w14:val="tx1"/>
            </w14:solidFill>
          </w14:textFill>
        </w:rPr>
        <w:t>表</w:t>
      </w:r>
      <w:r>
        <w:rPr>
          <w:rFonts w:ascii="Times New Roman"/>
          <w:b/>
          <w:bCs/>
          <w:color w:val="000000" w:themeColor="text1"/>
          <w:szCs w:val="24"/>
          <w14:textFill>
            <w14:solidFill>
              <w14:schemeClr w14:val="tx1"/>
            </w14:solidFill>
          </w14:textFill>
        </w:rPr>
        <w:t xml:space="preserve">2.6-1  </w:t>
      </w:r>
      <w:r>
        <w:rPr>
          <w:rFonts w:ascii="Times New Roman" w:hAnsi="宋体"/>
          <w:b/>
          <w:bCs/>
          <w:color w:val="000000" w:themeColor="text1"/>
          <w:szCs w:val="24"/>
          <w14:textFill>
            <w14:solidFill>
              <w14:schemeClr w14:val="tx1"/>
            </w14:solidFill>
          </w14:textFill>
        </w:rPr>
        <w:t>项目环境影响评价范围一览表</w:t>
      </w:r>
    </w:p>
    <w:tbl>
      <w:tblPr>
        <w:tblStyle w:val="4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549"/>
        <w:gridCol w:w="6739"/>
      </w:tblGrid>
      <w:tr w14:paraId="0E15B3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372" w:type="pct"/>
            <w:tcBorders>
              <w:left w:val="nil"/>
            </w:tcBorders>
            <w:vAlign w:val="center"/>
          </w:tcPr>
          <w:p w14:paraId="4F8D6B23">
            <w:pPr>
              <w:pStyle w:val="6"/>
              <w:adjustRightInd w:val="0"/>
              <w:snapToGrid w:val="0"/>
              <w:spacing w:line="280" w:lineRule="exact"/>
              <w:jc w:val="center"/>
              <w:rPr>
                <w:rFonts w:ascii="Times New Roman" w:hAnsi="Times New Roman" w:eastAsia="宋体" w:cs="Times New Roman"/>
                <w:sz w:val="21"/>
                <w:szCs w:val="21"/>
              </w:rPr>
            </w:pPr>
            <w:r>
              <w:rPr>
                <w:rFonts w:ascii="Times New Roman" w:hAnsi="宋体" w:eastAsia="宋体" w:cs="Times New Roman"/>
                <w:sz w:val="21"/>
                <w:szCs w:val="21"/>
              </w:rPr>
              <w:t>评价内容</w:t>
            </w:r>
          </w:p>
        </w:tc>
        <w:tc>
          <w:tcPr>
            <w:tcW w:w="3627" w:type="pct"/>
            <w:tcBorders>
              <w:right w:val="nil"/>
            </w:tcBorders>
            <w:vAlign w:val="center"/>
          </w:tcPr>
          <w:p w14:paraId="7FC344C8">
            <w:pPr>
              <w:pStyle w:val="6"/>
              <w:adjustRightInd w:val="0"/>
              <w:snapToGrid w:val="0"/>
              <w:spacing w:line="280" w:lineRule="exact"/>
              <w:jc w:val="center"/>
              <w:rPr>
                <w:rFonts w:ascii="Times New Roman" w:hAnsi="Times New Roman" w:eastAsia="宋体" w:cs="Times New Roman"/>
                <w:sz w:val="21"/>
                <w:szCs w:val="21"/>
              </w:rPr>
            </w:pPr>
            <w:r>
              <w:rPr>
                <w:rFonts w:ascii="Times New Roman" w:hAnsi="宋体" w:eastAsia="宋体" w:cs="Times New Roman"/>
                <w:sz w:val="21"/>
                <w:szCs w:val="21"/>
              </w:rPr>
              <w:t>评价范围</w:t>
            </w:r>
          </w:p>
        </w:tc>
      </w:tr>
      <w:tr w14:paraId="084AE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372" w:type="pct"/>
            <w:tcBorders>
              <w:left w:val="nil"/>
            </w:tcBorders>
            <w:vAlign w:val="center"/>
          </w:tcPr>
          <w:p w14:paraId="76F8675E">
            <w:pPr>
              <w:pStyle w:val="6"/>
              <w:adjustRightInd w:val="0"/>
              <w:snapToGrid w:val="0"/>
              <w:spacing w:line="280" w:lineRule="exact"/>
              <w:jc w:val="center"/>
              <w:rPr>
                <w:rFonts w:ascii="Times New Roman" w:hAnsi="Times New Roman" w:eastAsia="宋体" w:cs="Times New Roman"/>
                <w:sz w:val="21"/>
                <w:szCs w:val="21"/>
              </w:rPr>
            </w:pPr>
            <w:r>
              <w:rPr>
                <w:rFonts w:ascii="Times New Roman" w:hAnsi="宋体" w:eastAsia="宋体" w:cs="Times New Roman"/>
                <w:sz w:val="21"/>
                <w:szCs w:val="21"/>
              </w:rPr>
              <w:t>区域污染源</w:t>
            </w:r>
          </w:p>
        </w:tc>
        <w:tc>
          <w:tcPr>
            <w:tcW w:w="3627" w:type="pct"/>
            <w:tcBorders>
              <w:right w:val="nil"/>
            </w:tcBorders>
            <w:vAlign w:val="center"/>
          </w:tcPr>
          <w:p w14:paraId="1403390C">
            <w:pPr>
              <w:pStyle w:val="6"/>
              <w:adjustRightInd w:val="0"/>
              <w:snapToGrid w:val="0"/>
              <w:spacing w:line="280" w:lineRule="exact"/>
              <w:jc w:val="center"/>
              <w:rPr>
                <w:rFonts w:ascii="Times New Roman" w:hAnsi="Times New Roman" w:eastAsia="宋体" w:cs="Times New Roman"/>
                <w:sz w:val="21"/>
                <w:szCs w:val="21"/>
              </w:rPr>
            </w:pPr>
            <w:r>
              <w:rPr>
                <w:rFonts w:ascii="Times New Roman" w:hAnsi="宋体"/>
                <w:color w:val="000000"/>
                <w:sz w:val="21"/>
                <w:szCs w:val="21"/>
              </w:rPr>
              <w:t>评价区域内的</w:t>
            </w:r>
            <w:r>
              <w:rPr>
                <w:rFonts w:hint="eastAsia" w:ascii="Times New Roman" w:hAnsi="宋体"/>
                <w:color w:val="000000"/>
                <w:sz w:val="21"/>
                <w:szCs w:val="21"/>
              </w:rPr>
              <w:t>农业面源</w:t>
            </w:r>
          </w:p>
        </w:tc>
      </w:tr>
      <w:tr w14:paraId="3C5F2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372" w:type="pct"/>
            <w:tcBorders>
              <w:left w:val="nil"/>
            </w:tcBorders>
            <w:vAlign w:val="center"/>
          </w:tcPr>
          <w:p w14:paraId="20F31A69">
            <w:pPr>
              <w:pStyle w:val="6"/>
              <w:adjustRightInd w:val="0"/>
              <w:snapToGrid w:val="0"/>
              <w:spacing w:line="280" w:lineRule="exact"/>
              <w:jc w:val="center"/>
              <w:rPr>
                <w:rFonts w:ascii="Times New Roman" w:hAnsi="Times New Roman" w:eastAsia="宋体" w:cs="Times New Roman"/>
                <w:sz w:val="21"/>
                <w:szCs w:val="21"/>
              </w:rPr>
            </w:pPr>
            <w:r>
              <w:rPr>
                <w:rFonts w:ascii="Times New Roman" w:hAnsi="宋体" w:eastAsia="宋体" w:cs="Times New Roman"/>
                <w:sz w:val="21"/>
                <w:szCs w:val="21"/>
              </w:rPr>
              <w:t>地表水环境</w:t>
            </w:r>
            <w:r>
              <w:rPr>
                <w:rFonts w:hint="eastAsia" w:ascii="Times New Roman" w:hAnsi="宋体" w:eastAsia="宋体" w:cs="Times New Roman"/>
                <w:sz w:val="21"/>
                <w:szCs w:val="21"/>
              </w:rPr>
              <w:t>影响评价</w:t>
            </w:r>
          </w:p>
        </w:tc>
        <w:tc>
          <w:tcPr>
            <w:tcW w:w="3627" w:type="pct"/>
            <w:tcBorders>
              <w:right w:val="nil"/>
            </w:tcBorders>
            <w:vAlign w:val="center"/>
          </w:tcPr>
          <w:p w14:paraId="5ADBE9FC">
            <w:pPr>
              <w:pStyle w:val="6"/>
              <w:adjustRightInd w:val="0"/>
              <w:snapToGrid w:val="0"/>
              <w:spacing w:line="280" w:lineRule="exact"/>
              <w:jc w:val="center"/>
              <w:rPr>
                <w:rFonts w:ascii="Times New Roman" w:hAnsi="Times New Roman" w:eastAsia="宋体" w:cs="Times New Roman"/>
                <w:sz w:val="21"/>
                <w:szCs w:val="21"/>
              </w:rPr>
            </w:pPr>
            <w:r>
              <w:rPr>
                <w:rFonts w:ascii="Times New Roman" w:hAnsi="宋体"/>
                <w:color w:val="000000"/>
                <w:sz w:val="21"/>
                <w:szCs w:val="21"/>
              </w:rPr>
              <w:t>对项目产生废水的治理措施、废水处理后灌溉的可行性可靠性分析</w:t>
            </w:r>
          </w:p>
        </w:tc>
      </w:tr>
      <w:tr w14:paraId="3C2DE9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372" w:type="pct"/>
            <w:tcBorders>
              <w:left w:val="nil"/>
            </w:tcBorders>
            <w:vAlign w:val="center"/>
          </w:tcPr>
          <w:p w14:paraId="60372CD9">
            <w:pPr>
              <w:pStyle w:val="6"/>
              <w:adjustRightInd w:val="0"/>
              <w:snapToGrid w:val="0"/>
              <w:spacing w:line="280" w:lineRule="exact"/>
              <w:jc w:val="center"/>
              <w:rPr>
                <w:rFonts w:ascii="Times New Roman" w:hAnsi="Times New Roman" w:eastAsia="宋体" w:cs="Times New Roman"/>
                <w:sz w:val="21"/>
                <w:szCs w:val="21"/>
              </w:rPr>
            </w:pPr>
            <w:r>
              <w:rPr>
                <w:rFonts w:ascii="Times New Roman" w:hAnsi="宋体" w:eastAsia="宋体" w:cs="Times New Roman"/>
                <w:sz w:val="21"/>
                <w:szCs w:val="21"/>
              </w:rPr>
              <w:t>大气环境</w:t>
            </w:r>
            <w:r>
              <w:rPr>
                <w:rFonts w:hint="eastAsia" w:ascii="Times New Roman" w:hAnsi="宋体" w:eastAsia="宋体" w:cs="Times New Roman"/>
                <w:sz w:val="21"/>
                <w:szCs w:val="21"/>
              </w:rPr>
              <w:t>影响评价</w:t>
            </w:r>
          </w:p>
        </w:tc>
        <w:tc>
          <w:tcPr>
            <w:tcW w:w="3627" w:type="pct"/>
            <w:tcBorders>
              <w:right w:val="nil"/>
            </w:tcBorders>
            <w:vAlign w:val="center"/>
          </w:tcPr>
          <w:p w14:paraId="54557957">
            <w:pPr>
              <w:pStyle w:val="6"/>
              <w:adjustRightInd w:val="0"/>
              <w:snapToGrid w:val="0"/>
              <w:spacing w:line="280" w:lineRule="exact"/>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以建设项目厂址为中心，厂界外延边长5km×5km的矩形范围</w:t>
            </w:r>
          </w:p>
        </w:tc>
      </w:tr>
      <w:tr w14:paraId="10328B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372" w:type="pct"/>
            <w:tcBorders>
              <w:left w:val="nil"/>
            </w:tcBorders>
            <w:vAlign w:val="center"/>
          </w:tcPr>
          <w:p w14:paraId="7B4F89CC">
            <w:pPr>
              <w:pStyle w:val="6"/>
              <w:adjustRightInd w:val="0"/>
              <w:snapToGrid w:val="0"/>
              <w:spacing w:line="280" w:lineRule="exact"/>
              <w:jc w:val="center"/>
              <w:rPr>
                <w:rFonts w:ascii="Times New Roman" w:hAnsi="Times New Roman" w:eastAsia="宋体" w:cs="Times New Roman"/>
                <w:sz w:val="21"/>
                <w:szCs w:val="21"/>
              </w:rPr>
            </w:pPr>
            <w:r>
              <w:rPr>
                <w:rFonts w:ascii="Times New Roman" w:hAnsi="宋体" w:eastAsia="宋体" w:cs="Times New Roman"/>
                <w:sz w:val="21"/>
                <w:szCs w:val="21"/>
              </w:rPr>
              <w:t>噪声环境</w:t>
            </w:r>
            <w:r>
              <w:rPr>
                <w:rFonts w:hint="eastAsia" w:ascii="Times New Roman" w:hAnsi="宋体" w:eastAsia="宋体" w:cs="Times New Roman"/>
                <w:sz w:val="21"/>
                <w:szCs w:val="21"/>
              </w:rPr>
              <w:t>影响评价</w:t>
            </w:r>
          </w:p>
        </w:tc>
        <w:tc>
          <w:tcPr>
            <w:tcW w:w="3627" w:type="pct"/>
            <w:tcBorders>
              <w:right w:val="nil"/>
            </w:tcBorders>
            <w:vAlign w:val="center"/>
          </w:tcPr>
          <w:p w14:paraId="41B5900B">
            <w:pPr>
              <w:pStyle w:val="6"/>
              <w:adjustRightInd w:val="0"/>
              <w:snapToGrid w:val="0"/>
              <w:spacing w:line="280" w:lineRule="exact"/>
              <w:jc w:val="center"/>
              <w:rPr>
                <w:rFonts w:ascii="Times New Roman" w:hAnsi="Times New Roman" w:eastAsia="宋体" w:cs="Times New Roman"/>
                <w:sz w:val="21"/>
                <w:szCs w:val="21"/>
              </w:rPr>
            </w:pPr>
            <w:r>
              <w:rPr>
                <w:rFonts w:ascii="Times New Roman" w:hAnsi="宋体" w:eastAsia="宋体" w:cs="Times New Roman"/>
                <w:sz w:val="21"/>
                <w:szCs w:val="21"/>
              </w:rPr>
              <w:t>项目厂界外</w:t>
            </w:r>
            <w:r>
              <w:rPr>
                <w:rFonts w:ascii="Times New Roman" w:hAnsi="Times New Roman" w:eastAsia="宋体" w:cs="Times New Roman"/>
                <w:sz w:val="21"/>
                <w:szCs w:val="21"/>
              </w:rPr>
              <w:t>200m</w:t>
            </w:r>
            <w:r>
              <w:rPr>
                <w:rFonts w:ascii="Times New Roman" w:hAnsi="宋体" w:eastAsia="宋体" w:cs="Times New Roman"/>
                <w:sz w:val="21"/>
                <w:szCs w:val="21"/>
              </w:rPr>
              <w:t>范围</w:t>
            </w:r>
          </w:p>
        </w:tc>
      </w:tr>
      <w:tr w14:paraId="5EE3C4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372" w:type="pct"/>
            <w:tcBorders>
              <w:left w:val="nil"/>
            </w:tcBorders>
            <w:vAlign w:val="center"/>
          </w:tcPr>
          <w:p w14:paraId="782B01A9">
            <w:pPr>
              <w:pStyle w:val="6"/>
              <w:adjustRightInd w:val="0"/>
              <w:snapToGrid w:val="0"/>
              <w:spacing w:line="280" w:lineRule="exact"/>
              <w:jc w:val="center"/>
              <w:rPr>
                <w:rFonts w:ascii="Times New Roman" w:hAnsi="Times New Roman" w:eastAsia="宋体" w:cs="Times New Roman"/>
                <w:sz w:val="21"/>
                <w:szCs w:val="21"/>
              </w:rPr>
            </w:pPr>
            <w:r>
              <w:rPr>
                <w:rFonts w:ascii="Times New Roman" w:hAnsi="宋体" w:eastAsia="宋体" w:cs="Times New Roman"/>
                <w:sz w:val="21"/>
                <w:szCs w:val="21"/>
              </w:rPr>
              <w:t>地下水环境</w:t>
            </w:r>
            <w:r>
              <w:rPr>
                <w:rFonts w:hint="eastAsia" w:ascii="Times New Roman" w:hAnsi="宋体" w:eastAsia="宋体" w:cs="Times New Roman"/>
                <w:sz w:val="21"/>
                <w:szCs w:val="21"/>
              </w:rPr>
              <w:t>影响评价</w:t>
            </w:r>
          </w:p>
        </w:tc>
        <w:tc>
          <w:tcPr>
            <w:tcW w:w="3627" w:type="pct"/>
            <w:tcBorders>
              <w:right w:val="nil"/>
            </w:tcBorders>
            <w:vAlign w:val="center"/>
          </w:tcPr>
          <w:p w14:paraId="6D9DC013">
            <w:pPr>
              <w:pStyle w:val="93"/>
              <w:adjustRightInd w:val="0"/>
              <w:snapToGrid w:val="0"/>
              <w:spacing w:line="280" w:lineRule="exact"/>
              <w:rPr>
                <w:rFonts w:ascii="Times New Roman" w:hAnsi="Times New Roman" w:eastAsia="宋体" w:cs="Times New Roman"/>
                <w:sz w:val="21"/>
                <w:szCs w:val="21"/>
                <w:lang w:eastAsia="zh-CN"/>
              </w:rPr>
            </w:pPr>
            <w:r>
              <w:rPr>
                <w:rFonts w:ascii="Times New Roman" w:hAnsi="宋体" w:eastAsia="宋体" w:cs="Times New Roman"/>
                <w:sz w:val="21"/>
                <w:szCs w:val="21"/>
                <w:lang w:eastAsia="zh-CN"/>
              </w:rPr>
              <w:t>项目厂址及周边</w:t>
            </w:r>
            <w:r>
              <w:rPr>
                <w:rFonts w:ascii="Times New Roman" w:hAnsi="Times New Roman" w:eastAsia="宋体" w:cs="Times New Roman"/>
                <w:sz w:val="21"/>
                <w:szCs w:val="21"/>
                <w:lang w:eastAsia="zh-CN"/>
              </w:rPr>
              <w:t>6km</w:t>
            </w:r>
            <w:r>
              <w:rPr>
                <w:rFonts w:ascii="Times New Roman" w:hAnsi="Times New Roman" w:eastAsia="宋体" w:cs="Times New Roman"/>
                <w:sz w:val="21"/>
                <w:szCs w:val="21"/>
                <w:vertAlign w:val="superscript"/>
                <w:lang w:eastAsia="zh-CN"/>
              </w:rPr>
              <w:t>2</w:t>
            </w:r>
            <w:r>
              <w:rPr>
                <w:rFonts w:ascii="Times New Roman" w:hAnsi="宋体" w:eastAsia="宋体" w:cs="Times New Roman"/>
                <w:sz w:val="21"/>
                <w:szCs w:val="21"/>
                <w:lang w:eastAsia="zh-CN"/>
              </w:rPr>
              <w:t>范围</w:t>
            </w:r>
          </w:p>
        </w:tc>
      </w:tr>
      <w:tr w14:paraId="4F91D7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372" w:type="pct"/>
            <w:tcBorders>
              <w:left w:val="nil"/>
            </w:tcBorders>
            <w:vAlign w:val="center"/>
          </w:tcPr>
          <w:p w14:paraId="4C5E8239">
            <w:pPr>
              <w:pStyle w:val="6"/>
              <w:adjustRightInd w:val="0"/>
              <w:snapToGrid w:val="0"/>
              <w:spacing w:line="280" w:lineRule="exact"/>
              <w:jc w:val="center"/>
              <w:rPr>
                <w:rFonts w:ascii="Times New Roman" w:hAnsi="Times New Roman" w:eastAsia="宋体" w:cs="Times New Roman"/>
                <w:sz w:val="21"/>
                <w:szCs w:val="21"/>
              </w:rPr>
            </w:pPr>
            <w:r>
              <w:rPr>
                <w:rFonts w:ascii="Times New Roman" w:hAnsi="宋体" w:eastAsia="宋体" w:cs="Times New Roman"/>
                <w:sz w:val="21"/>
                <w:szCs w:val="21"/>
              </w:rPr>
              <w:t>土壤</w:t>
            </w:r>
            <w:r>
              <w:rPr>
                <w:rFonts w:hint="eastAsia" w:ascii="Times New Roman" w:hAnsi="宋体" w:eastAsia="宋体" w:cs="Times New Roman"/>
                <w:sz w:val="21"/>
                <w:szCs w:val="21"/>
              </w:rPr>
              <w:t>影响评价</w:t>
            </w:r>
          </w:p>
        </w:tc>
        <w:tc>
          <w:tcPr>
            <w:tcW w:w="3627" w:type="pct"/>
            <w:tcBorders>
              <w:right w:val="nil"/>
            </w:tcBorders>
            <w:vAlign w:val="center"/>
          </w:tcPr>
          <w:p w14:paraId="632FE0FD">
            <w:pPr>
              <w:pStyle w:val="93"/>
              <w:adjustRightInd w:val="0"/>
              <w:snapToGrid w:val="0"/>
              <w:spacing w:line="280" w:lineRule="exact"/>
              <w:rPr>
                <w:rFonts w:ascii="Times New Roman" w:hAnsi="Times New Roman" w:eastAsia="宋体" w:cs="Times New Roman"/>
                <w:sz w:val="21"/>
                <w:szCs w:val="21"/>
                <w:lang w:eastAsia="zh-CN"/>
              </w:rPr>
            </w:pPr>
            <w:r>
              <w:rPr>
                <w:rFonts w:hint="eastAsia" w:ascii="Times New Roman" w:hAnsi="宋体" w:eastAsia="宋体" w:cs="Times New Roman"/>
                <w:sz w:val="21"/>
                <w:szCs w:val="21"/>
                <w:lang w:eastAsia="zh-CN"/>
              </w:rPr>
              <w:t>养殖场占地范围内</w:t>
            </w:r>
            <w:r>
              <w:rPr>
                <w:rFonts w:hint="eastAsia" w:ascii="Times New Roman" w:hAnsi="宋体" w:eastAsia="宋体" w:cs="Times New Roman"/>
                <w:sz w:val="21"/>
                <w:szCs w:val="21"/>
                <w:lang w:val="en-US" w:eastAsia="zh-CN"/>
              </w:rPr>
              <w:t>和</w:t>
            </w:r>
            <w:r>
              <w:rPr>
                <w:rFonts w:hint="eastAsia" w:ascii="Times New Roman" w:hAnsi="宋体" w:eastAsia="宋体" w:cs="Times New Roman"/>
                <w:sz w:val="21"/>
                <w:szCs w:val="21"/>
                <w:lang w:eastAsia="zh-CN"/>
              </w:rPr>
              <w:t>占地范围外50米范围</w:t>
            </w:r>
            <w:r>
              <w:rPr>
                <w:rFonts w:hint="eastAsia" w:ascii="Times New Roman" w:hAnsi="宋体" w:eastAsia="宋体" w:cs="Times New Roman"/>
                <w:sz w:val="21"/>
                <w:szCs w:val="21"/>
                <w:lang w:val="en-US" w:eastAsia="zh-CN"/>
              </w:rPr>
              <w:t>以及配套灌溉农田</w:t>
            </w:r>
          </w:p>
        </w:tc>
      </w:tr>
      <w:tr w14:paraId="7D6355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372" w:type="pct"/>
            <w:tcBorders>
              <w:left w:val="nil"/>
            </w:tcBorders>
            <w:vAlign w:val="center"/>
          </w:tcPr>
          <w:p w14:paraId="5EBC9150">
            <w:pPr>
              <w:pStyle w:val="6"/>
              <w:adjustRightInd w:val="0"/>
              <w:snapToGrid w:val="0"/>
              <w:spacing w:line="280" w:lineRule="exact"/>
              <w:jc w:val="center"/>
              <w:rPr>
                <w:rFonts w:ascii="Times New Roman" w:hAnsi="Times New Roman" w:eastAsia="宋体" w:cs="Times New Roman"/>
                <w:sz w:val="21"/>
                <w:szCs w:val="21"/>
              </w:rPr>
            </w:pPr>
            <w:r>
              <w:rPr>
                <w:rFonts w:hint="eastAsia" w:ascii="Times New Roman" w:hAnsi="宋体" w:eastAsia="宋体" w:cs="Times New Roman"/>
                <w:sz w:val="21"/>
                <w:szCs w:val="21"/>
              </w:rPr>
              <w:t>环境</w:t>
            </w:r>
            <w:r>
              <w:rPr>
                <w:rFonts w:ascii="Times New Roman" w:hAnsi="宋体" w:eastAsia="宋体" w:cs="Times New Roman"/>
                <w:sz w:val="21"/>
                <w:szCs w:val="21"/>
              </w:rPr>
              <w:t>风险</w:t>
            </w:r>
            <w:r>
              <w:rPr>
                <w:rFonts w:hint="eastAsia" w:ascii="Times New Roman" w:hAnsi="宋体" w:eastAsia="宋体" w:cs="Times New Roman"/>
                <w:sz w:val="21"/>
                <w:szCs w:val="21"/>
              </w:rPr>
              <w:t>影响评价</w:t>
            </w:r>
          </w:p>
        </w:tc>
        <w:tc>
          <w:tcPr>
            <w:tcW w:w="3627" w:type="pct"/>
            <w:tcBorders>
              <w:right w:val="nil"/>
            </w:tcBorders>
            <w:vAlign w:val="center"/>
          </w:tcPr>
          <w:p w14:paraId="5F54A6B3">
            <w:pPr>
              <w:pStyle w:val="6"/>
              <w:adjustRightInd w:val="0"/>
              <w:snapToGrid w:val="0"/>
              <w:spacing w:line="280" w:lineRule="exact"/>
              <w:jc w:val="center"/>
              <w:rPr>
                <w:rFonts w:ascii="Times New Roman" w:hAnsi="Times New Roman" w:eastAsia="宋体" w:cs="Times New Roman"/>
                <w:sz w:val="21"/>
                <w:szCs w:val="21"/>
              </w:rPr>
            </w:pPr>
            <w:r>
              <w:rPr>
                <w:rFonts w:hint="eastAsia" w:ascii="Times New Roman" w:hAnsi="Times New Roman"/>
                <w:color w:val="000000"/>
                <w:sz w:val="21"/>
                <w:szCs w:val="21"/>
              </w:rPr>
              <w:t>距建设项目边界距离为3km的矩形范围</w:t>
            </w:r>
          </w:p>
        </w:tc>
      </w:tr>
      <w:tr w14:paraId="0F510E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372" w:type="pct"/>
            <w:tcBorders>
              <w:left w:val="nil"/>
            </w:tcBorders>
            <w:vAlign w:val="center"/>
          </w:tcPr>
          <w:p w14:paraId="1C614508">
            <w:pPr>
              <w:spacing w:line="300" w:lineRule="exact"/>
              <w:jc w:val="center"/>
              <w:rPr>
                <w:rFonts w:ascii="Times New Roman" w:eastAsia="宋体"/>
                <w:color w:val="000000"/>
                <w:sz w:val="21"/>
                <w:szCs w:val="21"/>
              </w:rPr>
            </w:pPr>
            <w:r>
              <w:rPr>
                <w:rFonts w:ascii="Times New Roman" w:eastAsia="宋体"/>
                <w:color w:val="000000"/>
                <w:sz w:val="21"/>
                <w:szCs w:val="21"/>
              </w:rPr>
              <w:t>生态环境影响评价</w:t>
            </w:r>
          </w:p>
        </w:tc>
        <w:tc>
          <w:tcPr>
            <w:tcW w:w="3627" w:type="pct"/>
            <w:tcBorders>
              <w:right w:val="nil"/>
            </w:tcBorders>
            <w:vAlign w:val="center"/>
          </w:tcPr>
          <w:p w14:paraId="611CF5FE">
            <w:pPr>
              <w:spacing w:line="300" w:lineRule="exact"/>
              <w:jc w:val="center"/>
              <w:rPr>
                <w:rFonts w:ascii="Times New Roman" w:eastAsia="宋体"/>
                <w:color w:val="000000"/>
                <w:sz w:val="21"/>
                <w:szCs w:val="21"/>
              </w:rPr>
            </w:pPr>
            <w:r>
              <w:rPr>
                <w:rFonts w:hint="eastAsia" w:ascii="Times New Roman" w:hAnsi="Times New Roman" w:cs="Times New Roman"/>
                <w:kern w:val="0"/>
                <w:sz w:val="21"/>
                <w:szCs w:val="21"/>
              </w:rPr>
              <w:t>厂区内</w:t>
            </w:r>
          </w:p>
        </w:tc>
      </w:tr>
    </w:tbl>
    <w:p w14:paraId="56B95F69">
      <w:pPr>
        <w:pStyle w:val="7"/>
        <w:pageBreakBefore w:val="0"/>
        <w:widowControl w:val="0"/>
        <w:kinsoku/>
        <w:wordWrap/>
        <w:overflowPunct/>
        <w:topLinePunct w:val="0"/>
        <w:autoSpaceDE/>
        <w:autoSpaceDN/>
        <w:bidi w:val="0"/>
        <w:adjustRightInd/>
        <w:snapToGrid/>
        <w:spacing w:line="500" w:lineRule="exact"/>
        <w:textAlignment w:val="auto"/>
      </w:pPr>
      <w:r>
        <w:rPr>
          <w:rFonts w:hint="eastAsia"/>
        </w:rPr>
        <w:t>2</w:t>
      </w:r>
      <w:r>
        <w:t>.</w:t>
      </w:r>
      <w:r>
        <w:rPr>
          <w:rFonts w:hint="eastAsia"/>
        </w:rPr>
        <w:t>6</w:t>
      </w:r>
      <w:r>
        <w:t xml:space="preserve">.2 </w:t>
      </w:r>
      <w:r>
        <w:rPr>
          <w:rFonts w:hint="eastAsia"/>
        </w:rPr>
        <w:t>环境保护目标</w:t>
      </w:r>
    </w:p>
    <w:p w14:paraId="0CC8F878">
      <w:pPr>
        <w:pageBreakBefore w:val="0"/>
        <w:widowControl w:val="0"/>
        <w:kinsoku/>
        <w:wordWrap/>
        <w:overflowPunct/>
        <w:topLinePunct w:val="0"/>
        <w:autoSpaceDE/>
        <w:autoSpaceDN/>
        <w:bidi w:val="0"/>
        <w:adjustRightInd/>
        <w:snapToGrid/>
        <w:spacing w:line="500" w:lineRule="exact"/>
        <w:ind w:firstLine="480" w:firstLineChars="200"/>
        <w:textAlignment w:val="auto"/>
        <w:rPr>
          <w:szCs w:val="24"/>
        </w:rPr>
      </w:pPr>
      <w:r>
        <w:rPr>
          <w:rFonts w:hint="eastAsia" w:ascii="Times New Roman" w:hAnsi="Times New Roman" w:cs="Times New Roman"/>
          <w:kern w:val="21"/>
          <w:szCs w:val="24"/>
        </w:rPr>
        <w:t>本项目位于</w:t>
      </w:r>
      <w:r>
        <w:rPr>
          <w:rFonts w:hint="eastAsia"/>
          <w:szCs w:val="24"/>
        </w:rPr>
        <w:t>泗阳县穿城镇向阳村</w:t>
      </w:r>
      <w:r>
        <w:rPr>
          <w:rFonts w:hint="eastAsia" w:ascii="Times New Roman" w:hAnsi="Times New Roman" w:cs="Times New Roman"/>
          <w:szCs w:val="24"/>
        </w:rPr>
        <w:t>，</w:t>
      </w:r>
      <w:r>
        <w:rPr>
          <w:rFonts w:ascii="Times New Roman" w:hAnsi="宋体"/>
          <w:szCs w:val="24"/>
        </w:rPr>
        <w:t>经调查，建设项目周围主要环境保护目标见表2.</w:t>
      </w:r>
      <w:r>
        <w:rPr>
          <w:rFonts w:hint="eastAsia" w:ascii="Times New Roman" w:hAnsi="宋体"/>
          <w:szCs w:val="24"/>
        </w:rPr>
        <w:t>6</w:t>
      </w:r>
      <w:r>
        <w:rPr>
          <w:rFonts w:ascii="Times New Roman" w:hAnsi="宋体"/>
          <w:szCs w:val="24"/>
        </w:rPr>
        <w:t>-2~2.</w:t>
      </w:r>
      <w:r>
        <w:rPr>
          <w:rFonts w:hint="eastAsia" w:ascii="Times New Roman" w:hAnsi="宋体"/>
          <w:szCs w:val="24"/>
        </w:rPr>
        <w:t>6</w:t>
      </w:r>
      <w:r>
        <w:rPr>
          <w:rFonts w:ascii="Times New Roman" w:hAnsi="宋体"/>
          <w:szCs w:val="24"/>
        </w:rPr>
        <w:t>-3，具体分</w:t>
      </w:r>
      <w:r>
        <w:rPr>
          <w:rFonts w:ascii="Times New Roman" w:hAnsi="宋体"/>
          <w:color w:val="000000"/>
          <w:szCs w:val="24"/>
        </w:rPr>
        <w:t>布见</w:t>
      </w:r>
      <w:r>
        <w:rPr>
          <w:rFonts w:ascii="Times New Roman" w:hAnsi="宋体"/>
          <w:b/>
          <w:bCs/>
          <w:color w:val="000000"/>
          <w:szCs w:val="24"/>
        </w:rPr>
        <w:t>图2.</w:t>
      </w:r>
      <w:r>
        <w:rPr>
          <w:rFonts w:hint="eastAsia" w:ascii="Times New Roman" w:hAnsi="宋体"/>
          <w:b/>
          <w:bCs/>
          <w:color w:val="000000"/>
          <w:szCs w:val="24"/>
        </w:rPr>
        <w:t>6</w:t>
      </w:r>
      <w:r>
        <w:rPr>
          <w:rFonts w:ascii="Times New Roman" w:hAnsi="宋体"/>
          <w:b/>
          <w:bCs/>
          <w:color w:val="000000"/>
          <w:szCs w:val="24"/>
        </w:rPr>
        <w:t>-1</w:t>
      </w:r>
      <w:r>
        <w:rPr>
          <w:rFonts w:ascii="Times New Roman" w:hAnsi="宋体"/>
          <w:color w:val="000000"/>
          <w:szCs w:val="24"/>
        </w:rPr>
        <w:t>。</w:t>
      </w:r>
    </w:p>
    <w:p w14:paraId="05EB9CD4">
      <w:pPr>
        <w:pStyle w:val="31"/>
        <w:spacing w:before="0" w:line="480" w:lineRule="exact"/>
        <w:rPr>
          <w:szCs w:val="24"/>
        </w:rPr>
      </w:pPr>
      <w:r>
        <w:rPr>
          <w:rFonts w:hint="eastAsia"/>
          <w:szCs w:val="24"/>
        </w:rPr>
        <w:t>表2.6-2</w:t>
      </w:r>
      <w:r>
        <w:rPr>
          <w:szCs w:val="24"/>
        </w:rPr>
        <w:t xml:space="preserve"> </w:t>
      </w:r>
      <w:r>
        <w:rPr>
          <w:rFonts w:hint="eastAsia"/>
          <w:szCs w:val="24"/>
        </w:rPr>
        <w:t>大气环境保护目标一览表</w:t>
      </w:r>
    </w:p>
    <w:tbl>
      <w:tblPr>
        <w:tblStyle w:val="41"/>
        <w:tblW w:w="4996"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639"/>
        <w:gridCol w:w="1105"/>
        <w:gridCol w:w="1024"/>
        <w:gridCol w:w="900"/>
        <w:gridCol w:w="900"/>
        <w:gridCol w:w="722"/>
        <w:gridCol w:w="914"/>
        <w:gridCol w:w="859"/>
        <w:gridCol w:w="709"/>
        <w:gridCol w:w="1509"/>
      </w:tblGrid>
      <w:tr w14:paraId="0587197B">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4" w:type="pct"/>
            <w:vMerge w:val="restart"/>
            <w:vAlign w:val="center"/>
          </w:tcPr>
          <w:p w14:paraId="67AA0B26">
            <w:pPr>
              <w:adjustRightInd w:val="0"/>
              <w:spacing w:line="300" w:lineRule="exact"/>
              <w:jc w:val="center"/>
              <w:rPr>
                <w:rFonts w:ascii="Times New Roman" w:eastAsia="宋体"/>
                <w:sz w:val="21"/>
                <w:szCs w:val="21"/>
              </w:rPr>
            </w:pPr>
            <w:r>
              <w:rPr>
                <w:rFonts w:ascii="Times New Roman" w:eastAsia="宋体"/>
                <w:sz w:val="21"/>
                <w:szCs w:val="21"/>
              </w:rPr>
              <w:t>环境要素</w:t>
            </w:r>
          </w:p>
        </w:tc>
        <w:tc>
          <w:tcPr>
            <w:tcW w:w="595" w:type="pct"/>
            <w:vMerge w:val="restart"/>
            <w:vAlign w:val="center"/>
          </w:tcPr>
          <w:p w14:paraId="356F8951">
            <w:pPr>
              <w:adjustRightInd w:val="0"/>
              <w:spacing w:line="300" w:lineRule="exact"/>
              <w:jc w:val="center"/>
              <w:rPr>
                <w:rFonts w:ascii="Times New Roman" w:eastAsia="宋体"/>
                <w:sz w:val="21"/>
                <w:szCs w:val="21"/>
              </w:rPr>
            </w:pPr>
            <w:r>
              <w:rPr>
                <w:rFonts w:ascii="Times New Roman" w:eastAsia="宋体"/>
                <w:sz w:val="21"/>
                <w:szCs w:val="21"/>
              </w:rPr>
              <w:t>名称</w:t>
            </w:r>
          </w:p>
        </w:tc>
        <w:tc>
          <w:tcPr>
            <w:tcW w:w="1036" w:type="pct"/>
            <w:gridSpan w:val="2"/>
            <w:vAlign w:val="center"/>
          </w:tcPr>
          <w:p w14:paraId="65CDFD77">
            <w:pPr>
              <w:adjustRightInd w:val="0"/>
              <w:snapToGrid w:val="0"/>
              <w:spacing w:line="280" w:lineRule="exact"/>
              <w:jc w:val="center"/>
              <w:rPr>
                <w:rFonts w:ascii="Times New Roman" w:eastAsia="宋体"/>
                <w:sz w:val="21"/>
                <w:szCs w:val="21"/>
              </w:rPr>
            </w:pPr>
            <w:r>
              <w:rPr>
                <w:rFonts w:ascii="Times New Roman" w:hAnsi="宋体" w:eastAsia="宋体"/>
                <w:sz w:val="21"/>
                <w:szCs w:val="21"/>
              </w:rPr>
              <w:t>经纬度</w:t>
            </w:r>
          </w:p>
        </w:tc>
        <w:tc>
          <w:tcPr>
            <w:tcW w:w="484" w:type="pct"/>
            <w:vMerge w:val="restart"/>
            <w:vAlign w:val="center"/>
          </w:tcPr>
          <w:p w14:paraId="6C4F9A36">
            <w:pPr>
              <w:adjustRightInd w:val="0"/>
              <w:spacing w:line="300" w:lineRule="exact"/>
              <w:jc w:val="center"/>
              <w:rPr>
                <w:rFonts w:ascii="Times New Roman" w:eastAsia="宋体"/>
                <w:sz w:val="21"/>
                <w:szCs w:val="21"/>
              </w:rPr>
            </w:pPr>
            <w:r>
              <w:rPr>
                <w:rFonts w:ascii="Times New Roman" w:eastAsia="宋体"/>
                <w:sz w:val="21"/>
                <w:szCs w:val="21"/>
              </w:rPr>
              <w:t>保护对象</w:t>
            </w:r>
          </w:p>
        </w:tc>
        <w:tc>
          <w:tcPr>
            <w:tcW w:w="388" w:type="pct"/>
            <w:vMerge w:val="restart"/>
            <w:vAlign w:val="center"/>
          </w:tcPr>
          <w:p w14:paraId="64308E5A">
            <w:pPr>
              <w:adjustRightInd w:val="0"/>
              <w:spacing w:line="300" w:lineRule="exact"/>
              <w:jc w:val="center"/>
              <w:rPr>
                <w:rFonts w:ascii="Times New Roman" w:eastAsia="宋体"/>
                <w:sz w:val="21"/>
                <w:szCs w:val="21"/>
              </w:rPr>
            </w:pPr>
            <w:r>
              <w:rPr>
                <w:rFonts w:ascii="Times New Roman" w:eastAsia="宋体"/>
                <w:sz w:val="21"/>
                <w:szCs w:val="21"/>
              </w:rPr>
              <w:t>保护内容</w:t>
            </w:r>
          </w:p>
        </w:tc>
        <w:tc>
          <w:tcPr>
            <w:tcW w:w="492" w:type="pct"/>
            <w:vMerge w:val="restart"/>
            <w:vAlign w:val="center"/>
          </w:tcPr>
          <w:p w14:paraId="7F773C46">
            <w:pPr>
              <w:adjustRightInd w:val="0"/>
              <w:spacing w:line="300" w:lineRule="exact"/>
              <w:jc w:val="center"/>
              <w:rPr>
                <w:rFonts w:ascii="Times New Roman" w:eastAsia="宋体"/>
                <w:sz w:val="21"/>
                <w:szCs w:val="21"/>
              </w:rPr>
            </w:pPr>
            <w:r>
              <w:rPr>
                <w:rFonts w:ascii="Times New Roman" w:eastAsia="宋体"/>
                <w:sz w:val="21"/>
                <w:szCs w:val="21"/>
              </w:rPr>
              <w:t>环境功能区</w:t>
            </w:r>
          </w:p>
        </w:tc>
        <w:tc>
          <w:tcPr>
            <w:tcW w:w="462" w:type="pct"/>
            <w:vMerge w:val="restart"/>
            <w:vAlign w:val="center"/>
          </w:tcPr>
          <w:p w14:paraId="0FCA2FA0">
            <w:pPr>
              <w:adjustRightInd w:val="0"/>
              <w:spacing w:line="300" w:lineRule="exact"/>
              <w:jc w:val="center"/>
              <w:rPr>
                <w:rFonts w:ascii="Times New Roman" w:eastAsia="宋体"/>
                <w:sz w:val="21"/>
                <w:szCs w:val="21"/>
              </w:rPr>
            </w:pPr>
            <w:r>
              <w:rPr>
                <w:rFonts w:ascii="Times New Roman" w:eastAsia="宋体"/>
                <w:sz w:val="21"/>
                <w:szCs w:val="21"/>
              </w:rPr>
              <w:t>规模</w:t>
            </w:r>
            <w:r>
              <w:rPr>
                <w:rFonts w:hint="eastAsia" w:ascii="Times New Roman" w:eastAsia="宋体"/>
                <w:sz w:val="21"/>
                <w:szCs w:val="21"/>
              </w:rPr>
              <w:t>（人）</w:t>
            </w:r>
          </w:p>
        </w:tc>
        <w:tc>
          <w:tcPr>
            <w:tcW w:w="381" w:type="pct"/>
            <w:vMerge w:val="restart"/>
            <w:vAlign w:val="center"/>
          </w:tcPr>
          <w:p w14:paraId="77F2D5F6">
            <w:pPr>
              <w:adjustRightInd w:val="0"/>
              <w:spacing w:line="300" w:lineRule="exact"/>
              <w:jc w:val="center"/>
              <w:rPr>
                <w:rFonts w:ascii="Times New Roman" w:eastAsia="宋体"/>
                <w:sz w:val="21"/>
                <w:szCs w:val="21"/>
              </w:rPr>
            </w:pPr>
            <w:r>
              <w:rPr>
                <w:rFonts w:ascii="Times New Roman" w:eastAsia="宋体"/>
                <w:sz w:val="21"/>
                <w:szCs w:val="21"/>
              </w:rPr>
              <w:t>相对方位</w:t>
            </w:r>
          </w:p>
        </w:tc>
        <w:tc>
          <w:tcPr>
            <w:tcW w:w="812" w:type="pct"/>
            <w:vMerge w:val="restart"/>
            <w:vAlign w:val="center"/>
          </w:tcPr>
          <w:p w14:paraId="2B589BDF">
            <w:pPr>
              <w:adjustRightInd w:val="0"/>
              <w:spacing w:line="300" w:lineRule="exact"/>
              <w:jc w:val="center"/>
              <w:rPr>
                <w:rFonts w:ascii="Times New Roman" w:eastAsia="宋体"/>
                <w:sz w:val="21"/>
                <w:szCs w:val="21"/>
              </w:rPr>
            </w:pPr>
            <w:r>
              <w:rPr>
                <w:rFonts w:hint="eastAsia" w:ascii="Times New Roman" w:eastAsia="宋体"/>
                <w:sz w:val="21"/>
                <w:szCs w:val="21"/>
                <w:lang w:val="en-US" w:eastAsia="zh-CN"/>
              </w:rPr>
              <w:t>厂界</w:t>
            </w:r>
            <w:r>
              <w:rPr>
                <w:rFonts w:ascii="Times New Roman" w:eastAsia="宋体"/>
                <w:sz w:val="21"/>
                <w:szCs w:val="21"/>
              </w:rPr>
              <w:t>相对距离</w:t>
            </w:r>
            <w:r>
              <w:rPr>
                <w:rFonts w:hint="eastAsia" w:ascii="Times New Roman" w:eastAsia="宋体"/>
                <w:sz w:val="21"/>
                <w:szCs w:val="21"/>
                <w:lang w:eastAsia="zh-CN"/>
              </w:rPr>
              <w:t>（</w:t>
            </w:r>
            <w:r>
              <w:rPr>
                <w:rFonts w:ascii="Times New Roman" w:eastAsia="宋体"/>
                <w:sz w:val="21"/>
                <w:szCs w:val="21"/>
              </w:rPr>
              <w:t>m）</w:t>
            </w:r>
          </w:p>
        </w:tc>
      </w:tr>
      <w:tr w14:paraId="0C21B7DF">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6E9E7191">
            <w:pPr>
              <w:adjustRightInd w:val="0"/>
              <w:spacing w:line="300" w:lineRule="exact"/>
              <w:jc w:val="center"/>
              <w:rPr>
                <w:rFonts w:ascii="Times New Roman" w:eastAsia="宋体"/>
                <w:sz w:val="21"/>
                <w:szCs w:val="21"/>
              </w:rPr>
            </w:pPr>
          </w:p>
        </w:tc>
        <w:tc>
          <w:tcPr>
            <w:tcW w:w="595" w:type="pct"/>
            <w:vMerge w:val="continue"/>
            <w:vAlign w:val="center"/>
          </w:tcPr>
          <w:p w14:paraId="39C9D5EA">
            <w:pPr>
              <w:adjustRightInd w:val="0"/>
              <w:spacing w:line="300" w:lineRule="exact"/>
              <w:jc w:val="center"/>
              <w:rPr>
                <w:rFonts w:ascii="Times New Roman" w:eastAsia="宋体"/>
                <w:sz w:val="21"/>
                <w:szCs w:val="21"/>
              </w:rPr>
            </w:pPr>
          </w:p>
        </w:tc>
        <w:tc>
          <w:tcPr>
            <w:tcW w:w="551" w:type="pct"/>
            <w:vAlign w:val="center"/>
          </w:tcPr>
          <w:p w14:paraId="3C047072">
            <w:pPr>
              <w:adjustRightInd w:val="0"/>
              <w:snapToGrid w:val="0"/>
              <w:spacing w:line="280" w:lineRule="exact"/>
              <w:jc w:val="center"/>
              <w:rPr>
                <w:rFonts w:ascii="Times New Roman" w:eastAsia="宋体"/>
                <w:sz w:val="21"/>
                <w:szCs w:val="21"/>
              </w:rPr>
            </w:pPr>
            <w:r>
              <w:rPr>
                <w:rFonts w:ascii="Times New Roman" w:hAnsi="宋体" w:eastAsia="宋体"/>
                <w:sz w:val="21"/>
                <w:szCs w:val="21"/>
              </w:rPr>
              <w:t>经度</w:t>
            </w:r>
          </w:p>
        </w:tc>
        <w:tc>
          <w:tcPr>
            <w:tcW w:w="484" w:type="pct"/>
            <w:vAlign w:val="center"/>
          </w:tcPr>
          <w:p w14:paraId="7E2B249C">
            <w:pPr>
              <w:adjustRightInd w:val="0"/>
              <w:snapToGrid w:val="0"/>
              <w:spacing w:line="280" w:lineRule="exact"/>
              <w:jc w:val="center"/>
              <w:rPr>
                <w:rFonts w:ascii="Times New Roman" w:eastAsia="宋体"/>
                <w:sz w:val="21"/>
                <w:szCs w:val="21"/>
              </w:rPr>
            </w:pPr>
            <w:r>
              <w:rPr>
                <w:rFonts w:ascii="Times New Roman" w:hAnsi="宋体" w:eastAsia="宋体"/>
                <w:sz w:val="21"/>
                <w:szCs w:val="21"/>
              </w:rPr>
              <w:t>纬度</w:t>
            </w:r>
          </w:p>
        </w:tc>
        <w:tc>
          <w:tcPr>
            <w:tcW w:w="484" w:type="pct"/>
            <w:vMerge w:val="continue"/>
            <w:vAlign w:val="center"/>
          </w:tcPr>
          <w:p w14:paraId="546E6BD9">
            <w:pPr>
              <w:adjustRightInd w:val="0"/>
              <w:spacing w:line="300" w:lineRule="exact"/>
              <w:jc w:val="center"/>
              <w:rPr>
                <w:rFonts w:ascii="Times New Roman" w:eastAsia="宋体"/>
                <w:sz w:val="21"/>
                <w:szCs w:val="21"/>
              </w:rPr>
            </w:pPr>
          </w:p>
        </w:tc>
        <w:tc>
          <w:tcPr>
            <w:tcW w:w="388" w:type="pct"/>
            <w:vMerge w:val="continue"/>
            <w:vAlign w:val="center"/>
          </w:tcPr>
          <w:p w14:paraId="10E9AED6">
            <w:pPr>
              <w:adjustRightInd w:val="0"/>
              <w:spacing w:line="300" w:lineRule="exact"/>
              <w:jc w:val="center"/>
              <w:rPr>
                <w:rFonts w:ascii="Times New Roman" w:eastAsia="宋体"/>
                <w:sz w:val="21"/>
                <w:szCs w:val="21"/>
              </w:rPr>
            </w:pPr>
          </w:p>
        </w:tc>
        <w:tc>
          <w:tcPr>
            <w:tcW w:w="492" w:type="pct"/>
            <w:vMerge w:val="continue"/>
            <w:vAlign w:val="center"/>
          </w:tcPr>
          <w:p w14:paraId="1529D870">
            <w:pPr>
              <w:adjustRightInd w:val="0"/>
              <w:spacing w:line="300" w:lineRule="exact"/>
              <w:jc w:val="center"/>
              <w:rPr>
                <w:rFonts w:ascii="Times New Roman" w:eastAsia="宋体"/>
                <w:sz w:val="21"/>
                <w:szCs w:val="21"/>
              </w:rPr>
            </w:pPr>
          </w:p>
        </w:tc>
        <w:tc>
          <w:tcPr>
            <w:tcW w:w="462" w:type="pct"/>
            <w:vMerge w:val="continue"/>
            <w:vAlign w:val="center"/>
          </w:tcPr>
          <w:p w14:paraId="0D5FA7A9">
            <w:pPr>
              <w:adjustRightInd w:val="0"/>
              <w:spacing w:line="300" w:lineRule="exact"/>
              <w:jc w:val="center"/>
              <w:rPr>
                <w:rFonts w:ascii="Times New Roman" w:eastAsia="宋体"/>
                <w:sz w:val="21"/>
                <w:szCs w:val="21"/>
              </w:rPr>
            </w:pPr>
          </w:p>
        </w:tc>
        <w:tc>
          <w:tcPr>
            <w:tcW w:w="381" w:type="pct"/>
            <w:vMerge w:val="continue"/>
            <w:vAlign w:val="center"/>
          </w:tcPr>
          <w:p w14:paraId="30DB5E75">
            <w:pPr>
              <w:adjustRightInd w:val="0"/>
              <w:spacing w:line="300" w:lineRule="exact"/>
              <w:jc w:val="center"/>
              <w:rPr>
                <w:rFonts w:ascii="Times New Roman" w:eastAsia="宋体"/>
                <w:sz w:val="21"/>
                <w:szCs w:val="21"/>
              </w:rPr>
            </w:pPr>
          </w:p>
        </w:tc>
        <w:tc>
          <w:tcPr>
            <w:tcW w:w="812" w:type="pct"/>
            <w:vMerge w:val="continue"/>
            <w:vAlign w:val="center"/>
          </w:tcPr>
          <w:p w14:paraId="084F0CA7">
            <w:pPr>
              <w:adjustRightInd w:val="0"/>
              <w:spacing w:line="300" w:lineRule="exact"/>
              <w:jc w:val="center"/>
              <w:rPr>
                <w:rFonts w:ascii="Times New Roman" w:eastAsia="宋体"/>
                <w:sz w:val="21"/>
                <w:szCs w:val="21"/>
              </w:rPr>
            </w:pPr>
          </w:p>
        </w:tc>
      </w:tr>
      <w:tr w14:paraId="5098B24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4" w:type="pct"/>
            <w:vMerge w:val="restart"/>
            <w:vAlign w:val="center"/>
          </w:tcPr>
          <w:p w14:paraId="2756B185">
            <w:pPr>
              <w:adjustRightInd w:val="0"/>
              <w:spacing w:line="300" w:lineRule="exact"/>
              <w:jc w:val="center"/>
              <w:rPr>
                <w:rFonts w:ascii="Times New Roman" w:eastAsia="宋体"/>
                <w:sz w:val="21"/>
                <w:szCs w:val="21"/>
              </w:rPr>
            </w:pPr>
            <w:r>
              <w:rPr>
                <w:rFonts w:ascii="Times New Roman" w:eastAsia="宋体"/>
                <w:sz w:val="21"/>
                <w:szCs w:val="21"/>
              </w:rPr>
              <w:t>大气</w:t>
            </w:r>
          </w:p>
        </w:tc>
        <w:tc>
          <w:tcPr>
            <w:tcW w:w="595" w:type="pct"/>
            <w:vAlign w:val="center"/>
          </w:tcPr>
          <w:p w14:paraId="7F129646">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戴庄</w:t>
            </w:r>
          </w:p>
        </w:tc>
        <w:tc>
          <w:tcPr>
            <w:tcW w:w="551" w:type="pct"/>
            <w:vAlign w:val="center"/>
          </w:tcPr>
          <w:p w14:paraId="6B63E5D4">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118.7</w:t>
            </w:r>
            <w:r>
              <w:rPr>
                <w:rFonts w:hint="eastAsia" w:ascii="Times New Roman" w:hAnsi="Times New Roman" w:eastAsia="宋体" w:cs="Times New Roman"/>
                <w:sz w:val="21"/>
                <w:szCs w:val="21"/>
              </w:rPr>
              <w:t>054</w:t>
            </w:r>
          </w:p>
        </w:tc>
        <w:tc>
          <w:tcPr>
            <w:tcW w:w="484" w:type="pct"/>
            <w:vAlign w:val="center"/>
          </w:tcPr>
          <w:p w14:paraId="4BCD5242">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33.</w:t>
            </w:r>
            <w:r>
              <w:rPr>
                <w:rFonts w:hint="eastAsia" w:ascii="Times New Roman" w:hAnsi="Times New Roman" w:eastAsia="宋体" w:cs="Times New Roman"/>
                <w:sz w:val="21"/>
                <w:szCs w:val="21"/>
              </w:rPr>
              <w:t>8943</w:t>
            </w:r>
          </w:p>
        </w:tc>
        <w:tc>
          <w:tcPr>
            <w:tcW w:w="484" w:type="pct"/>
            <w:vAlign w:val="center"/>
          </w:tcPr>
          <w:p w14:paraId="143B6366">
            <w:pPr>
              <w:spacing w:line="300" w:lineRule="exact"/>
              <w:jc w:val="center"/>
              <w:rPr>
                <w:rFonts w:ascii="Times New Roman" w:eastAsia="宋体"/>
                <w:sz w:val="21"/>
                <w:szCs w:val="21"/>
              </w:rPr>
            </w:pPr>
            <w:r>
              <w:rPr>
                <w:rFonts w:ascii="Times New Roman" w:eastAsia="宋体"/>
                <w:sz w:val="21"/>
                <w:szCs w:val="21"/>
              </w:rPr>
              <w:t>居民区</w:t>
            </w:r>
          </w:p>
        </w:tc>
        <w:tc>
          <w:tcPr>
            <w:tcW w:w="388" w:type="pct"/>
            <w:vAlign w:val="center"/>
          </w:tcPr>
          <w:p w14:paraId="2F2EF70E">
            <w:pPr>
              <w:spacing w:line="300" w:lineRule="exact"/>
              <w:jc w:val="center"/>
              <w:rPr>
                <w:rFonts w:ascii="Times New Roman" w:eastAsia="宋体"/>
                <w:sz w:val="21"/>
                <w:szCs w:val="21"/>
              </w:rPr>
            </w:pPr>
            <w:r>
              <w:rPr>
                <w:rFonts w:ascii="Times New Roman" w:eastAsia="宋体"/>
                <w:sz w:val="21"/>
                <w:szCs w:val="21"/>
              </w:rPr>
              <w:t>人群</w:t>
            </w:r>
          </w:p>
        </w:tc>
        <w:tc>
          <w:tcPr>
            <w:tcW w:w="492" w:type="pct"/>
            <w:vMerge w:val="restart"/>
            <w:vAlign w:val="center"/>
          </w:tcPr>
          <w:p w14:paraId="5EF49B0D">
            <w:pPr>
              <w:spacing w:line="300" w:lineRule="exact"/>
              <w:jc w:val="center"/>
              <w:rPr>
                <w:rFonts w:ascii="Times New Roman" w:eastAsia="宋体"/>
                <w:sz w:val="21"/>
                <w:szCs w:val="21"/>
              </w:rPr>
            </w:pPr>
            <w:r>
              <w:rPr>
                <w:rFonts w:ascii="Times New Roman" w:eastAsia="宋体"/>
                <w:sz w:val="21"/>
                <w:szCs w:val="21"/>
              </w:rPr>
              <w:t>二类区</w:t>
            </w:r>
          </w:p>
        </w:tc>
        <w:tc>
          <w:tcPr>
            <w:tcW w:w="462" w:type="pct"/>
            <w:vAlign w:val="center"/>
          </w:tcPr>
          <w:p w14:paraId="78C35CB8">
            <w:pPr>
              <w:spacing w:line="300" w:lineRule="exact"/>
              <w:jc w:val="center"/>
              <w:rPr>
                <w:rFonts w:ascii="Times New Roman" w:eastAsia="宋体"/>
                <w:sz w:val="21"/>
                <w:szCs w:val="21"/>
              </w:rPr>
            </w:pPr>
            <w:r>
              <w:rPr>
                <w:rFonts w:hint="eastAsia" w:ascii="Times New Roman" w:eastAsia="宋体"/>
                <w:sz w:val="21"/>
                <w:szCs w:val="21"/>
              </w:rPr>
              <w:t>150</w:t>
            </w:r>
          </w:p>
        </w:tc>
        <w:tc>
          <w:tcPr>
            <w:tcW w:w="381" w:type="pct"/>
            <w:vAlign w:val="center"/>
          </w:tcPr>
          <w:p w14:paraId="0D6BD9E1">
            <w:pPr>
              <w:spacing w:line="300" w:lineRule="exact"/>
              <w:jc w:val="center"/>
              <w:rPr>
                <w:rFonts w:ascii="Times New Roman" w:eastAsia="宋体"/>
                <w:sz w:val="21"/>
                <w:szCs w:val="21"/>
              </w:rPr>
            </w:pPr>
            <w:r>
              <w:rPr>
                <w:rFonts w:hint="eastAsia" w:ascii="Times New Roman" w:eastAsia="宋体"/>
                <w:sz w:val="21"/>
                <w:szCs w:val="21"/>
              </w:rPr>
              <w:t>西北</w:t>
            </w:r>
          </w:p>
        </w:tc>
        <w:tc>
          <w:tcPr>
            <w:tcW w:w="812" w:type="pct"/>
            <w:vAlign w:val="center"/>
          </w:tcPr>
          <w:p w14:paraId="2BDCD53E">
            <w:pPr>
              <w:spacing w:line="300" w:lineRule="exact"/>
              <w:jc w:val="center"/>
              <w:rPr>
                <w:rFonts w:hint="default" w:ascii="Times New Roman" w:eastAsia="宋体"/>
                <w:sz w:val="21"/>
                <w:szCs w:val="21"/>
                <w:lang w:val="en-US" w:eastAsia="zh-CN"/>
              </w:rPr>
            </w:pPr>
            <w:r>
              <w:rPr>
                <w:rFonts w:hint="eastAsia" w:ascii="Times New Roman" w:eastAsia="宋体"/>
                <w:sz w:val="21"/>
                <w:szCs w:val="21"/>
              </w:rPr>
              <w:t>60</w:t>
            </w:r>
            <w:r>
              <w:rPr>
                <w:rFonts w:hint="eastAsia" w:ascii="Times New Roman" w:eastAsia="宋体"/>
                <w:sz w:val="21"/>
                <w:szCs w:val="21"/>
                <w:lang w:eastAsia="zh-CN"/>
              </w:rPr>
              <w:t>（</w:t>
            </w:r>
            <w:r>
              <w:rPr>
                <w:rFonts w:hint="eastAsia" w:ascii="Times New Roman" w:eastAsia="宋体"/>
                <w:sz w:val="21"/>
                <w:szCs w:val="21"/>
                <w:lang w:val="en-US" w:eastAsia="zh-CN"/>
              </w:rPr>
              <w:t>厂界</w:t>
            </w:r>
            <w:r>
              <w:rPr>
                <w:rFonts w:hint="eastAsia" w:ascii="Times New Roman" w:eastAsia="宋体"/>
                <w:sz w:val="21"/>
                <w:szCs w:val="21"/>
                <w:lang w:eastAsia="zh-CN"/>
              </w:rPr>
              <w:t>）</w:t>
            </w:r>
            <w:r>
              <w:rPr>
                <w:rFonts w:hint="eastAsia" w:ascii="Times New Roman" w:eastAsia="宋体"/>
                <w:sz w:val="21"/>
                <w:szCs w:val="21"/>
                <w:lang w:val="en-US" w:eastAsia="zh-CN"/>
              </w:rPr>
              <w:t>/145（本项目边界）</w:t>
            </w:r>
          </w:p>
        </w:tc>
      </w:tr>
      <w:tr w14:paraId="551671F6">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69" w:hRule="atLeast"/>
        </w:trPr>
        <w:tc>
          <w:tcPr>
            <w:tcW w:w="344" w:type="pct"/>
            <w:vMerge w:val="continue"/>
            <w:vAlign w:val="center"/>
          </w:tcPr>
          <w:p w14:paraId="15309AD5">
            <w:pPr>
              <w:adjustRightInd w:val="0"/>
              <w:spacing w:line="300" w:lineRule="exact"/>
              <w:jc w:val="center"/>
              <w:rPr>
                <w:rFonts w:ascii="Times New Roman" w:eastAsia="宋体"/>
                <w:color w:val="FF0000"/>
                <w:sz w:val="21"/>
                <w:szCs w:val="21"/>
              </w:rPr>
            </w:pPr>
          </w:p>
        </w:tc>
        <w:tc>
          <w:tcPr>
            <w:tcW w:w="595" w:type="pct"/>
            <w:vAlign w:val="center"/>
          </w:tcPr>
          <w:p w14:paraId="210F9D7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金星村</w:t>
            </w:r>
          </w:p>
        </w:tc>
        <w:tc>
          <w:tcPr>
            <w:tcW w:w="551" w:type="pct"/>
            <w:vAlign w:val="center"/>
          </w:tcPr>
          <w:p w14:paraId="259EB9CF">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118.7197</w:t>
            </w:r>
          </w:p>
        </w:tc>
        <w:tc>
          <w:tcPr>
            <w:tcW w:w="484" w:type="pct"/>
            <w:vAlign w:val="center"/>
          </w:tcPr>
          <w:p w14:paraId="021C989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33.8994</w:t>
            </w:r>
          </w:p>
        </w:tc>
        <w:tc>
          <w:tcPr>
            <w:tcW w:w="484" w:type="pct"/>
            <w:vAlign w:val="center"/>
          </w:tcPr>
          <w:p w14:paraId="264009B9">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0B33FACD">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61D23D8E">
            <w:pPr>
              <w:spacing w:line="300" w:lineRule="exact"/>
              <w:jc w:val="center"/>
              <w:rPr>
                <w:rFonts w:ascii="Times New Roman" w:eastAsia="宋体"/>
                <w:color w:val="FF0000"/>
                <w:sz w:val="21"/>
                <w:szCs w:val="21"/>
              </w:rPr>
            </w:pPr>
          </w:p>
        </w:tc>
        <w:tc>
          <w:tcPr>
            <w:tcW w:w="462" w:type="pct"/>
            <w:vAlign w:val="center"/>
          </w:tcPr>
          <w:p w14:paraId="17F093C4">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500</w:t>
            </w:r>
          </w:p>
        </w:tc>
        <w:tc>
          <w:tcPr>
            <w:tcW w:w="381" w:type="pct"/>
            <w:vAlign w:val="center"/>
          </w:tcPr>
          <w:p w14:paraId="5744686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东北</w:t>
            </w:r>
          </w:p>
        </w:tc>
        <w:tc>
          <w:tcPr>
            <w:tcW w:w="812" w:type="pct"/>
            <w:vAlign w:val="center"/>
          </w:tcPr>
          <w:p w14:paraId="2DD04724">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910</w:t>
            </w:r>
          </w:p>
        </w:tc>
      </w:tr>
      <w:tr w14:paraId="0C57B60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69" w:hRule="atLeast"/>
        </w:trPr>
        <w:tc>
          <w:tcPr>
            <w:tcW w:w="344" w:type="pct"/>
            <w:vMerge w:val="continue"/>
            <w:vAlign w:val="center"/>
          </w:tcPr>
          <w:p w14:paraId="7F5234B5">
            <w:pPr>
              <w:adjustRightInd w:val="0"/>
              <w:spacing w:line="300" w:lineRule="exact"/>
              <w:jc w:val="center"/>
              <w:rPr>
                <w:rFonts w:ascii="Times New Roman" w:eastAsia="宋体"/>
                <w:color w:val="FF0000"/>
                <w:sz w:val="21"/>
                <w:szCs w:val="21"/>
              </w:rPr>
            </w:pPr>
          </w:p>
        </w:tc>
        <w:tc>
          <w:tcPr>
            <w:tcW w:w="595" w:type="pct"/>
            <w:vAlign w:val="center"/>
          </w:tcPr>
          <w:p w14:paraId="6BE7D1A2">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槽坊庄</w:t>
            </w:r>
          </w:p>
        </w:tc>
        <w:tc>
          <w:tcPr>
            <w:tcW w:w="551" w:type="pct"/>
            <w:vAlign w:val="center"/>
          </w:tcPr>
          <w:p w14:paraId="671B4C1F">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118.7284</w:t>
            </w:r>
          </w:p>
        </w:tc>
        <w:tc>
          <w:tcPr>
            <w:tcW w:w="484" w:type="pct"/>
            <w:vAlign w:val="center"/>
          </w:tcPr>
          <w:p w14:paraId="5B581F95">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33.9032</w:t>
            </w:r>
          </w:p>
        </w:tc>
        <w:tc>
          <w:tcPr>
            <w:tcW w:w="484" w:type="pct"/>
            <w:vAlign w:val="center"/>
          </w:tcPr>
          <w:p w14:paraId="3B270AB6">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33F4EC80">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508FBA89">
            <w:pPr>
              <w:spacing w:line="300" w:lineRule="exact"/>
              <w:jc w:val="center"/>
              <w:rPr>
                <w:rFonts w:ascii="Times New Roman" w:eastAsia="宋体"/>
                <w:color w:val="FF0000"/>
                <w:sz w:val="21"/>
                <w:szCs w:val="21"/>
              </w:rPr>
            </w:pPr>
          </w:p>
        </w:tc>
        <w:tc>
          <w:tcPr>
            <w:tcW w:w="462" w:type="pct"/>
            <w:vAlign w:val="center"/>
          </w:tcPr>
          <w:p w14:paraId="00B7E4F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350</w:t>
            </w:r>
          </w:p>
        </w:tc>
        <w:tc>
          <w:tcPr>
            <w:tcW w:w="381" w:type="pct"/>
            <w:vAlign w:val="center"/>
          </w:tcPr>
          <w:p w14:paraId="3E746A8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东北</w:t>
            </w:r>
          </w:p>
        </w:tc>
        <w:tc>
          <w:tcPr>
            <w:tcW w:w="812" w:type="pct"/>
            <w:vAlign w:val="center"/>
          </w:tcPr>
          <w:p w14:paraId="46EAF3E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2100</w:t>
            </w:r>
          </w:p>
        </w:tc>
      </w:tr>
      <w:tr w14:paraId="5186BCB6">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69" w:hRule="atLeast"/>
        </w:trPr>
        <w:tc>
          <w:tcPr>
            <w:tcW w:w="344" w:type="pct"/>
            <w:vMerge w:val="continue"/>
            <w:vAlign w:val="center"/>
          </w:tcPr>
          <w:p w14:paraId="578309EB">
            <w:pPr>
              <w:adjustRightInd w:val="0"/>
              <w:spacing w:line="300" w:lineRule="exact"/>
              <w:jc w:val="center"/>
              <w:rPr>
                <w:rFonts w:ascii="Times New Roman" w:eastAsia="宋体"/>
                <w:color w:val="FF0000"/>
                <w:sz w:val="21"/>
                <w:szCs w:val="21"/>
              </w:rPr>
            </w:pPr>
          </w:p>
        </w:tc>
        <w:tc>
          <w:tcPr>
            <w:tcW w:w="595" w:type="pct"/>
            <w:vAlign w:val="center"/>
          </w:tcPr>
          <w:p w14:paraId="3B7FDDB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曙光王庄</w:t>
            </w:r>
          </w:p>
        </w:tc>
        <w:tc>
          <w:tcPr>
            <w:tcW w:w="551" w:type="pct"/>
            <w:vAlign w:val="center"/>
          </w:tcPr>
          <w:p w14:paraId="77E02F03">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118.7301</w:t>
            </w:r>
          </w:p>
        </w:tc>
        <w:tc>
          <w:tcPr>
            <w:tcW w:w="484" w:type="pct"/>
            <w:vAlign w:val="center"/>
          </w:tcPr>
          <w:p w14:paraId="66B0A2A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33.8937</w:t>
            </w:r>
          </w:p>
        </w:tc>
        <w:tc>
          <w:tcPr>
            <w:tcW w:w="484" w:type="pct"/>
            <w:vAlign w:val="center"/>
          </w:tcPr>
          <w:p w14:paraId="7DABC662">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6FECC8EE">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5C624752">
            <w:pPr>
              <w:spacing w:line="300" w:lineRule="exact"/>
              <w:jc w:val="center"/>
              <w:rPr>
                <w:rFonts w:ascii="Times New Roman" w:eastAsia="宋体"/>
                <w:color w:val="FF0000"/>
                <w:sz w:val="21"/>
                <w:szCs w:val="21"/>
              </w:rPr>
            </w:pPr>
          </w:p>
        </w:tc>
        <w:tc>
          <w:tcPr>
            <w:tcW w:w="462" w:type="pct"/>
            <w:vAlign w:val="center"/>
          </w:tcPr>
          <w:p w14:paraId="7485B5B4">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400</w:t>
            </w:r>
          </w:p>
        </w:tc>
        <w:tc>
          <w:tcPr>
            <w:tcW w:w="381" w:type="pct"/>
            <w:vAlign w:val="center"/>
          </w:tcPr>
          <w:p w14:paraId="69E77D1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w:t>
            </w:r>
          </w:p>
        </w:tc>
        <w:tc>
          <w:tcPr>
            <w:tcW w:w="812" w:type="pct"/>
            <w:vAlign w:val="center"/>
          </w:tcPr>
          <w:p w14:paraId="1D88E7C2">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1900</w:t>
            </w:r>
          </w:p>
        </w:tc>
      </w:tr>
      <w:tr w14:paraId="4B51B96F">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69" w:hRule="atLeast"/>
        </w:trPr>
        <w:tc>
          <w:tcPr>
            <w:tcW w:w="344" w:type="pct"/>
            <w:vMerge w:val="continue"/>
            <w:vAlign w:val="center"/>
          </w:tcPr>
          <w:p w14:paraId="6311FD95">
            <w:pPr>
              <w:adjustRightInd w:val="0"/>
              <w:spacing w:line="300" w:lineRule="exact"/>
              <w:jc w:val="center"/>
              <w:rPr>
                <w:rFonts w:ascii="Times New Roman" w:eastAsia="宋体"/>
                <w:color w:val="FF0000"/>
                <w:sz w:val="21"/>
                <w:szCs w:val="21"/>
              </w:rPr>
            </w:pPr>
          </w:p>
        </w:tc>
        <w:tc>
          <w:tcPr>
            <w:tcW w:w="595" w:type="pct"/>
            <w:vAlign w:val="center"/>
          </w:tcPr>
          <w:p w14:paraId="71598EF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孙庄</w:t>
            </w:r>
          </w:p>
        </w:tc>
        <w:tc>
          <w:tcPr>
            <w:tcW w:w="551" w:type="pct"/>
            <w:vAlign w:val="center"/>
          </w:tcPr>
          <w:p w14:paraId="3DDFE92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118.7342</w:t>
            </w:r>
          </w:p>
        </w:tc>
        <w:tc>
          <w:tcPr>
            <w:tcW w:w="484" w:type="pct"/>
            <w:vAlign w:val="center"/>
          </w:tcPr>
          <w:p w14:paraId="3E07D7E6">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33.8938</w:t>
            </w:r>
          </w:p>
        </w:tc>
        <w:tc>
          <w:tcPr>
            <w:tcW w:w="484" w:type="pct"/>
            <w:vAlign w:val="center"/>
          </w:tcPr>
          <w:p w14:paraId="332B6D58">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21AFF598">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4E7A4B21">
            <w:pPr>
              <w:spacing w:line="300" w:lineRule="exact"/>
              <w:jc w:val="center"/>
              <w:rPr>
                <w:rFonts w:ascii="Times New Roman" w:eastAsia="宋体"/>
                <w:color w:val="FF0000"/>
                <w:sz w:val="21"/>
                <w:szCs w:val="21"/>
              </w:rPr>
            </w:pPr>
          </w:p>
        </w:tc>
        <w:tc>
          <w:tcPr>
            <w:tcW w:w="462" w:type="pct"/>
            <w:vAlign w:val="center"/>
          </w:tcPr>
          <w:p w14:paraId="35CAA1A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200</w:t>
            </w:r>
          </w:p>
        </w:tc>
        <w:tc>
          <w:tcPr>
            <w:tcW w:w="381" w:type="pct"/>
            <w:vAlign w:val="center"/>
          </w:tcPr>
          <w:p w14:paraId="6FF7AA7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w:t>
            </w:r>
          </w:p>
        </w:tc>
        <w:tc>
          <w:tcPr>
            <w:tcW w:w="812" w:type="pct"/>
            <w:vAlign w:val="center"/>
          </w:tcPr>
          <w:p w14:paraId="421E6BA8">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2310</w:t>
            </w:r>
          </w:p>
        </w:tc>
      </w:tr>
      <w:tr w14:paraId="6D9C443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69" w:hRule="atLeast"/>
        </w:trPr>
        <w:tc>
          <w:tcPr>
            <w:tcW w:w="344" w:type="pct"/>
            <w:vMerge w:val="continue"/>
            <w:vAlign w:val="center"/>
          </w:tcPr>
          <w:p w14:paraId="29E0942B">
            <w:pPr>
              <w:adjustRightInd w:val="0"/>
              <w:spacing w:line="300" w:lineRule="exact"/>
              <w:jc w:val="center"/>
              <w:rPr>
                <w:rFonts w:ascii="Times New Roman" w:eastAsia="宋体"/>
                <w:color w:val="FF0000"/>
                <w:sz w:val="21"/>
                <w:szCs w:val="21"/>
              </w:rPr>
            </w:pPr>
          </w:p>
        </w:tc>
        <w:tc>
          <w:tcPr>
            <w:tcW w:w="595" w:type="pct"/>
            <w:vAlign w:val="center"/>
          </w:tcPr>
          <w:p w14:paraId="2B1BE088">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黄庄</w:t>
            </w:r>
          </w:p>
        </w:tc>
        <w:tc>
          <w:tcPr>
            <w:tcW w:w="551" w:type="pct"/>
            <w:vAlign w:val="center"/>
          </w:tcPr>
          <w:p w14:paraId="33F70F4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118.7156</w:t>
            </w:r>
          </w:p>
        </w:tc>
        <w:tc>
          <w:tcPr>
            <w:tcW w:w="484" w:type="pct"/>
            <w:vAlign w:val="center"/>
          </w:tcPr>
          <w:p w14:paraId="203D2828">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33.8871</w:t>
            </w:r>
          </w:p>
        </w:tc>
        <w:tc>
          <w:tcPr>
            <w:tcW w:w="484" w:type="pct"/>
            <w:vAlign w:val="center"/>
          </w:tcPr>
          <w:p w14:paraId="35654947">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15A1B70F">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05059BD5">
            <w:pPr>
              <w:spacing w:line="300" w:lineRule="exact"/>
              <w:jc w:val="center"/>
              <w:rPr>
                <w:rFonts w:ascii="Times New Roman" w:eastAsia="宋体"/>
                <w:color w:val="FF0000"/>
                <w:sz w:val="21"/>
                <w:szCs w:val="21"/>
              </w:rPr>
            </w:pPr>
          </w:p>
        </w:tc>
        <w:tc>
          <w:tcPr>
            <w:tcW w:w="462" w:type="pct"/>
            <w:vAlign w:val="center"/>
          </w:tcPr>
          <w:p w14:paraId="42FEFFE4">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450</w:t>
            </w:r>
          </w:p>
        </w:tc>
        <w:tc>
          <w:tcPr>
            <w:tcW w:w="381" w:type="pct"/>
            <w:vAlign w:val="center"/>
          </w:tcPr>
          <w:p w14:paraId="448D9B9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东南</w:t>
            </w:r>
          </w:p>
        </w:tc>
        <w:tc>
          <w:tcPr>
            <w:tcW w:w="812" w:type="pct"/>
            <w:vAlign w:val="center"/>
          </w:tcPr>
          <w:p w14:paraId="1ACED17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700</w:t>
            </w:r>
          </w:p>
        </w:tc>
      </w:tr>
      <w:tr w14:paraId="41EEE841">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69" w:hRule="atLeast"/>
        </w:trPr>
        <w:tc>
          <w:tcPr>
            <w:tcW w:w="344" w:type="pct"/>
            <w:vMerge w:val="continue"/>
            <w:vAlign w:val="center"/>
          </w:tcPr>
          <w:p w14:paraId="79612FA2">
            <w:pPr>
              <w:adjustRightInd w:val="0"/>
              <w:spacing w:line="300" w:lineRule="exact"/>
              <w:jc w:val="center"/>
              <w:rPr>
                <w:rFonts w:ascii="Times New Roman" w:eastAsia="宋体"/>
                <w:color w:val="FF0000"/>
                <w:sz w:val="21"/>
                <w:szCs w:val="21"/>
              </w:rPr>
            </w:pPr>
          </w:p>
        </w:tc>
        <w:tc>
          <w:tcPr>
            <w:tcW w:w="595" w:type="pct"/>
            <w:vAlign w:val="center"/>
          </w:tcPr>
          <w:p w14:paraId="4E03089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花园庄</w:t>
            </w:r>
          </w:p>
        </w:tc>
        <w:tc>
          <w:tcPr>
            <w:tcW w:w="551" w:type="pct"/>
            <w:vAlign w:val="center"/>
          </w:tcPr>
          <w:p w14:paraId="036C9F6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118.7243</w:t>
            </w:r>
          </w:p>
        </w:tc>
        <w:tc>
          <w:tcPr>
            <w:tcW w:w="484" w:type="pct"/>
            <w:vAlign w:val="center"/>
          </w:tcPr>
          <w:p w14:paraId="4314FEC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33.8823</w:t>
            </w:r>
          </w:p>
        </w:tc>
        <w:tc>
          <w:tcPr>
            <w:tcW w:w="484" w:type="pct"/>
            <w:vAlign w:val="center"/>
          </w:tcPr>
          <w:p w14:paraId="63680D1A">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1AA4EA6D">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3A91158A">
            <w:pPr>
              <w:spacing w:line="300" w:lineRule="exact"/>
              <w:jc w:val="center"/>
              <w:rPr>
                <w:rFonts w:ascii="Times New Roman" w:eastAsia="宋体"/>
                <w:color w:val="FF0000"/>
                <w:sz w:val="21"/>
                <w:szCs w:val="21"/>
              </w:rPr>
            </w:pPr>
          </w:p>
        </w:tc>
        <w:tc>
          <w:tcPr>
            <w:tcW w:w="462" w:type="pct"/>
            <w:vAlign w:val="center"/>
          </w:tcPr>
          <w:p w14:paraId="6F8CBF14">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750</w:t>
            </w:r>
          </w:p>
        </w:tc>
        <w:tc>
          <w:tcPr>
            <w:tcW w:w="381" w:type="pct"/>
            <w:vAlign w:val="center"/>
          </w:tcPr>
          <w:p w14:paraId="267C3F16">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东南</w:t>
            </w:r>
          </w:p>
        </w:tc>
        <w:tc>
          <w:tcPr>
            <w:tcW w:w="812" w:type="pct"/>
            <w:vAlign w:val="center"/>
          </w:tcPr>
          <w:p w14:paraId="508B4C60">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1600</w:t>
            </w:r>
          </w:p>
        </w:tc>
      </w:tr>
      <w:tr w14:paraId="1C860855">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69" w:hRule="atLeast"/>
        </w:trPr>
        <w:tc>
          <w:tcPr>
            <w:tcW w:w="344" w:type="pct"/>
            <w:vMerge w:val="continue"/>
            <w:vAlign w:val="center"/>
          </w:tcPr>
          <w:p w14:paraId="450B1A7E">
            <w:pPr>
              <w:adjustRightInd w:val="0"/>
              <w:spacing w:line="300" w:lineRule="exact"/>
              <w:jc w:val="center"/>
              <w:rPr>
                <w:rFonts w:ascii="Times New Roman" w:eastAsia="宋体"/>
                <w:color w:val="FF0000"/>
                <w:sz w:val="21"/>
                <w:szCs w:val="21"/>
              </w:rPr>
            </w:pPr>
          </w:p>
        </w:tc>
        <w:tc>
          <w:tcPr>
            <w:tcW w:w="595" w:type="pct"/>
            <w:vAlign w:val="center"/>
          </w:tcPr>
          <w:p w14:paraId="4560442F">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赵庄村</w:t>
            </w:r>
          </w:p>
        </w:tc>
        <w:tc>
          <w:tcPr>
            <w:tcW w:w="551" w:type="pct"/>
            <w:vAlign w:val="center"/>
          </w:tcPr>
          <w:p w14:paraId="49571096">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118.7297</w:t>
            </w:r>
          </w:p>
        </w:tc>
        <w:tc>
          <w:tcPr>
            <w:tcW w:w="484" w:type="pct"/>
            <w:vAlign w:val="center"/>
          </w:tcPr>
          <w:p w14:paraId="7899D853">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33.8826</w:t>
            </w:r>
          </w:p>
        </w:tc>
        <w:tc>
          <w:tcPr>
            <w:tcW w:w="484" w:type="pct"/>
            <w:vAlign w:val="center"/>
          </w:tcPr>
          <w:p w14:paraId="5BDDABC0">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2BC682C5">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0B9B3E76">
            <w:pPr>
              <w:spacing w:line="300" w:lineRule="exact"/>
              <w:jc w:val="center"/>
              <w:rPr>
                <w:rFonts w:ascii="Times New Roman" w:eastAsia="宋体"/>
                <w:color w:val="FF0000"/>
                <w:sz w:val="21"/>
                <w:szCs w:val="21"/>
              </w:rPr>
            </w:pPr>
          </w:p>
        </w:tc>
        <w:tc>
          <w:tcPr>
            <w:tcW w:w="462" w:type="pct"/>
            <w:vAlign w:val="center"/>
          </w:tcPr>
          <w:p w14:paraId="2571199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550</w:t>
            </w:r>
          </w:p>
        </w:tc>
        <w:tc>
          <w:tcPr>
            <w:tcW w:w="381" w:type="pct"/>
            <w:vAlign w:val="center"/>
          </w:tcPr>
          <w:p w14:paraId="5D448AA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东南</w:t>
            </w:r>
          </w:p>
        </w:tc>
        <w:tc>
          <w:tcPr>
            <w:tcW w:w="812" w:type="pct"/>
            <w:vAlign w:val="center"/>
          </w:tcPr>
          <w:p w14:paraId="24CED60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2150</w:t>
            </w:r>
          </w:p>
        </w:tc>
      </w:tr>
      <w:tr w14:paraId="11E18FA0">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69" w:hRule="atLeast"/>
        </w:trPr>
        <w:tc>
          <w:tcPr>
            <w:tcW w:w="344" w:type="pct"/>
            <w:vMerge w:val="continue"/>
            <w:vAlign w:val="center"/>
          </w:tcPr>
          <w:p w14:paraId="4FC7DABA">
            <w:pPr>
              <w:adjustRightInd w:val="0"/>
              <w:spacing w:line="300" w:lineRule="exact"/>
              <w:jc w:val="center"/>
              <w:rPr>
                <w:rFonts w:ascii="Times New Roman" w:eastAsia="宋体"/>
                <w:color w:val="FF0000"/>
                <w:sz w:val="21"/>
                <w:szCs w:val="21"/>
              </w:rPr>
            </w:pPr>
          </w:p>
        </w:tc>
        <w:tc>
          <w:tcPr>
            <w:tcW w:w="595" w:type="pct"/>
            <w:vAlign w:val="center"/>
          </w:tcPr>
          <w:p w14:paraId="77FC5024">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徐庄村</w:t>
            </w:r>
          </w:p>
        </w:tc>
        <w:tc>
          <w:tcPr>
            <w:tcW w:w="551" w:type="pct"/>
            <w:vAlign w:val="center"/>
          </w:tcPr>
          <w:p w14:paraId="0ACC4ED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118.7334</w:t>
            </w:r>
          </w:p>
        </w:tc>
        <w:tc>
          <w:tcPr>
            <w:tcW w:w="484" w:type="pct"/>
            <w:vAlign w:val="center"/>
          </w:tcPr>
          <w:p w14:paraId="490C3AC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33.8761</w:t>
            </w:r>
          </w:p>
        </w:tc>
        <w:tc>
          <w:tcPr>
            <w:tcW w:w="484" w:type="pct"/>
            <w:vAlign w:val="center"/>
          </w:tcPr>
          <w:p w14:paraId="03246ECB">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18621FCA">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6CF25EA9">
            <w:pPr>
              <w:spacing w:line="300" w:lineRule="exact"/>
              <w:jc w:val="center"/>
              <w:rPr>
                <w:rFonts w:ascii="Times New Roman" w:eastAsia="宋体"/>
                <w:color w:val="FF0000"/>
                <w:sz w:val="21"/>
                <w:szCs w:val="21"/>
              </w:rPr>
            </w:pPr>
          </w:p>
        </w:tc>
        <w:tc>
          <w:tcPr>
            <w:tcW w:w="462" w:type="pct"/>
            <w:vAlign w:val="center"/>
          </w:tcPr>
          <w:p w14:paraId="2BA78426">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800</w:t>
            </w:r>
          </w:p>
        </w:tc>
        <w:tc>
          <w:tcPr>
            <w:tcW w:w="381" w:type="pct"/>
            <w:vAlign w:val="center"/>
          </w:tcPr>
          <w:p w14:paraId="527E030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东南</w:t>
            </w:r>
          </w:p>
        </w:tc>
        <w:tc>
          <w:tcPr>
            <w:tcW w:w="812" w:type="pct"/>
            <w:vAlign w:val="center"/>
          </w:tcPr>
          <w:p w14:paraId="2B21402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2500</w:t>
            </w:r>
          </w:p>
        </w:tc>
      </w:tr>
      <w:tr w14:paraId="3453E6B2">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69" w:hRule="atLeast"/>
        </w:trPr>
        <w:tc>
          <w:tcPr>
            <w:tcW w:w="344" w:type="pct"/>
            <w:vMerge w:val="continue"/>
            <w:vAlign w:val="center"/>
          </w:tcPr>
          <w:p w14:paraId="3A434CA0">
            <w:pPr>
              <w:adjustRightInd w:val="0"/>
              <w:spacing w:line="300" w:lineRule="exact"/>
              <w:jc w:val="center"/>
              <w:rPr>
                <w:rFonts w:ascii="Times New Roman" w:eastAsia="宋体"/>
                <w:color w:val="FF0000"/>
                <w:sz w:val="21"/>
                <w:szCs w:val="21"/>
              </w:rPr>
            </w:pPr>
          </w:p>
        </w:tc>
        <w:tc>
          <w:tcPr>
            <w:tcW w:w="595" w:type="pct"/>
            <w:vAlign w:val="center"/>
          </w:tcPr>
          <w:p w14:paraId="5C1EC818">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姚庄</w:t>
            </w:r>
          </w:p>
        </w:tc>
        <w:tc>
          <w:tcPr>
            <w:tcW w:w="551" w:type="pct"/>
            <w:vAlign w:val="center"/>
          </w:tcPr>
          <w:p w14:paraId="5FB76A56">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118.7152</w:t>
            </w:r>
          </w:p>
        </w:tc>
        <w:tc>
          <w:tcPr>
            <w:tcW w:w="484" w:type="pct"/>
            <w:vAlign w:val="center"/>
          </w:tcPr>
          <w:p w14:paraId="58D4CA2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33.8823</w:t>
            </w:r>
          </w:p>
        </w:tc>
        <w:tc>
          <w:tcPr>
            <w:tcW w:w="484" w:type="pct"/>
            <w:vAlign w:val="center"/>
          </w:tcPr>
          <w:p w14:paraId="2E142DF6">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0C734BD3">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77FB06AC">
            <w:pPr>
              <w:spacing w:line="300" w:lineRule="exact"/>
              <w:jc w:val="center"/>
              <w:rPr>
                <w:rFonts w:ascii="Times New Roman" w:eastAsia="宋体"/>
                <w:color w:val="FF0000"/>
                <w:sz w:val="21"/>
                <w:szCs w:val="21"/>
              </w:rPr>
            </w:pPr>
          </w:p>
        </w:tc>
        <w:tc>
          <w:tcPr>
            <w:tcW w:w="462" w:type="pct"/>
            <w:vAlign w:val="center"/>
          </w:tcPr>
          <w:p w14:paraId="249EF53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180</w:t>
            </w:r>
          </w:p>
        </w:tc>
        <w:tc>
          <w:tcPr>
            <w:tcW w:w="381" w:type="pct"/>
            <w:vAlign w:val="center"/>
          </w:tcPr>
          <w:p w14:paraId="1B7BD9C0">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东南</w:t>
            </w:r>
          </w:p>
        </w:tc>
        <w:tc>
          <w:tcPr>
            <w:tcW w:w="812" w:type="pct"/>
            <w:vAlign w:val="center"/>
          </w:tcPr>
          <w:p w14:paraId="32E3079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1200</w:t>
            </w:r>
          </w:p>
        </w:tc>
      </w:tr>
      <w:tr w14:paraId="46778872">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27F32B3F">
            <w:pPr>
              <w:adjustRightInd w:val="0"/>
              <w:spacing w:line="300" w:lineRule="exact"/>
              <w:jc w:val="center"/>
              <w:rPr>
                <w:rFonts w:ascii="Times New Roman" w:eastAsia="宋体"/>
                <w:color w:val="FF0000"/>
                <w:sz w:val="21"/>
                <w:szCs w:val="21"/>
              </w:rPr>
            </w:pPr>
          </w:p>
        </w:tc>
        <w:tc>
          <w:tcPr>
            <w:tcW w:w="595" w:type="pct"/>
            <w:vAlign w:val="center"/>
          </w:tcPr>
          <w:p w14:paraId="37E665E2">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前张庄</w:t>
            </w:r>
          </w:p>
        </w:tc>
        <w:tc>
          <w:tcPr>
            <w:tcW w:w="551" w:type="pct"/>
            <w:vAlign w:val="center"/>
          </w:tcPr>
          <w:p w14:paraId="2212B5D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118.7187</w:t>
            </w:r>
          </w:p>
        </w:tc>
        <w:tc>
          <w:tcPr>
            <w:tcW w:w="484" w:type="pct"/>
            <w:vAlign w:val="center"/>
          </w:tcPr>
          <w:p w14:paraId="1F2D6FA0">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33.8763</w:t>
            </w:r>
          </w:p>
        </w:tc>
        <w:tc>
          <w:tcPr>
            <w:tcW w:w="484" w:type="pct"/>
            <w:vAlign w:val="center"/>
          </w:tcPr>
          <w:p w14:paraId="1D63B444">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13F814C0">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20DEE4E2">
            <w:pPr>
              <w:spacing w:line="300" w:lineRule="exact"/>
              <w:jc w:val="center"/>
              <w:rPr>
                <w:rFonts w:ascii="Times New Roman" w:eastAsia="宋体"/>
                <w:color w:val="FF0000"/>
                <w:sz w:val="21"/>
                <w:szCs w:val="21"/>
              </w:rPr>
            </w:pPr>
          </w:p>
        </w:tc>
        <w:tc>
          <w:tcPr>
            <w:tcW w:w="462" w:type="pct"/>
            <w:vAlign w:val="center"/>
          </w:tcPr>
          <w:p w14:paraId="229449B8">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300</w:t>
            </w:r>
          </w:p>
        </w:tc>
        <w:tc>
          <w:tcPr>
            <w:tcW w:w="381" w:type="pct"/>
            <w:vAlign w:val="center"/>
          </w:tcPr>
          <w:p w14:paraId="7014459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东南</w:t>
            </w:r>
          </w:p>
        </w:tc>
        <w:tc>
          <w:tcPr>
            <w:tcW w:w="812" w:type="pct"/>
            <w:vAlign w:val="center"/>
          </w:tcPr>
          <w:p w14:paraId="185B4E8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2100</w:t>
            </w:r>
          </w:p>
        </w:tc>
      </w:tr>
      <w:tr w14:paraId="23F50A70">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560BE445">
            <w:pPr>
              <w:adjustRightInd w:val="0"/>
              <w:spacing w:line="300" w:lineRule="exact"/>
              <w:jc w:val="center"/>
              <w:rPr>
                <w:rFonts w:ascii="Times New Roman" w:eastAsia="宋体"/>
                <w:color w:val="FF0000"/>
                <w:sz w:val="21"/>
                <w:szCs w:val="21"/>
              </w:rPr>
            </w:pPr>
          </w:p>
        </w:tc>
        <w:tc>
          <w:tcPr>
            <w:tcW w:w="595" w:type="pct"/>
            <w:vAlign w:val="center"/>
          </w:tcPr>
          <w:p w14:paraId="387ECD84">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王葛</w:t>
            </w:r>
          </w:p>
        </w:tc>
        <w:tc>
          <w:tcPr>
            <w:tcW w:w="551" w:type="pct"/>
            <w:vAlign w:val="center"/>
          </w:tcPr>
          <w:p w14:paraId="403AB37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118.7153</w:t>
            </w:r>
          </w:p>
        </w:tc>
        <w:tc>
          <w:tcPr>
            <w:tcW w:w="484" w:type="pct"/>
            <w:vAlign w:val="center"/>
          </w:tcPr>
          <w:p w14:paraId="568491F3">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33.8775</w:t>
            </w:r>
          </w:p>
        </w:tc>
        <w:tc>
          <w:tcPr>
            <w:tcW w:w="484" w:type="pct"/>
            <w:vAlign w:val="center"/>
          </w:tcPr>
          <w:p w14:paraId="4975AE0A">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394ECA71">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3AD14203">
            <w:pPr>
              <w:spacing w:line="300" w:lineRule="exact"/>
              <w:jc w:val="center"/>
              <w:rPr>
                <w:rFonts w:ascii="Times New Roman" w:eastAsia="宋体"/>
                <w:color w:val="FF0000"/>
                <w:sz w:val="21"/>
                <w:szCs w:val="21"/>
              </w:rPr>
            </w:pPr>
          </w:p>
        </w:tc>
        <w:tc>
          <w:tcPr>
            <w:tcW w:w="462" w:type="pct"/>
            <w:vAlign w:val="center"/>
          </w:tcPr>
          <w:p w14:paraId="71A0A5A5">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130</w:t>
            </w:r>
          </w:p>
        </w:tc>
        <w:tc>
          <w:tcPr>
            <w:tcW w:w="381" w:type="pct"/>
            <w:vAlign w:val="center"/>
          </w:tcPr>
          <w:p w14:paraId="3FBD3A78">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东南</w:t>
            </w:r>
          </w:p>
        </w:tc>
        <w:tc>
          <w:tcPr>
            <w:tcW w:w="812" w:type="pct"/>
            <w:vAlign w:val="center"/>
          </w:tcPr>
          <w:p w14:paraId="23F0388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1700</w:t>
            </w:r>
          </w:p>
        </w:tc>
      </w:tr>
      <w:tr w14:paraId="636492D9">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1340F773">
            <w:pPr>
              <w:adjustRightInd w:val="0"/>
              <w:spacing w:line="300" w:lineRule="exact"/>
              <w:jc w:val="center"/>
              <w:rPr>
                <w:rFonts w:ascii="Times New Roman" w:eastAsia="宋体"/>
                <w:color w:val="FF0000"/>
                <w:sz w:val="21"/>
                <w:szCs w:val="21"/>
              </w:rPr>
            </w:pPr>
          </w:p>
        </w:tc>
        <w:tc>
          <w:tcPr>
            <w:tcW w:w="595" w:type="pct"/>
            <w:vAlign w:val="center"/>
          </w:tcPr>
          <w:p w14:paraId="22947F58">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汤庄</w:t>
            </w:r>
          </w:p>
        </w:tc>
        <w:tc>
          <w:tcPr>
            <w:tcW w:w="551" w:type="pct"/>
            <w:vAlign w:val="center"/>
          </w:tcPr>
          <w:p w14:paraId="25C10D52">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118.7146</w:t>
            </w:r>
          </w:p>
        </w:tc>
        <w:tc>
          <w:tcPr>
            <w:tcW w:w="484" w:type="pct"/>
            <w:vAlign w:val="center"/>
          </w:tcPr>
          <w:p w14:paraId="06E156B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33.8701</w:t>
            </w:r>
          </w:p>
        </w:tc>
        <w:tc>
          <w:tcPr>
            <w:tcW w:w="484" w:type="pct"/>
            <w:vAlign w:val="center"/>
          </w:tcPr>
          <w:p w14:paraId="02A4B358">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67583E5D">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7D3AFB98">
            <w:pPr>
              <w:spacing w:line="300" w:lineRule="exact"/>
              <w:jc w:val="center"/>
              <w:rPr>
                <w:rFonts w:ascii="Times New Roman" w:eastAsia="宋体"/>
                <w:color w:val="FF0000"/>
                <w:sz w:val="21"/>
                <w:szCs w:val="21"/>
              </w:rPr>
            </w:pPr>
          </w:p>
        </w:tc>
        <w:tc>
          <w:tcPr>
            <w:tcW w:w="462" w:type="pct"/>
            <w:vAlign w:val="center"/>
          </w:tcPr>
          <w:p w14:paraId="77D6BE2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160</w:t>
            </w:r>
          </w:p>
        </w:tc>
        <w:tc>
          <w:tcPr>
            <w:tcW w:w="381" w:type="pct"/>
            <w:vAlign w:val="center"/>
          </w:tcPr>
          <w:p w14:paraId="69687F4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东南</w:t>
            </w:r>
          </w:p>
        </w:tc>
        <w:tc>
          <w:tcPr>
            <w:tcW w:w="812" w:type="pct"/>
            <w:vAlign w:val="center"/>
          </w:tcPr>
          <w:p w14:paraId="1985237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2500</w:t>
            </w:r>
          </w:p>
        </w:tc>
      </w:tr>
      <w:tr w14:paraId="0A5C2848">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6A139E42">
            <w:pPr>
              <w:adjustRightInd w:val="0"/>
              <w:spacing w:line="300" w:lineRule="exact"/>
              <w:jc w:val="center"/>
              <w:rPr>
                <w:rFonts w:ascii="Times New Roman" w:eastAsia="宋体"/>
                <w:color w:val="FF0000"/>
                <w:sz w:val="21"/>
                <w:szCs w:val="21"/>
              </w:rPr>
            </w:pPr>
          </w:p>
        </w:tc>
        <w:tc>
          <w:tcPr>
            <w:tcW w:w="595" w:type="pct"/>
            <w:vAlign w:val="center"/>
          </w:tcPr>
          <w:p w14:paraId="51A66633">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油坊庄</w:t>
            </w:r>
          </w:p>
        </w:tc>
        <w:tc>
          <w:tcPr>
            <w:tcW w:w="551" w:type="pct"/>
            <w:vAlign w:val="center"/>
          </w:tcPr>
          <w:p w14:paraId="791D9FA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118.7048</w:t>
            </w:r>
          </w:p>
        </w:tc>
        <w:tc>
          <w:tcPr>
            <w:tcW w:w="484" w:type="pct"/>
            <w:vAlign w:val="center"/>
          </w:tcPr>
          <w:p w14:paraId="5E904D6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33.8893</w:t>
            </w:r>
          </w:p>
        </w:tc>
        <w:tc>
          <w:tcPr>
            <w:tcW w:w="484" w:type="pct"/>
            <w:vAlign w:val="center"/>
          </w:tcPr>
          <w:p w14:paraId="41296449">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3466D27D">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6FF476C1">
            <w:pPr>
              <w:spacing w:line="300" w:lineRule="exact"/>
              <w:jc w:val="center"/>
              <w:rPr>
                <w:rFonts w:ascii="Times New Roman" w:eastAsia="宋体"/>
                <w:color w:val="FF0000"/>
                <w:sz w:val="21"/>
                <w:szCs w:val="21"/>
              </w:rPr>
            </w:pPr>
          </w:p>
        </w:tc>
        <w:tc>
          <w:tcPr>
            <w:tcW w:w="462" w:type="pct"/>
            <w:vAlign w:val="center"/>
          </w:tcPr>
          <w:p w14:paraId="56EF50B8">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650</w:t>
            </w:r>
          </w:p>
        </w:tc>
        <w:tc>
          <w:tcPr>
            <w:tcW w:w="381" w:type="pct"/>
            <w:vAlign w:val="center"/>
          </w:tcPr>
          <w:p w14:paraId="6048698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西南</w:t>
            </w:r>
          </w:p>
        </w:tc>
        <w:tc>
          <w:tcPr>
            <w:tcW w:w="812" w:type="pct"/>
            <w:vAlign w:val="center"/>
          </w:tcPr>
          <w:p w14:paraId="47CE30F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sz w:val="21"/>
                <w:szCs w:val="21"/>
                <w:lang w:val="en-US" w:eastAsia="zh-CN"/>
              </w:rPr>
              <w:t>190</w:t>
            </w:r>
            <w:r>
              <w:rPr>
                <w:rFonts w:hint="eastAsia" w:ascii="Times New Roman" w:eastAsia="宋体"/>
                <w:sz w:val="21"/>
                <w:szCs w:val="21"/>
                <w:lang w:eastAsia="zh-CN"/>
              </w:rPr>
              <w:t>（</w:t>
            </w:r>
            <w:r>
              <w:rPr>
                <w:rFonts w:hint="eastAsia" w:ascii="Times New Roman" w:eastAsia="宋体"/>
                <w:sz w:val="21"/>
                <w:szCs w:val="21"/>
                <w:lang w:val="en-US" w:eastAsia="zh-CN"/>
              </w:rPr>
              <w:t>厂界</w:t>
            </w:r>
            <w:r>
              <w:rPr>
                <w:rFonts w:hint="eastAsia" w:ascii="Times New Roman" w:eastAsia="宋体"/>
                <w:sz w:val="21"/>
                <w:szCs w:val="21"/>
                <w:lang w:eastAsia="zh-CN"/>
              </w:rPr>
              <w:t>）</w:t>
            </w:r>
            <w:r>
              <w:rPr>
                <w:rFonts w:hint="eastAsia" w:ascii="Times New Roman" w:eastAsia="宋体"/>
                <w:sz w:val="21"/>
                <w:szCs w:val="21"/>
                <w:lang w:val="en-US" w:eastAsia="zh-CN"/>
              </w:rPr>
              <w:t>/245（本项目边界）</w:t>
            </w:r>
          </w:p>
        </w:tc>
      </w:tr>
      <w:tr w14:paraId="62503B9F">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30764AD2">
            <w:pPr>
              <w:adjustRightInd w:val="0"/>
              <w:spacing w:line="300" w:lineRule="exact"/>
              <w:jc w:val="center"/>
              <w:rPr>
                <w:rFonts w:ascii="Times New Roman" w:eastAsia="宋体"/>
                <w:color w:val="FF0000"/>
                <w:sz w:val="21"/>
                <w:szCs w:val="21"/>
              </w:rPr>
            </w:pPr>
          </w:p>
        </w:tc>
        <w:tc>
          <w:tcPr>
            <w:tcW w:w="595" w:type="pct"/>
            <w:vAlign w:val="center"/>
          </w:tcPr>
          <w:p w14:paraId="68F84DC6">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源盛庄</w:t>
            </w:r>
          </w:p>
        </w:tc>
        <w:tc>
          <w:tcPr>
            <w:tcW w:w="551" w:type="pct"/>
            <w:vAlign w:val="center"/>
          </w:tcPr>
          <w:p w14:paraId="592135A2">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118.7045</w:t>
            </w:r>
          </w:p>
        </w:tc>
        <w:tc>
          <w:tcPr>
            <w:tcW w:w="484" w:type="pct"/>
            <w:vAlign w:val="center"/>
          </w:tcPr>
          <w:p w14:paraId="1221D66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33.8759</w:t>
            </w:r>
          </w:p>
        </w:tc>
        <w:tc>
          <w:tcPr>
            <w:tcW w:w="484" w:type="pct"/>
            <w:vAlign w:val="center"/>
          </w:tcPr>
          <w:p w14:paraId="42B89203">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71A11879">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59132183">
            <w:pPr>
              <w:spacing w:line="300" w:lineRule="exact"/>
              <w:jc w:val="center"/>
              <w:rPr>
                <w:rFonts w:ascii="Times New Roman" w:eastAsia="宋体"/>
                <w:color w:val="FF0000"/>
                <w:sz w:val="21"/>
                <w:szCs w:val="21"/>
              </w:rPr>
            </w:pPr>
          </w:p>
        </w:tc>
        <w:tc>
          <w:tcPr>
            <w:tcW w:w="462" w:type="pct"/>
            <w:vAlign w:val="center"/>
          </w:tcPr>
          <w:p w14:paraId="206D6464">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280</w:t>
            </w:r>
          </w:p>
        </w:tc>
        <w:tc>
          <w:tcPr>
            <w:tcW w:w="381" w:type="pct"/>
            <w:vAlign w:val="center"/>
          </w:tcPr>
          <w:p w14:paraId="33BDB57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南</w:t>
            </w:r>
          </w:p>
        </w:tc>
        <w:tc>
          <w:tcPr>
            <w:tcW w:w="812" w:type="pct"/>
            <w:vAlign w:val="center"/>
          </w:tcPr>
          <w:p w14:paraId="1B693C2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1650</w:t>
            </w:r>
          </w:p>
        </w:tc>
      </w:tr>
      <w:tr w14:paraId="7FE7D54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4D3E8C0F">
            <w:pPr>
              <w:adjustRightInd w:val="0"/>
              <w:spacing w:line="300" w:lineRule="exact"/>
              <w:jc w:val="center"/>
              <w:rPr>
                <w:rFonts w:ascii="Times New Roman" w:eastAsia="宋体"/>
                <w:color w:val="FF0000"/>
                <w:sz w:val="21"/>
                <w:szCs w:val="21"/>
              </w:rPr>
            </w:pPr>
          </w:p>
        </w:tc>
        <w:tc>
          <w:tcPr>
            <w:tcW w:w="595" w:type="pct"/>
            <w:vAlign w:val="center"/>
          </w:tcPr>
          <w:p w14:paraId="0B71388F">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大元民族村</w:t>
            </w:r>
          </w:p>
        </w:tc>
        <w:tc>
          <w:tcPr>
            <w:tcW w:w="551" w:type="pct"/>
            <w:vAlign w:val="center"/>
          </w:tcPr>
          <w:p w14:paraId="05F32F3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118.7062</w:t>
            </w:r>
          </w:p>
        </w:tc>
        <w:tc>
          <w:tcPr>
            <w:tcW w:w="484" w:type="pct"/>
            <w:vAlign w:val="center"/>
          </w:tcPr>
          <w:p w14:paraId="26D8184F">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33.8735</w:t>
            </w:r>
          </w:p>
        </w:tc>
        <w:tc>
          <w:tcPr>
            <w:tcW w:w="484" w:type="pct"/>
            <w:vAlign w:val="center"/>
          </w:tcPr>
          <w:p w14:paraId="54EDD5E9">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1CF4CB5F">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431F4AC2">
            <w:pPr>
              <w:spacing w:line="300" w:lineRule="exact"/>
              <w:jc w:val="center"/>
              <w:rPr>
                <w:rFonts w:ascii="Times New Roman" w:eastAsia="宋体"/>
                <w:color w:val="FF0000"/>
                <w:sz w:val="21"/>
                <w:szCs w:val="21"/>
              </w:rPr>
            </w:pPr>
          </w:p>
        </w:tc>
        <w:tc>
          <w:tcPr>
            <w:tcW w:w="462" w:type="pct"/>
            <w:vAlign w:val="center"/>
          </w:tcPr>
          <w:p w14:paraId="503C7EC8">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120</w:t>
            </w:r>
          </w:p>
        </w:tc>
        <w:tc>
          <w:tcPr>
            <w:tcW w:w="381" w:type="pct"/>
            <w:vAlign w:val="center"/>
          </w:tcPr>
          <w:p w14:paraId="681ECE08">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南</w:t>
            </w:r>
          </w:p>
        </w:tc>
        <w:tc>
          <w:tcPr>
            <w:tcW w:w="812" w:type="pct"/>
            <w:vAlign w:val="center"/>
          </w:tcPr>
          <w:p w14:paraId="215E775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2100</w:t>
            </w:r>
          </w:p>
        </w:tc>
      </w:tr>
      <w:tr w14:paraId="062D6ECB">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69" w:hRule="atLeast"/>
        </w:trPr>
        <w:tc>
          <w:tcPr>
            <w:tcW w:w="344" w:type="pct"/>
            <w:vMerge w:val="continue"/>
            <w:vAlign w:val="center"/>
          </w:tcPr>
          <w:p w14:paraId="12F82759">
            <w:pPr>
              <w:adjustRightInd w:val="0"/>
              <w:spacing w:line="300" w:lineRule="exact"/>
              <w:jc w:val="center"/>
              <w:rPr>
                <w:rFonts w:ascii="Times New Roman" w:eastAsia="宋体"/>
                <w:color w:val="FF0000"/>
                <w:sz w:val="21"/>
                <w:szCs w:val="21"/>
              </w:rPr>
            </w:pPr>
          </w:p>
        </w:tc>
        <w:tc>
          <w:tcPr>
            <w:tcW w:w="595" w:type="pct"/>
            <w:vAlign w:val="center"/>
          </w:tcPr>
          <w:p w14:paraId="1DDB7013">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张腰庄</w:t>
            </w:r>
          </w:p>
        </w:tc>
        <w:tc>
          <w:tcPr>
            <w:tcW w:w="551" w:type="pct"/>
            <w:vAlign w:val="center"/>
          </w:tcPr>
          <w:p w14:paraId="359A738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118.6972</w:t>
            </w:r>
          </w:p>
        </w:tc>
        <w:tc>
          <w:tcPr>
            <w:tcW w:w="484" w:type="pct"/>
            <w:vAlign w:val="center"/>
          </w:tcPr>
          <w:p w14:paraId="3295B272">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33.8731</w:t>
            </w:r>
          </w:p>
        </w:tc>
        <w:tc>
          <w:tcPr>
            <w:tcW w:w="484" w:type="pct"/>
            <w:vAlign w:val="center"/>
          </w:tcPr>
          <w:p w14:paraId="66F6CAF7">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649E82E0">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309265C4">
            <w:pPr>
              <w:spacing w:line="300" w:lineRule="exact"/>
              <w:jc w:val="center"/>
              <w:rPr>
                <w:rFonts w:ascii="Times New Roman" w:eastAsia="宋体"/>
                <w:color w:val="FF0000"/>
                <w:sz w:val="21"/>
                <w:szCs w:val="21"/>
              </w:rPr>
            </w:pPr>
          </w:p>
        </w:tc>
        <w:tc>
          <w:tcPr>
            <w:tcW w:w="462" w:type="pct"/>
            <w:vAlign w:val="center"/>
          </w:tcPr>
          <w:p w14:paraId="58342F64">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110</w:t>
            </w:r>
          </w:p>
        </w:tc>
        <w:tc>
          <w:tcPr>
            <w:tcW w:w="381" w:type="pct"/>
            <w:vAlign w:val="center"/>
          </w:tcPr>
          <w:p w14:paraId="1C301C4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西南</w:t>
            </w:r>
          </w:p>
        </w:tc>
        <w:tc>
          <w:tcPr>
            <w:tcW w:w="812" w:type="pct"/>
            <w:vAlign w:val="center"/>
          </w:tcPr>
          <w:p w14:paraId="769DBE0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2200</w:t>
            </w:r>
          </w:p>
        </w:tc>
      </w:tr>
      <w:tr w14:paraId="38541701">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69" w:hRule="atLeast"/>
        </w:trPr>
        <w:tc>
          <w:tcPr>
            <w:tcW w:w="344" w:type="pct"/>
            <w:vMerge w:val="continue"/>
            <w:vAlign w:val="center"/>
          </w:tcPr>
          <w:p w14:paraId="48B1383A">
            <w:pPr>
              <w:adjustRightInd w:val="0"/>
              <w:spacing w:line="300" w:lineRule="exact"/>
              <w:jc w:val="center"/>
              <w:rPr>
                <w:rFonts w:ascii="Times New Roman" w:eastAsia="宋体"/>
                <w:color w:val="FF0000"/>
                <w:sz w:val="21"/>
                <w:szCs w:val="21"/>
              </w:rPr>
            </w:pPr>
          </w:p>
        </w:tc>
        <w:tc>
          <w:tcPr>
            <w:tcW w:w="595" w:type="pct"/>
            <w:vAlign w:val="center"/>
          </w:tcPr>
          <w:p w14:paraId="7D70A3C6">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张祠堂</w:t>
            </w:r>
          </w:p>
        </w:tc>
        <w:tc>
          <w:tcPr>
            <w:tcW w:w="551" w:type="pct"/>
            <w:vAlign w:val="center"/>
          </w:tcPr>
          <w:p w14:paraId="349AC0E8">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118.6993</w:t>
            </w:r>
          </w:p>
        </w:tc>
        <w:tc>
          <w:tcPr>
            <w:tcW w:w="484" w:type="pct"/>
            <w:vAlign w:val="center"/>
          </w:tcPr>
          <w:p w14:paraId="64D412A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33.8824</w:t>
            </w:r>
          </w:p>
        </w:tc>
        <w:tc>
          <w:tcPr>
            <w:tcW w:w="484" w:type="pct"/>
            <w:vAlign w:val="center"/>
          </w:tcPr>
          <w:p w14:paraId="2AB8118B">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0A0BA6DB">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4FB05C5C">
            <w:pPr>
              <w:spacing w:line="300" w:lineRule="exact"/>
              <w:jc w:val="center"/>
              <w:rPr>
                <w:rFonts w:ascii="Times New Roman" w:eastAsia="宋体"/>
                <w:color w:val="FF0000"/>
                <w:sz w:val="21"/>
                <w:szCs w:val="21"/>
              </w:rPr>
            </w:pPr>
          </w:p>
        </w:tc>
        <w:tc>
          <w:tcPr>
            <w:tcW w:w="462" w:type="pct"/>
            <w:vAlign w:val="center"/>
          </w:tcPr>
          <w:p w14:paraId="2829AAF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210</w:t>
            </w:r>
          </w:p>
        </w:tc>
        <w:tc>
          <w:tcPr>
            <w:tcW w:w="381" w:type="pct"/>
            <w:vAlign w:val="center"/>
          </w:tcPr>
          <w:p w14:paraId="4C629ED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西南</w:t>
            </w:r>
          </w:p>
        </w:tc>
        <w:tc>
          <w:tcPr>
            <w:tcW w:w="812" w:type="pct"/>
            <w:vAlign w:val="center"/>
          </w:tcPr>
          <w:p w14:paraId="6455421F">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1200</w:t>
            </w:r>
          </w:p>
        </w:tc>
      </w:tr>
      <w:tr w14:paraId="4DA2951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69" w:hRule="atLeast"/>
        </w:trPr>
        <w:tc>
          <w:tcPr>
            <w:tcW w:w="344" w:type="pct"/>
            <w:vMerge w:val="continue"/>
            <w:vAlign w:val="center"/>
          </w:tcPr>
          <w:p w14:paraId="5CCD3E17">
            <w:pPr>
              <w:adjustRightInd w:val="0"/>
              <w:spacing w:line="300" w:lineRule="exact"/>
              <w:jc w:val="center"/>
              <w:rPr>
                <w:rFonts w:ascii="Times New Roman" w:eastAsia="宋体"/>
                <w:color w:val="FF0000"/>
                <w:sz w:val="21"/>
                <w:szCs w:val="21"/>
              </w:rPr>
            </w:pPr>
          </w:p>
        </w:tc>
        <w:tc>
          <w:tcPr>
            <w:tcW w:w="595" w:type="pct"/>
            <w:vAlign w:val="center"/>
          </w:tcPr>
          <w:p w14:paraId="60FDABA0">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张庄</w:t>
            </w:r>
          </w:p>
        </w:tc>
        <w:tc>
          <w:tcPr>
            <w:tcW w:w="551" w:type="pct"/>
            <w:vAlign w:val="center"/>
          </w:tcPr>
          <w:p w14:paraId="4E48243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118.6941</w:t>
            </w:r>
          </w:p>
        </w:tc>
        <w:tc>
          <w:tcPr>
            <w:tcW w:w="484" w:type="pct"/>
            <w:vAlign w:val="center"/>
          </w:tcPr>
          <w:p w14:paraId="5B7E784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33.8795</w:t>
            </w:r>
          </w:p>
        </w:tc>
        <w:tc>
          <w:tcPr>
            <w:tcW w:w="484" w:type="pct"/>
            <w:vAlign w:val="center"/>
          </w:tcPr>
          <w:p w14:paraId="2D7FE20B">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575B733E">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1FC26441">
            <w:pPr>
              <w:spacing w:line="300" w:lineRule="exact"/>
              <w:jc w:val="center"/>
              <w:rPr>
                <w:rFonts w:ascii="Times New Roman" w:eastAsia="宋体"/>
                <w:color w:val="000000" w:themeColor="text1"/>
                <w:sz w:val="21"/>
                <w:szCs w:val="21"/>
                <w14:textFill>
                  <w14:solidFill>
                    <w14:schemeClr w14:val="tx1"/>
                  </w14:solidFill>
                </w14:textFill>
              </w:rPr>
            </w:pPr>
          </w:p>
        </w:tc>
        <w:tc>
          <w:tcPr>
            <w:tcW w:w="462" w:type="pct"/>
            <w:vAlign w:val="center"/>
          </w:tcPr>
          <w:p w14:paraId="7F023514">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280</w:t>
            </w:r>
          </w:p>
        </w:tc>
        <w:tc>
          <w:tcPr>
            <w:tcW w:w="381" w:type="pct"/>
            <w:vAlign w:val="center"/>
          </w:tcPr>
          <w:p w14:paraId="6D7978E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西南</w:t>
            </w:r>
          </w:p>
        </w:tc>
        <w:tc>
          <w:tcPr>
            <w:tcW w:w="812" w:type="pct"/>
            <w:vAlign w:val="center"/>
          </w:tcPr>
          <w:p w14:paraId="3223FFA3">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1700</w:t>
            </w:r>
          </w:p>
        </w:tc>
      </w:tr>
      <w:tr w14:paraId="055739C5">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69" w:hRule="atLeast"/>
        </w:trPr>
        <w:tc>
          <w:tcPr>
            <w:tcW w:w="344" w:type="pct"/>
            <w:vMerge w:val="continue"/>
            <w:vAlign w:val="center"/>
          </w:tcPr>
          <w:p w14:paraId="70117106">
            <w:pPr>
              <w:adjustRightInd w:val="0"/>
              <w:spacing w:line="300" w:lineRule="exact"/>
              <w:jc w:val="center"/>
              <w:rPr>
                <w:rFonts w:ascii="Times New Roman" w:eastAsia="宋体"/>
                <w:color w:val="FF0000"/>
                <w:sz w:val="21"/>
                <w:szCs w:val="21"/>
              </w:rPr>
            </w:pPr>
          </w:p>
        </w:tc>
        <w:tc>
          <w:tcPr>
            <w:tcW w:w="595" w:type="pct"/>
            <w:vAlign w:val="center"/>
          </w:tcPr>
          <w:p w14:paraId="4DF565D5">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向阳杜庄</w:t>
            </w:r>
          </w:p>
        </w:tc>
        <w:tc>
          <w:tcPr>
            <w:tcW w:w="551" w:type="pct"/>
            <w:vAlign w:val="center"/>
          </w:tcPr>
          <w:p w14:paraId="0AC39642">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118.6947</w:t>
            </w:r>
          </w:p>
        </w:tc>
        <w:tc>
          <w:tcPr>
            <w:tcW w:w="484" w:type="pct"/>
            <w:vAlign w:val="center"/>
          </w:tcPr>
          <w:p w14:paraId="1655AEE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33.8868</w:t>
            </w:r>
          </w:p>
        </w:tc>
        <w:tc>
          <w:tcPr>
            <w:tcW w:w="484" w:type="pct"/>
            <w:vAlign w:val="center"/>
          </w:tcPr>
          <w:p w14:paraId="48B15499">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173AD8EC">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19C178AD">
            <w:pPr>
              <w:spacing w:line="300" w:lineRule="exact"/>
              <w:jc w:val="center"/>
              <w:rPr>
                <w:rFonts w:ascii="Times New Roman" w:eastAsia="宋体"/>
                <w:color w:val="000000" w:themeColor="text1"/>
                <w:sz w:val="21"/>
                <w:szCs w:val="21"/>
                <w14:textFill>
                  <w14:solidFill>
                    <w14:schemeClr w14:val="tx1"/>
                  </w14:solidFill>
                </w14:textFill>
              </w:rPr>
            </w:pPr>
          </w:p>
        </w:tc>
        <w:tc>
          <w:tcPr>
            <w:tcW w:w="462" w:type="pct"/>
            <w:vAlign w:val="center"/>
          </w:tcPr>
          <w:p w14:paraId="1190759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180</w:t>
            </w:r>
          </w:p>
        </w:tc>
        <w:tc>
          <w:tcPr>
            <w:tcW w:w="381" w:type="pct"/>
            <w:vAlign w:val="center"/>
          </w:tcPr>
          <w:p w14:paraId="45EE5280">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西南</w:t>
            </w:r>
          </w:p>
        </w:tc>
        <w:tc>
          <w:tcPr>
            <w:tcW w:w="812" w:type="pct"/>
            <w:vAlign w:val="center"/>
          </w:tcPr>
          <w:p w14:paraId="2A0EFC94">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1200</w:t>
            </w:r>
          </w:p>
        </w:tc>
      </w:tr>
      <w:tr w14:paraId="16F73E2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2C4192DA">
            <w:pPr>
              <w:adjustRightInd w:val="0"/>
              <w:spacing w:line="300" w:lineRule="exact"/>
              <w:jc w:val="center"/>
              <w:rPr>
                <w:rFonts w:ascii="Times New Roman" w:eastAsia="宋体"/>
                <w:color w:val="FF0000"/>
                <w:sz w:val="21"/>
                <w:szCs w:val="21"/>
              </w:rPr>
            </w:pPr>
          </w:p>
        </w:tc>
        <w:tc>
          <w:tcPr>
            <w:tcW w:w="595" w:type="pct"/>
            <w:vAlign w:val="center"/>
          </w:tcPr>
          <w:p w14:paraId="0E5DC15F">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张家圩镇区</w:t>
            </w:r>
          </w:p>
        </w:tc>
        <w:tc>
          <w:tcPr>
            <w:tcW w:w="551" w:type="pct"/>
            <w:vAlign w:val="center"/>
          </w:tcPr>
          <w:p w14:paraId="702A2A9F">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118.6865</w:t>
            </w:r>
          </w:p>
        </w:tc>
        <w:tc>
          <w:tcPr>
            <w:tcW w:w="484" w:type="pct"/>
            <w:vAlign w:val="center"/>
          </w:tcPr>
          <w:p w14:paraId="23219AC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33.8856</w:t>
            </w:r>
          </w:p>
        </w:tc>
        <w:tc>
          <w:tcPr>
            <w:tcW w:w="484" w:type="pct"/>
            <w:vAlign w:val="center"/>
          </w:tcPr>
          <w:p w14:paraId="6042336E">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r>
              <w:rPr>
                <w:rFonts w:hint="eastAsia" w:ascii="Times New Roman" w:eastAsia="宋体"/>
                <w:color w:val="000000" w:themeColor="text1"/>
                <w:sz w:val="21"/>
                <w:szCs w:val="21"/>
                <w14:textFill>
                  <w14:solidFill>
                    <w14:schemeClr w14:val="tx1"/>
                  </w14:solidFill>
                </w14:textFill>
              </w:rPr>
              <w:t>、学校等</w:t>
            </w:r>
          </w:p>
        </w:tc>
        <w:tc>
          <w:tcPr>
            <w:tcW w:w="388" w:type="pct"/>
            <w:vAlign w:val="center"/>
          </w:tcPr>
          <w:p w14:paraId="07ADE633">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28D9481F">
            <w:pPr>
              <w:spacing w:line="300" w:lineRule="exact"/>
              <w:jc w:val="center"/>
              <w:rPr>
                <w:rFonts w:ascii="Times New Roman" w:eastAsia="宋体"/>
                <w:color w:val="000000" w:themeColor="text1"/>
                <w:sz w:val="21"/>
                <w:szCs w:val="21"/>
                <w14:textFill>
                  <w14:solidFill>
                    <w14:schemeClr w14:val="tx1"/>
                  </w14:solidFill>
                </w14:textFill>
              </w:rPr>
            </w:pPr>
          </w:p>
        </w:tc>
        <w:tc>
          <w:tcPr>
            <w:tcW w:w="462" w:type="pct"/>
            <w:vAlign w:val="center"/>
          </w:tcPr>
          <w:p w14:paraId="47589C5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15000</w:t>
            </w:r>
          </w:p>
        </w:tc>
        <w:tc>
          <w:tcPr>
            <w:tcW w:w="381" w:type="pct"/>
            <w:vAlign w:val="center"/>
          </w:tcPr>
          <w:p w14:paraId="69CA3B02">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西南</w:t>
            </w:r>
          </w:p>
        </w:tc>
        <w:tc>
          <w:tcPr>
            <w:tcW w:w="812" w:type="pct"/>
            <w:vAlign w:val="center"/>
          </w:tcPr>
          <w:p w14:paraId="20245FF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1450</w:t>
            </w:r>
          </w:p>
        </w:tc>
      </w:tr>
      <w:tr w14:paraId="619B646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7BB1EFA3">
            <w:pPr>
              <w:adjustRightInd w:val="0"/>
              <w:spacing w:line="300" w:lineRule="exact"/>
              <w:jc w:val="center"/>
              <w:rPr>
                <w:rFonts w:ascii="Times New Roman" w:eastAsia="宋体"/>
                <w:color w:val="FF0000"/>
                <w:sz w:val="21"/>
                <w:szCs w:val="21"/>
              </w:rPr>
            </w:pPr>
          </w:p>
        </w:tc>
        <w:tc>
          <w:tcPr>
            <w:tcW w:w="595" w:type="pct"/>
            <w:vAlign w:val="center"/>
          </w:tcPr>
          <w:p w14:paraId="188579F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向阳刘庄</w:t>
            </w:r>
          </w:p>
        </w:tc>
        <w:tc>
          <w:tcPr>
            <w:tcW w:w="551" w:type="pct"/>
            <w:vAlign w:val="center"/>
          </w:tcPr>
          <w:p w14:paraId="3442AF2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118.7011</w:t>
            </w:r>
          </w:p>
        </w:tc>
        <w:tc>
          <w:tcPr>
            <w:tcW w:w="484" w:type="pct"/>
            <w:vAlign w:val="center"/>
          </w:tcPr>
          <w:p w14:paraId="5BC0E8E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33.8924</w:t>
            </w:r>
          </w:p>
        </w:tc>
        <w:tc>
          <w:tcPr>
            <w:tcW w:w="484" w:type="pct"/>
            <w:vAlign w:val="center"/>
          </w:tcPr>
          <w:p w14:paraId="77FA6844">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608B42D0">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6A0EBB72">
            <w:pPr>
              <w:spacing w:line="300" w:lineRule="exact"/>
              <w:jc w:val="center"/>
              <w:rPr>
                <w:rFonts w:ascii="Times New Roman" w:eastAsia="宋体"/>
                <w:color w:val="000000" w:themeColor="text1"/>
                <w:sz w:val="21"/>
                <w:szCs w:val="21"/>
                <w14:textFill>
                  <w14:solidFill>
                    <w14:schemeClr w14:val="tx1"/>
                  </w14:solidFill>
                </w14:textFill>
              </w:rPr>
            </w:pPr>
          </w:p>
        </w:tc>
        <w:tc>
          <w:tcPr>
            <w:tcW w:w="462" w:type="pct"/>
            <w:vAlign w:val="center"/>
          </w:tcPr>
          <w:p w14:paraId="0FECE95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100</w:t>
            </w:r>
          </w:p>
        </w:tc>
        <w:tc>
          <w:tcPr>
            <w:tcW w:w="381" w:type="pct"/>
            <w:vAlign w:val="center"/>
          </w:tcPr>
          <w:p w14:paraId="1FB8EB3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w:t>
            </w:r>
          </w:p>
        </w:tc>
        <w:tc>
          <w:tcPr>
            <w:tcW w:w="812" w:type="pct"/>
            <w:vAlign w:val="center"/>
          </w:tcPr>
          <w:p w14:paraId="29E2140F">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410</w:t>
            </w:r>
          </w:p>
        </w:tc>
      </w:tr>
      <w:tr w14:paraId="7D1FEFF0">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2AE8F30F">
            <w:pPr>
              <w:adjustRightInd w:val="0"/>
              <w:spacing w:line="300" w:lineRule="exact"/>
              <w:jc w:val="center"/>
              <w:rPr>
                <w:rFonts w:ascii="Times New Roman" w:eastAsia="宋体"/>
                <w:color w:val="FF0000"/>
                <w:sz w:val="21"/>
                <w:szCs w:val="21"/>
              </w:rPr>
            </w:pPr>
          </w:p>
        </w:tc>
        <w:tc>
          <w:tcPr>
            <w:tcW w:w="595" w:type="pct"/>
            <w:vAlign w:val="center"/>
          </w:tcPr>
          <w:p w14:paraId="3E1C8472">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王庙子</w:t>
            </w:r>
          </w:p>
        </w:tc>
        <w:tc>
          <w:tcPr>
            <w:tcW w:w="551" w:type="pct"/>
            <w:vAlign w:val="center"/>
          </w:tcPr>
          <w:p w14:paraId="09D840B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118.6943</w:t>
            </w:r>
          </w:p>
        </w:tc>
        <w:tc>
          <w:tcPr>
            <w:tcW w:w="484" w:type="pct"/>
            <w:vAlign w:val="center"/>
          </w:tcPr>
          <w:p w14:paraId="3A36E3E2">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33.8929</w:t>
            </w:r>
          </w:p>
        </w:tc>
        <w:tc>
          <w:tcPr>
            <w:tcW w:w="484" w:type="pct"/>
            <w:vAlign w:val="center"/>
          </w:tcPr>
          <w:p w14:paraId="197EEF50">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12CC1FB0">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08EC780C">
            <w:pPr>
              <w:spacing w:line="300" w:lineRule="exact"/>
              <w:jc w:val="center"/>
              <w:rPr>
                <w:rFonts w:ascii="Times New Roman" w:eastAsia="宋体"/>
                <w:color w:val="000000" w:themeColor="text1"/>
                <w:sz w:val="21"/>
                <w:szCs w:val="21"/>
                <w14:textFill>
                  <w14:solidFill>
                    <w14:schemeClr w14:val="tx1"/>
                  </w14:solidFill>
                </w14:textFill>
              </w:rPr>
            </w:pPr>
          </w:p>
        </w:tc>
        <w:tc>
          <w:tcPr>
            <w:tcW w:w="462" w:type="pct"/>
            <w:vAlign w:val="center"/>
          </w:tcPr>
          <w:p w14:paraId="5CC6F416">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80</w:t>
            </w:r>
          </w:p>
        </w:tc>
        <w:tc>
          <w:tcPr>
            <w:tcW w:w="381" w:type="pct"/>
            <w:vAlign w:val="center"/>
          </w:tcPr>
          <w:p w14:paraId="674E4A3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w:t>
            </w:r>
          </w:p>
        </w:tc>
        <w:tc>
          <w:tcPr>
            <w:tcW w:w="812" w:type="pct"/>
            <w:vAlign w:val="center"/>
          </w:tcPr>
          <w:p w14:paraId="18AECC58">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1000</w:t>
            </w:r>
          </w:p>
        </w:tc>
      </w:tr>
      <w:tr w14:paraId="6DF3092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6C75EA93">
            <w:pPr>
              <w:adjustRightInd w:val="0"/>
              <w:spacing w:line="300" w:lineRule="exact"/>
              <w:jc w:val="center"/>
              <w:rPr>
                <w:rFonts w:ascii="Times New Roman" w:eastAsia="宋体"/>
                <w:color w:val="FF0000"/>
                <w:sz w:val="21"/>
                <w:szCs w:val="21"/>
              </w:rPr>
            </w:pPr>
          </w:p>
        </w:tc>
        <w:tc>
          <w:tcPr>
            <w:tcW w:w="595" w:type="pct"/>
            <w:vAlign w:val="center"/>
          </w:tcPr>
          <w:p w14:paraId="5CFD763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王庄</w:t>
            </w:r>
          </w:p>
        </w:tc>
        <w:tc>
          <w:tcPr>
            <w:tcW w:w="551" w:type="pct"/>
            <w:vAlign w:val="center"/>
          </w:tcPr>
          <w:p w14:paraId="36BE959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118.6958</w:t>
            </w:r>
          </w:p>
        </w:tc>
        <w:tc>
          <w:tcPr>
            <w:tcW w:w="484" w:type="pct"/>
            <w:vAlign w:val="center"/>
          </w:tcPr>
          <w:p w14:paraId="5A2A2F4F">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33.8951</w:t>
            </w:r>
          </w:p>
        </w:tc>
        <w:tc>
          <w:tcPr>
            <w:tcW w:w="484" w:type="pct"/>
            <w:vAlign w:val="center"/>
          </w:tcPr>
          <w:p w14:paraId="7F46417F">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0C91FAAB">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7D77DA2E">
            <w:pPr>
              <w:spacing w:line="300" w:lineRule="exact"/>
              <w:jc w:val="center"/>
              <w:rPr>
                <w:rFonts w:ascii="Times New Roman" w:eastAsia="宋体"/>
                <w:color w:val="000000" w:themeColor="text1"/>
                <w:sz w:val="21"/>
                <w:szCs w:val="21"/>
                <w14:textFill>
                  <w14:solidFill>
                    <w14:schemeClr w14:val="tx1"/>
                  </w14:solidFill>
                </w14:textFill>
              </w:rPr>
            </w:pPr>
          </w:p>
        </w:tc>
        <w:tc>
          <w:tcPr>
            <w:tcW w:w="462" w:type="pct"/>
            <w:vAlign w:val="center"/>
          </w:tcPr>
          <w:p w14:paraId="44B7C693">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110</w:t>
            </w:r>
          </w:p>
        </w:tc>
        <w:tc>
          <w:tcPr>
            <w:tcW w:w="381" w:type="pct"/>
            <w:vAlign w:val="center"/>
          </w:tcPr>
          <w:p w14:paraId="5A4DE1D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西北</w:t>
            </w:r>
          </w:p>
        </w:tc>
        <w:tc>
          <w:tcPr>
            <w:tcW w:w="812" w:type="pct"/>
            <w:vAlign w:val="center"/>
          </w:tcPr>
          <w:p w14:paraId="7135D774">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730</w:t>
            </w:r>
          </w:p>
        </w:tc>
      </w:tr>
      <w:tr w14:paraId="6634F19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77845B68">
            <w:pPr>
              <w:adjustRightInd w:val="0"/>
              <w:spacing w:line="300" w:lineRule="exact"/>
              <w:jc w:val="center"/>
              <w:rPr>
                <w:rFonts w:ascii="Times New Roman" w:eastAsia="宋体"/>
                <w:color w:val="FF0000"/>
                <w:sz w:val="21"/>
                <w:szCs w:val="21"/>
              </w:rPr>
            </w:pPr>
          </w:p>
        </w:tc>
        <w:tc>
          <w:tcPr>
            <w:tcW w:w="595" w:type="pct"/>
            <w:vAlign w:val="center"/>
          </w:tcPr>
          <w:p w14:paraId="057F768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王庙村</w:t>
            </w:r>
          </w:p>
        </w:tc>
        <w:tc>
          <w:tcPr>
            <w:tcW w:w="551" w:type="pct"/>
            <w:vAlign w:val="center"/>
          </w:tcPr>
          <w:p w14:paraId="27EF2383">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118.6969</w:t>
            </w:r>
          </w:p>
        </w:tc>
        <w:tc>
          <w:tcPr>
            <w:tcW w:w="484" w:type="pct"/>
            <w:vAlign w:val="center"/>
          </w:tcPr>
          <w:p w14:paraId="2FC615C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33.8971</w:t>
            </w:r>
          </w:p>
        </w:tc>
        <w:tc>
          <w:tcPr>
            <w:tcW w:w="484" w:type="pct"/>
            <w:vAlign w:val="center"/>
          </w:tcPr>
          <w:p w14:paraId="5CA06876">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113BC540">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22E615E5">
            <w:pPr>
              <w:spacing w:line="300" w:lineRule="exact"/>
              <w:jc w:val="center"/>
              <w:rPr>
                <w:rFonts w:ascii="Times New Roman" w:eastAsia="宋体"/>
                <w:color w:val="000000" w:themeColor="text1"/>
                <w:sz w:val="21"/>
                <w:szCs w:val="21"/>
                <w14:textFill>
                  <w14:solidFill>
                    <w14:schemeClr w14:val="tx1"/>
                  </w14:solidFill>
                </w14:textFill>
              </w:rPr>
            </w:pPr>
          </w:p>
        </w:tc>
        <w:tc>
          <w:tcPr>
            <w:tcW w:w="462" w:type="pct"/>
            <w:vAlign w:val="center"/>
          </w:tcPr>
          <w:p w14:paraId="74D09690">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150</w:t>
            </w:r>
          </w:p>
        </w:tc>
        <w:tc>
          <w:tcPr>
            <w:tcW w:w="381" w:type="pct"/>
            <w:vAlign w:val="center"/>
          </w:tcPr>
          <w:p w14:paraId="2DB41C2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西北</w:t>
            </w:r>
          </w:p>
        </w:tc>
        <w:tc>
          <w:tcPr>
            <w:tcW w:w="812" w:type="pct"/>
            <w:vAlign w:val="center"/>
          </w:tcPr>
          <w:p w14:paraId="41BC6A2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870</w:t>
            </w:r>
          </w:p>
        </w:tc>
      </w:tr>
      <w:tr w14:paraId="571C17C4">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730934B0">
            <w:pPr>
              <w:adjustRightInd w:val="0"/>
              <w:spacing w:line="300" w:lineRule="exact"/>
              <w:jc w:val="center"/>
              <w:rPr>
                <w:rFonts w:ascii="Times New Roman" w:eastAsia="宋体"/>
                <w:color w:val="FF0000"/>
                <w:sz w:val="21"/>
                <w:szCs w:val="21"/>
              </w:rPr>
            </w:pPr>
          </w:p>
        </w:tc>
        <w:tc>
          <w:tcPr>
            <w:tcW w:w="595" w:type="pct"/>
            <w:vAlign w:val="center"/>
          </w:tcPr>
          <w:p w14:paraId="5F4D8E64">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后荡村</w:t>
            </w:r>
          </w:p>
        </w:tc>
        <w:tc>
          <w:tcPr>
            <w:tcW w:w="551" w:type="pct"/>
            <w:vAlign w:val="center"/>
          </w:tcPr>
          <w:p w14:paraId="639FF29F">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118.6856</w:t>
            </w:r>
          </w:p>
        </w:tc>
        <w:tc>
          <w:tcPr>
            <w:tcW w:w="484" w:type="pct"/>
            <w:vAlign w:val="center"/>
          </w:tcPr>
          <w:p w14:paraId="7291D7C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33.9006</w:t>
            </w:r>
          </w:p>
        </w:tc>
        <w:tc>
          <w:tcPr>
            <w:tcW w:w="484" w:type="pct"/>
            <w:vAlign w:val="center"/>
          </w:tcPr>
          <w:p w14:paraId="308431AD">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3AC1DC33">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05F7D467">
            <w:pPr>
              <w:spacing w:line="300" w:lineRule="exact"/>
              <w:jc w:val="center"/>
              <w:rPr>
                <w:rFonts w:ascii="Times New Roman" w:eastAsia="宋体"/>
                <w:color w:val="000000" w:themeColor="text1"/>
                <w:sz w:val="21"/>
                <w:szCs w:val="21"/>
                <w14:textFill>
                  <w14:solidFill>
                    <w14:schemeClr w14:val="tx1"/>
                  </w14:solidFill>
                </w14:textFill>
              </w:rPr>
            </w:pPr>
          </w:p>
        </w:tc>
        <w:tc>
          <w:tcPr>
            <w:tcW w:w="462" w:type="pct"/>
            <w:vAlign w:val="center"/>
          </w:tcPr>
          <w:p w14:paraId="420B1BE2">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360</w:t>
            </w:r>
          </w:p>
        </w:tc>
        <w:tc>
          <w:tcPr>
            <w:tcW w:w="381" w:type="pct"/>
            <w:vAlign w:val="center"/>
          </w:tcPr>
          <w:p w14:paraId="389C886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西北</w:t>
            </w:r>
          </w:p>
        </w:tc>
        <w:tc>
          <w:tcPr>
            <w:tcW w:w="812" w:type="pct"/>
            <w:vAlign w:val="center"/>
          </w:tcPr>
          <w:p w14:paraId="2B89593F">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1900</w:t>
            </w:r>
          </w:p>
        </w:tc>
      </w:tr>
      <w:tr w14:paraId="2450C1BB">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4157799C">
            <w:pPr>
              <w:adjustRightInd w:val="0"/>
              <w:spacing w:line="300" w:lineRule="exact"/>
              <w:jc w:val="center"/>
              <w:rPr>
                <w:rFonts w:ascii="Times New Roman" w:eastAsia="宋体"/>
                <w:color w:val="FF0000"/>
                <w:sz w:val="21"/>
                <w:szCs w:val="21"/>
              </w:rPr>
            </w:pPr>
          </w:p>
        </w:tc>
        <w:tc>
          <w:tcPr>
            <w:tcW w:w="595" w:type="pct"/>
            <w:vAlign w:val="center"/>
          </w:tcPr>
          <w:p w14:paraId="351A011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卢庄</w:t>
            </w:r>
          </w:p>
        </w:tc>
        <w:tc>
          <w:tcPr>
            <w:tcW w:w="551" w:type="pct"/>
            <w:vAlign w:val="center"/>
          </w:tcPr>
          <w:p w14:paraId="6363A3A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118.6922</w:t>
            </w:r>
          </w:p>
        </w:tc>
        <w:tc>
          <w:tcPr>
            <w:tcW w:w="484" w:type="pct"/>
            <w:vAlign w:val="center"/>
          </w:tcPr>
          <w:p w14:paraId="4C331616">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33.9063</w:t>
            </w:r>
          </w:p>
        </w:tc>
        <w:tc>
          <w:tcPr>
            <w:tcW w:w="484" w:type="pct"/>
            <w:vAlign w:val="center"/>
          </w:tcPr>
          <w:p w14:paraId="5D411E9E">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2D515352">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059E4445">
            <w:pPr>
              <w:spacing w:line="300" w:lineRule="exact"/>
              <w:jc w:val="center"/>
              <w:rPr>
                <w:rFonts w:ascii="Times New Roman" w:eastAsia="宋体"/>
                <w:color w:val="000000" w:themeColor="text1"/>
                <w:sz w:val="21"/>
                <w:szCs w:val="21"/>
                <w14:textFill>
                  <w14:solidFill>
                    <w14:schemeClr w14:val="tx1"/>
                  </w14:solidFill>
                </w14:textFill>
              </w:rPr>
            </w:pPr>
          </w:p>
        </w:tc>
        <w:tc>
          <w:tcPr>
            <w:tcW w:w="462" w:type="pct"/>
            <w:vAlign w:val="center"/>
          </w:tcPr>
          <w:p w14:paraId="33A46803">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180</w:t>
            </w:r>
          </w:p>
        </w:tc>
        <w:tc>
          <w:tcPr>
            <w:tcW w:w="381" w:type="pct"/>
            <w:vAlign w:val="center"/>
          </w:tcPr>
          <w:p w14:paraId="555CC37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西北</w:t>
            </w:r>
          </w:p>
        </w:tc>
        <w:tc>
          <w:tcPr>
            <w:tcW w:w="812" w:type="pct"/>
            <w:vAlign w:val="center"/>
          </w:tcPr>
          <w:p w14:paraId="24D20D7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2200</w:t>
            </w:r>
          </w:p>
        </w:tc>
      </w:tr>
      <w:tr w14:paraId="39ABB8EF">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4B060ABA">
            <w:pPr>
              <w:adjustRightInd w:val="0"/>
              <w:spacing w:line="300" w:lineRule="exact"/>
              <w:jc w:val="center"/>
              <w:rPr>
                <w:rFonts w:ascii="Times New Roman" w:eastAsia="宋体"/>
                <w:color w:val="FF0000"/>
                <w:sz w:val="21"/>
                <w:szCs w:val="21"/>
              </w:rPr>
            </w:pPr>
          </w:p>
        </w:tc>
        <w:tc>
          <w:tcPr>
            <w:tcW w:w="595" w:type="pct"/>
            <w:vAlign w:val="center"/>
          </w:tcPr>
          <w:p w14:paraId="2C7B1712">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刘圩村</w:t>
            </w:r>
          </w:p>
        </w:tc>
        <w:tc>
          <w:tcPr>
            <w:tcW w:w="551" w:type="pct"/>
            <w:vAlign w:val="center"/>
          </w:tcPr>
          <w:p w14:paraId="12625AD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118.7004</w:t>
            </w:r>
          </w:p>
        </w:tc>
        <w:tc>
          <w:tcPr>
            <w:tcW w:w="484" w:type="pct"/>
            <w:vAlign w:val="center"/>
          </w:tcPr>
          <w:p w14:paraId="23134FEF">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33.9073</w:t>
            </w:r>
          </w:p>
        </w:tc>
        <w:tc>
          <w:tcPr>
            <w:tcW w:w="484" w:type="pct"/>
            <w:vAlign w:val="center"/>
          </w:tcPr>
          <w:p w14:paraId="7AFCE47D">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0055F746">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36D9B289">
            <w:pPr>
              <w:spacing w:line="300" w:lineRule="exact"/>
              <w:jc w:val="center"/>
              <w:rPr>
                <w:rFonts w:ascii="Times New Roman" w:eastAsia="宋体"/>
                <w:color w:val="000000" w:themeColor="text1"/>
                <w:sz w:val="21"/>
                <w:szCs w:val="21"/>
                <w14:textFill>
                  <w14:solidFill>
                    <w14:schemeClr w14:val="tx1"/>
                  </w14:solidFill>
                </w14:textFill>
              </w:rPr>
            </w:pPr>
          </w:p>
        </w:tc>
        <w:tc>
          <w:tcPr>
            <w:tcW w:w="462" w:type="pct"/>
            <w:vAlign w:val="center"/>
          </w:tcPr>
          <w:p w14:paraId="220FB7A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450</w:t>
            </w:r>
          </w:p>
        </w:tc>
        <w:tc>
          <w:tcPr>
            <w:tcW w:w="381" w:type="pct"/>
            <w:vAlign w:val="center"/>
          </w:tcPr>
          <w:p w14:paraId="480680C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西北</w:t>
            </w:r>
          </w:p>
        </w:tc>
        <w:tc>
          <w:tcPr>
            <w:tcW w:w="812" w:type="pct"/>
            <w:vAlign w:val="center"/>
          </w:tcPr>
          <w:p w14:paraId="4C524335">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1520</w:t>
            </w:r>
          </w:p>
        </w:tc>
      </w:tr>
      <w:tr w14:paraId="6A535201">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35148098">
            <w:pPr>
              <w:adjustRightInd w:val="0"/>
              <w:spacing w:line="300" w:lineRule="exact"/>
              <w:jc w:val="center"/>
              <w:rPr>
                <w:rFonts w:ascii="Times New Roman" w:eastAsia="宋体"/>
                <w:color w:val="FF0000"/>
                <w:sz w:val="21"/>
                <w:szCs w:val="21"/>
              </w:rPr>
            </w:pPr>
          </w:p>
        </w:tc>
        <w:tc>
          <w:tcPr>
            <w:tcW w:w="595" w:type="pct"/>
            <w:vAlign w:val="center"/>
          </w:tcPr>
          <w:p w14:paraId="52B20538">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刘庄</w:t>
            </w:r>
          </w:p>
        </w:tc>
        <w:tc>
          <w:tcPr>
            <w:tcW w:w="551" w:type="pct"/>
            <w:vAlign w:val="center"/>
          </w:tcPr>
          <w:p w14:paraId="318EFFD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118.7151</w:t>
            </w:r>
          </w:p>
        </w:tc>
        <w:tc>
          <w:tcPr>
            <w:tcW w:w="484" w:type="pct"/>
            <w:vAlign w:val="center"/>
          </w:tcPr>
          <w:p w14:paraId="09653DA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33.9153</w:t>
            </w:r>
          </w:p>
        </w:tc>
        <w:tc>
          <w:tcPr>
            <w:tcW w:w="484" w:type="pct"/>
            <w:vAlign w:val="center"/>
          </w:tcPr>
          <w:p w14:paraId="65BB0ECC">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88" w:type="pct"/>
            <w:vAlign w:val="center"/>
          </w:tcPr>
          <w:p w14:paraId="71189268">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92" w:type="pct"/>
            <w:vMerge w:val="continue"/>
            <w:vAlign w:val="center"/>
          </w:tcPr>
          <w:p w14:paraId="60E48D61">
            <w:pPr>
              <w:spacing w:line="300" w:lineRule="exact"/>
              <w:jc w:val="center"/>
              <w:rPr>
                <w:rFonts w:ascii="Times New Roman" w:eastAsia="宋体"/>
                <w:color w:val="000000" w:themeColor="text1"/>
                <w:sz w:val="21"/>
                <w:szCs w:val="21"/>
                <w14:textFill>
                  <w14:solidFill>
                    <w14:schemeClr w14:val="tx1"/>
                  </w14:solidFill>
                </w14:textFill>
              </w:rPr>
            </w:pPr>
          </w:p>
        </w:tc>
        <w:tc>
          <w:tcPr>
            <w:tcW w:w="462" w:type="pct"/>
            <w:vAlign w:val="center"/>
          </w:tcPr>
          <w:p w14:paraId="61F9C02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120</w:t>
            </w:r>
          </w:p>
        </w:tc>
        <w:tc>
          <w:tcPr>
            <w:tcW w:w="381" w:type="pct"/>
            <w:vAlign w:val="center"/>
          </w:tcPr>
          <w:p w14:paraId="516CF44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东北</w:t>
            </w:r>
          </w:p>
        </w:tc>
        <w:tc>
          <w:tcPr>
            <w:tcW w:w="812" w:type="pct"/>
            <w:vAlign w:val="center"/>
          </w:tcPr>
          <w:p w14:paraId="71D5AC0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2500</w:t>
            </w:r>
          </w:p>
        </w:tc>
      </w:tr>
    </w:tbl>
    <w:p w14:paraId="188F0AEE">
      <w:pPr>
        <w:pStyle w:val="31"/>
        <w:spacing w:before="0" w:line="480" w:lineRule="atLeast"/>
      </w:pPr>
      <w:r>
        <w:rPr>
          <w:rFonts w:hint="eastAsia"/>
        </w:rPr>
        <w:t>表2.6-3</w:t>
      </w:r>
      <w:r>
        <w:t xml:space="preserve"> </w:t>
      </w:r>
      <w:r>
        <w:rPr>
          <w:rFonts w:hint="eastAsia"/>
        </w:rPr>
        <w:t>其他环境保护目标一览表</w:t>
      </w:r>
    </w:p>
    <w:tbl>
      <w:tblPr>
        <w:tblStyle w:val="41"/>
        <w:tblW w:w="5120" w:type="pct"/>
        <w:jc w:val="center"/>
        <w:tblBorders>
          <w:top w:val="single" w:color="auto" w:sz="6" w:space="0"/>
          <w:left w:val="none" w:color="auto" w:sz="0" w:space="0"/>
          <w:bottom w:val="single" w:color="auto" w:sz="6" w:space="0"/>
          <w:right w:val="none" w:color="auto" w:sz="0" w:space="0"/>
          <w:insideH w:val="single" w:color="auto" w:sz="6" w:space="0"/>
          <w:insideV w:val="single" w:color="auto" w:sz="4" w:space="0"/>
        </w:tblBorders>
        <w:tblLayout w:type="autofit"/>
        <w:tblCellMar>
          <w:top w:w="0" w:type="dxa"/>
          <w:left w:w="0" w:type="dxa"/>
          <w:bottom w:w="0" w:type="dxa"/>
          <w:right w:w="0" w:type="dxa"/>
        </w:tblCellMar>
      </w:tblPr>
      <w:tblGrid>
        <w:gridCol w:w="839"/>
        <w:gridCol w:w="1941"/>
        <w:gridCol w:w="885"/>
        <w:gridCol w:w="662"/>
        <w:gridCol w:w="1669"/>
        <w:gridCol w:w="1214"/>
        <w:gridCol w:w="2080"/>
      </w:tblGrid>
      <w:tr w14:paraId="5507C170">
        <w:tblPrEx>
          <w:tblBorders>
            <w:top w:val="single" w:color="auto" w:sz="6" w:space="0"/>
            <w:left w:val="none" w:color="auto" w:sz="0" w:space="0"/>
            <w:bottom w:val="single" w:color="auto" w:sz="6"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97" w:hRule="atLeast"/>
          <w:tblHeader/>
          <w:jc w:val="center"/>
        </w:trPr>
        <w:tc>
          <w:tcPr>
            <w:tcW w:w="452" w:type="pct"/>
            <w:vMerge w:val="restart"/>
            <w:vAlign w:val="center"/>
          </w:tcPr>
          <w:p w14:paraId="1C48C502">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环境要素</w:t>
            </w:r>
          </w:p>
        </w:tc>
        <w:tc>
          <w:tcPr>
            <w:tcW w:w="1044" w:type="pct"/>
            <w:vMerge w:val="restart"/>
            <w:vAlign w:val="center"/>
          </w:tcPr>
          <w:p w14:paraId="06B3851F">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名称</w:t>
            </w:r>
          </w:p>
        </w:tc>
        <w:tc>
          <w:tcPr>
            <w:tcW w:w="476" w:type="pct"/>
            <w:vMerge w:val="restart"/>
            <w:vAlign w:val="center"/>
          </w:tcPr>
          <w:p w14:paraId="782DE650">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规模</w:t>
            </w:r>
          </w:p>
        </w:tc>
        <w:tc>
          <w:tcPr>
            <w:tcW w:w="356" w:type="pct"/>
            <w:vMerge w:val="restart"/>
            <w:vAlign w:val="center"/>
          </w:tcPr>
          <w:p w14:paraId="1E3F83EF">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方位</w:t>
            </w:r>
          </w:p>
        </w:tc>
        <w:tc>
          <w:tcPr>
            <w:tcW w:w="898" w:type="pct"/>
            <w:vMerge w:val="restart"/>
            <w:vAlign w:val="center"/>
          </w:tcPr>
          <w:p w14:paraId="0EFE1DC3">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距敏感目标最近距离（m）</w:t>
            </w:r>
          </w:p>
        </w:tc>
        <w:tc>
          <w:tcPr>
            <w:tcW w:w="651" w:type="pct"/>
            <w:vMerge w:val="restart"/>
            <w:vAlign w:val="center"/>
          </w:tcPr>
          <w:p w14:paraId="1EFDA231">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功能属性</w:t>
            </w:r>
          </w:p>
        </w:tc>
        <w:tc>
          <w:tcPr>
            <w:tcW w:w="1119" w:type="pct"/>
            <w:vMerge w:val="restart"/>
            <w:vAlign w:val="center"/>
          </w:tcPr>
          <w:p w14:paraId="15EB6A85">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环境功能区</w:t>
            </w:r>
          </w:p>
        </w:tc>
      </w:tr>
      <w:tr w14:paraId="3FFF9489">
        <w:tblPrEx>
          <w:tblBorders>
            <w:top w:val="single" w:color="auto" w:sz="6" w:space="0"/>
            <w:left w:val="none" w:color="auto" w:sz="0" w:space="0"/>
            <w:bottom w:val="single" w:color="auto" w:sz="6"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97" w:hRule="atLeast"/>
          <w:tblHeader/>
          <w:jc w:val="center"/>
        </w:trPr>
        <w:tc>
          <w:tcPr>
            <w:tcW w:w="452" w:type="pct"/>
            <w:vMerge w:val="continue"/>
            <w:vAlign w:val="center"/>
          </w:tcPr>
          <w:p w14:paraId="1D0FA7BE">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1044" w:type="pct"/>
            <w:vMerge w:val="continue"/>
            <w:vAlign w:val="center"/>
          </w:tcPr>
          <w:p w14:paraId="5DC8E420">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476" w:type="pct"/>
            <w:vMerge w:val="continue"/>
            <w:vAlign w:val="center"/>
          </w:tcPr>
          <w:p w14:paraId="07B3A27F">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356" w:type="pct"/>
            <w:vMerge w:val="continue"/>
            <w:vAlign w:val="center"/>
          </w:tcPr>
          <w:p w14:paraId="71B07D1E">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898" w:type="pct"/>
            <w:vMerge w:val="continue"/>
            <w:vAlign w:val="center"/>
          </w:tcPr>
          <w:p w14:paraId="7614D216">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651" w:type="pct"/>
            <w:vMerge w:val="continue"/>
            <w:vAlign w:val="center"/>
          </w:tcPr>
          <w:p w14:paraId="4D14F182">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1119" w:type="pct"/>
            <w:vMerge w:val="continue"/>
            <w:vAlign w:val="center"/>
          </w:tcPr>
          <w:p w14:paraId="69318847">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p>
        </w:tc>
      </w:tr>
      <w:tr w14:paraId="7490DA60">
        <w:tblPrEx>
          <w:tblBorders>
            <w:top w:val="single" w:color="auto" w:sz="6" w:space="0"/>
            <w:left w:val="none" w:color="auto" w:sz="0" w:space="0"/>
            <w:bottom w:val="single" w:color="auto" w:sz="6"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97" w:hRule="atLeast"/>
          <w:jc w:val="center"/>
        </w:trPr>
        <w:tc>
          <w:tcPr>
            <w:tcW w:w="452" w:type="pct"/>
            <w:vMerge w:val="restart"/>
            <w:vAlign w:val="center"/>
          </w:tcPr>
          <w:p w14:paraId="4B8CE108">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地表水</w:t>
            </w:r>
          </w:p>
        </w:tc>
        <w:tc>
          <w:tcPr>
            <w:tcW w:w="1044" w:type="pct"/>
            <w:vAlign w:val="center"/>
          </w:tcPr>
          <w:p w14:paraId="06AAF445">
            <w:pPr>
              <w:pStyle w:val="32"/>
              <w:spacing w:line="300" w:lineRule="exact"/>
              <w:ind w:left="0" w:firstLine="0" w:firstLineChars="0"/>
              <w:jc w:val="center"/>
              <w:rPr>
                <w:rFonts w:hint="eastAsia"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十一斗渠</w:t>
            </w:r>
          </w:p>
        </w:tc>
        <w:tc>
          <w:tcPr>
            <w:tcW w:w="476" w:type="pct"/>
            <w:vAlign w:val="center"/>
          </w:tcPr>
          <w:p w14:paraId="44F519B8">
            <w:pPr>
              <w:tabs>
                <w:tab w:val="left" w:pos="1021"/>
              </w:tabs>
              <w:spacing w:line="300" w:lineRule="exact"/>
              <w:jc w:val="center"/>
              <w:rPr>
                <w:rFonts w:hint="default" w:ascii="Times New Roman" w:eastAsia="宋体"/>
                <w:bCs/>
                <w:color w:val="000000" w:themeColor="text1"/>
                <w:sz w:val="21"/>
                <w:szCs w:val="21"/>
                <w:lang w:val="en-US" w:eastAsia="zh-CN"/>
                <w14:textFill>
                  <w14:solidFill>
                    <w14:schemeClr w14:val="tx1"/>
                  </w14:solidFill>
                </w14:textFill>
              </w:rPr>
            </w:pPr>
            <w:r>
              <w:rPr>
                <w:rFonts w:hint="eastAsia" w:ascii="Times New Roman" w:eastAsia="宋体"/>
                <w:bCs/>
                <w:color w:val="000000" w:themeColor="text1"/>
                <w:sz w:val="21"/>
                <w:szCs w:val="21"/>
                <w:lang w:val="en-US" w:eastAsia="zh-CN"/>
                <w14:textFill>
                  <w14:solidFill>
                    <w14:schemeClr w14:val="tx1"/>
                  </w14:solidFill>
                </w14:textFill>
              </w:rPr>
              <w:t>小沟渠</w:t>
            </w:r>
          </w:p>
        </w:tc>
        <w:tc>
          <w:tcPr>
            <w:tcW w:w="356" w:type="pct"/>
            <w:vAlign w:val="center"/>
          </w:tcPr>
          <w:p w14:paraId="4A0BE513">
            <w:pPr>
              <w:spacing w:line="300" w:lineRule="exact"/>
              <w:jc w:val="center"/>
              <w:rPr>
                <w:rFonts w:hint="default" w:ascii="Times New Roman" w:eastAsia="宋体"/>
                <w:bCs/>
                <w:color w:val="000000" w:themeColor="text1"/>
                <w:sz w:val="21"/>
                <w:szCs w:val="21"/>
                <w:lang w:val="en-US" w:eastAsia="zh-CN"/>
                <w14:textFill>
                  <w14:solidFill>
                    <w14:schemeClr w14:val="tx1"/>
                  </w14:solidFill>
                </w14:textFill>
              </w:rPr>
            </w:pPr>
            <w:r>
              <w:rPr>
                <w:rFonts w:hint="eastAsia" w:ascii="Times New Roman" w:eastAsia="宋体"/>
                <w:bCs/>
                <w:color w:val="000000" w:themeColor="text1"/>
                <w:sz w:val="21"/>
                <w:szCs w:val="21"/>
                <w:lang w:val="en-US" w:eastAsia="zh-CN"/>
                <w14:textFill>
                  <w14:solidFill>
                    <w14:schemeClr w14:val="tx1"/>
                  </w14:solidFill>
                </w14:textFill>
              </w:rPr>
              <w:t>北</w:t>
            </w:r>
          </w:p>
        </w:tc>
        <w:tc>
          <w:tcPr>
            <w:tcW w:w="898" w:type="pct"/>
            <w:vAlign w:val="center"/>
          </w:tcPr>
          <w:p w14:paraId="4DBDBFB5">
            <w:pPr>
              <w:pStyle w:val="32"/>
              <w:spacing w:line="300" w:lineRule="exact"/>
              <w:ind w:left="0" w:firstLine="0" w:firstLineChars="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120</w:t>
            </w:r>
          </w:p>
        </w:tc>
        <w:tc>
          <w:tcPr>
            <w:tcW w:w="651" w:type="pct"/>
            <w:vAlign w:val="center"/>
          </w:tcPr>
          <w:p w14:paraId="553FE55E">
            <w:pPr>
              <w:pStyle w:val="32"/>
              <w:spacing w:line="300" w:lineRule="exact"/>
              <w:ind w:left="0" w:firstLine="0" w:firstLineChars="0"/>
              <w:jc w:val="center"/>
              <w:rPr>
                <w:rFonts w:hint="eastAsia"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w:t>
            </w:r>
          </w:p>
        </w:tc>
        <w:tc>
          <w:tcPr>
            <w:tcW w:w="1119" w:type="pct"/>
            <w:vAlign w:val="center"/>
          </w:tcPr>
          <w:p w14:paraId="1B8875D4">
            <w:pPr>
              <w:pStyle w:val="32"/>
              <w:spacing w:line="300" w:lineRule="exact"/>
              <w:ind w:left="0" w:firstLine="0" w:firstLineChars="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不属于功能水体</w:t>
            </w:r>
          </w:p>
        </w:tc>
      </w:tr>
      <w:tr w14:paraId="5141E4D0">
        <w:tblPrEx>
          <w:tblBorders>
            <w:top w:val="single" w:color="auto" w:sz="6" w:space="0"/>
            <w:left w:val="none" w:color="auto" w:sz="0" w:space="0"/>
            <w:bottom w:val="single" w:color="auto" w:sz="6"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97" w:hRule="atLeast"/>
          <w:jc w:val="center"/>
        </w:trPr>
        <w:tc>
          <w:tcPr>
            <w:tcW w:w="452" w:type="pct"/>
            <w:vMerge w:val="continue"/>
            <w:vAlign w:val="center"/>
          </w:tcPr>
          <w:p w14:paraId="0E546E4B">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1044" w:type="pct"/>
            <w:shd w:val="clear" w:color="auto" w:fill="auto"/>
            <w:vAlign w:val="center"/>
          </w:tcPr>
          <w:p w14:paraId="5A9072DB">
            <w:pPr>
              <w:pStyle w:val="32"/>
              <w:spacing w:line="300" w:lineRule="exact"/>
              <w:ind w:left="0" w:leftChars="0" w:firstLine="0" w:firstLineChars="0"/>
              <w:jc w:val="center"/>
              <w:rPr>
                <w:rFonts w:hint="eastAsia" w:ascii="Times New Roman" w:hAnsi="Times New Roman" w:eastAsia="宋体" w:cstheme="minorBidi"/>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颜倪河</w:t>
            </w:r>
          </w:p>
        </w:tc>
        <w:tc>
          <w:tcPr>
            <w:tcW w:w="476" w:type="pct"/>
            <w:shd w:val="clear" w:color="auto" w:fill="auto"/>
            <w:vAlign w:val="center"/>
          </w:tcPr>
          <w:p w14:paraId="0C646492">
            <w:pPr>
              <w:tabs>
                <w:tab w:val="left" w:pos="1021"/>
              </w:tabs>
              <w:spacing w:line="300" w:lineRule="exact"/>
              <w:jc w:val="center"/>
              <w:rPr>
                <w:rFonts w:hint="eastAsia" w:ascii="Times New Roman" w:eastAsia="宋体" w:hAnsiTheme="minorHAnsi" w:cstheme="minorBidi"/>
                <w:bCs/>
                <w:color w:val="000000" w:themeColor="text1"/>
                <w:kern w:val="2"/>
                <w:sz w:val="21"/>
                <w:szCs w:val="21"/>
                <w:lang w:val="en-US" w:eastAsia="zh-CN" w:bidi="ar-SA"/>
                <w14:textFill>
                  <w14:solidFill>
                    <w14:schemeClr w14:val="tx1"/>
                  </w14:solidFill>
                </w14:textFill>
              </w:rPr>
            </w:pPr>
            <w:r>
              <w:rPr>
                <w:rFonts w:hint="eastAsia" w:ascii="Times New Roman" w:eastAsia="宋体"/>
                <w:bCs/>
                <w:color w:val="000000" w:themeColor="text1"/>
                <w:sz w:val="21"/>
                <w:szCs w:val="21"/>
                <w14:textFill>
                  <w14:solidFill>
                    <w14:schemeClr w14:val="tx1"/>
                  </w14:solidFill>
                </w14:textFill>
              </w:rPr>
              <w:t>小河</w:t>
            </w:r>
          </w:p>
        </w:tc>
        <w:tc>
          <w:tcPr>
            <w:tcW w:w="356" w:type="pct"/>
            <w:shd w:val="clear" w:color="auto" w:fill="auto"/>
            <w:vAlign w:val="center"/>
          </w:tcPr>
          <w:p w14:paraId="41DDD0A2">
            <w:pPr>
              <w:spacing w:line="300" w:lineRule="exact"/>
              <w:jc w:val="center"/>
              <w:rPr>
                <w:rFonts w:hint="eastAsia" w:ascii="Times New Roman" w:eastAsia="宋体" w:hAnsiTheme="minorHAnsi" w:cstheme="minorBidi"/>
                <w:bCs/>
                <w:color w:val="000000" w:themeColor="text1"/>
                <w:kern w:val="2"/>
                <w:sz w:val="21"/>
                <w:szCs w:val="21"/>
                <w:lang w:val="en-US" w:eastAsia="zh-CN" w:bidi="ar-SA"/>
                <w14:textFill>
                  <w14:solidFill>
                    <w14:schemeClr w14:val="tx1"/>
                  </w14:solidFill>
                </w14:textFill>
              </w:rPr>
            </w:pPr>
            <w:r>
              <w:rPr>
                <w:rFonts w:hint="eastAsia" w:ascii="Times New Roman" w:eastAsia="宋体"/>
                <w:bCs/>
                <w:color w:val="000000" w:themeColor="text1"/>
                <w:sz w:val="21"/>
                <w:szCs w:val="21"/>
                <w14:textFill>
                  <w14:solidFill>
                    <w14:schemeClr w14:val="tx1"/>
                  </w14:solidFill>
                </w14:textFill>
              </w:rPr>
              <w:t>西</w:t>
            </w:r>
          </w:p>
        </w:tc>
        <w:tc>
          <w:tcPr>
            <w:tcW w:w="898" w:type="pct"/>
            <w:shd w:val="clear" w:color="auto" w:fill="auto"/>
            <w:vAlign w:val="center"/>
          </w:tcPr>
          <w:p w14:paraId="18A2E0DB">
            <w:pPr>
              <w:pStyle w:val="32"/>
              <w:spacing w:line="300" w:lineRule="exact"/>
              <w:ind w:left="0" w:leftChars="0" w:firstLine="0" w:firstLineChars="0"/>
              <w:jc w:val="center"/>
              <w:rPr>
                <w:rFonts w:hint="eastAsia" w:ascii="Times New Roman" w:hAnsi="Times New Roman" w:eastAsia="宋体" w:cstheme="minorBidi"/>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1200</w:t>
            </w:r>
          </w:p>
        </w:tc>
        <w:tc>
          <w:tcPr>
            <w:tcW w:w="651" w:type="pct"/>
            <w:shd w:val="clear" w:color="auto" w:fill="auto"/>
            <w:vAlign w:val="center"/>
          </w:tcPr>
          <w:p w14:paraId="50DB6CC9">
            <w:pPr>
              <w:pStyle w:val="32"/>
              <w:spacing w:line="300" w:lineRule="exact"/>
              <w:ind w:left="0" w:leftChars="0" w:firstLine="0" w:firstLineChars="0"/>
              <w:jc w:val="center"/>
              <w:rPr>
                <w:rFonts w:ascii="Times New Roman" w:hAnsi="Times New Roman" w:eastAsia="宋体" w:cstheme="minorBidi"/>
                <w:bCs/>
                <w:color w:val="000000" w:themeColor="text1"/>
                <w:kern w:val="2"/>
                <w:sz w:val="21"/>
                <w:szCs w:val="21"/>
                <w:lang w:val="en-US" w:eastAsia="zh-CN" w:bidi="ar-SA"/>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灌溉、排涝</w:t>
            </w:r>
          </w:p>
        </w:tc>
        <w:tc>
          <w:tcPr>
            <w:tcW w:w="1119" w:type="pct"/>
            <w:shd w:val="clear" w:color="auto" w:fill="auto"/>
            <w:vAlign w:val="center"/>
          </w:tcPr>
          <w:p w14:paraId="29AD3EE3">
            <w:pPr>
              <w:pStyle w:val="32"/>
              <w:spacing w:line="300" w:lineRule="exact"/>
              <w:ind w:left="0" w:leftChars="0" w:firstLine="0" w:firstLineChars="0"/>
              <w:jc w:val="center"/>
              <w:rPr>
                <w:rFonts w:hint="eastAsia" w:ascii="Times New Roman" w:hAnsi="Times New Roman" w:eastAsia="宋体" w:cstheme="minorBidi"/>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r>
              <w:rPr>
                <w:rFonts w:ascii="Times New Roman" w:hAnsi="Times New Roman" w:eastAsia="宋体"/>
                <w:bCs/>
                <w:color w:val="000000" w:themeColor="text1"/>
                <w:sz w:val="21"/>
                <w:szCs w:val="21"/>
                <w14:textFill>
                  <w14:solidFill>
                    <w14:schemeClr w14:val="tx1"/>
                  </w14:solidFill>
                </w14:textFill>
              </w:rPr>
              <w:t>GB3838-2002</w:t>
            </w:r>
            <w:r>
              <w:rPr>
                <w:rFonts w:hint="eastAsia" w:ascii="Times New Roman" w:hAnsi="Times New Roman" w:eastAsia="宋体"/>
                <w:bCs/>
                <w:color w:val="000000" w:themeColor="text1"/>
                <w:sz w:val="21"/>
                <w:szCs w:val="21"/>
                <w14:textFill>
                  <w14:solidFill>
                    <w14:schemeClr w14:val="tx1"/>
                  </w14:solidFill>
                </w14:textFill>
              </w:rPr>
              <w:t>）</w:t>
            </w:r>
            <w:r>
              <w:rPr>
                <w:rFonts w:ascii="Times New Roman" w:hAnsi="Times New Roman" w:eastAsia="宋体"/>
                <w:bCs/>
                <w:color w:val="000000" w:themeColor="text1"/>
                <w:sz w:val="21"/>
                <w:szCs w:val="21"/>
                <w14:textFill>
                  <w14:solidFill>
                    <w14:schemeClr w14:val="tx1"/>
                  </w14:solidFill>
                </w14:textFill>
              </w:rPr>
              <w:t>Ⅲ类</w:t>
            </w:r>
          </w:p>
        </w:tc>
      </w:tr>
      <w:tr w14:paraId="2D285454">
        <w:tblPrEx>
          <w:tblBorders>
            <w:top w:val="single" w:color="auto" w:sz="6" w:space="0"/>
            <w:left w:val="none" w:color="auto" w:sz="0" w:space="0"/>
            <w:bottom w:val="single" w:color="auto" w:sz="6"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97" w:hRule="atLeast"/>
          <w:jc w:val="center"/>
        </w:trPr>
        <w:tc>
          <w:tcPr>
            <w:tcW w:w="452" w:type="pct"/>
            <w:vAlign w:val="center"/>
          </w:tcPr>
          <w:p w14:paraId="35661247">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地下水</w:t>
            </w:r>
          </w:p>
        </w:tc>
        <w:tc>
          <w:tcPr>
            <w:tcW w:w="3427" w:type="pct"/>
            <w:gridSpan w:val="5"/>
            <w:vAlign w:val="center"/>
          </w:tcPr>
          <w:p w14:paraId="640E65C2">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周边潜水含水层</w:t>
            </w:r>
          </w:p>
        </w:tc>
        <w:tc>
          <w:tcPr>
            <w:tcW w:w="1119" w:type="pct"/>
            <w:vAlign w:val="center"/>
          </w:tcPr>
          <w:p w14:paraId="137116A9">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w:t>
            </w:r>
          </w:p>
        </w:tc>
      </w:tr>
      <w:tr w14:paraId="102AE079">
        <w:tblPrEx>
          <w:tblBorders>
            <w:top w:val="single" w:color="auto" w:sz="6" w:space="0"/>
            <w:left w:val="none" w:color="auto" w:sz="0" w:space="0"/>
            <w:bottom w:val="single" w:color="auto" w:sz="6"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97" w:hRule="atLeast"/>
          <w:jc w:val="center"/>
        </w:trPr>
        <w:tc>
          <w:tcPr>
            <w:tcW w:w="452" w:type="pct"/>
            <w:vMerge w:val="restart"/>
            <w:vAlign w:val="center"/>
          </w:tcPr>
          <w:p w14:paraId="0FD697CE">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声环境</w:t>
            </w:r>
          </w:p>
        </w:tc>
        <w:tc>
          <w:tcPr>
            <w:tcW w:w="1044" w:type="pct"/>
            <w:vAlign w:val="center"/>
          </w:tcPr>
          <w:p w14:paraId="4BC64C28">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厂界</w:t>
            </w:r>
          </w:p>
        </w:tc>
        <w:tc>
          <w:tcPr>
            <w:tcW w:w="476" w:type="pct"/>
            <w:vAlign w:val="center"/>
          </w:tcPr>
          <w:p w14:paraId="1871D3EC">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356" w:type="pct"/>
            <w:vAlign w:val="center"/>
          </w:tcPr>
          <w:p w14:paraId="2634A7B2">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898" w:type="pct"/>
            <w:vAlign w:val="center"/>
          </w:tcPr>
          <w:p w14:paraId="273B8C39">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651" w:type="pct"/>
            <w:vAlign w:val="center"/>
          </w:tcPr>
          <w:p w14:paraId="451B4D50">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1119" w:type="pct"/>
            <w:vMerge w:val="restart"/>
            <w:vAlign w:val="center"/>
          </w:tcPr>
          <w:p w14:paraId="55141691">
            <w:pPr>
              <w:pStyle w:val="32"/>
              <w:spacing w:line="300" w:lineRule="exact"/>
              <w:ind w:left="0" w:firstLine="0" w:firstLineChars="0"/>
              <w:jc w:val="center"/>
              <w:rPr>
                <w:rFonts w:ascii="Times New Roman" w:hAnsi="Times New Roman" w:eastAsia="宋体"/>
                <w:bCs/>
                <w:color w:val="FF0000"/>
                <w:sz w:val="21"/>
                <w:szCs w:val="21"/>
              </w:rPr>
            </w:pPr>
            <w:r>
              <w:rPr>
                <w:rFonts w:ascii="Times New Roman" w:hAnsi="Times New Roman" w:eastAsia="宋体"/>
                <w:bCs/>
                <w:color w:val="000000" w:themeColor="text1"/>
                <w:sz w:val="21"/>
                <w:szCs w:val="21"/>
                <w14:textFill>
                  <w14:solidFill>
                    <w14:schemeClr w14:val="tx1"/>
                  </w14:solidFill>
                </w14:textFill>
              </w:rPr>
              <w:t>（</w:t>
            </w:r>
            <w:r>
              <w:rPr>
                <w:rFonts w:hint="eastAsia" w:ascii="Times New Roman" w:hAnsi="Times New Roman" w:eastAsia="宋体"/>
                <w:bCs/>
                <w:color w:val="000000" w:themeColor="text1"/>
                <w:sz w:val="21"/>
                <w:szCs w:val="21"/>
                <w14:textFill>
                  <w14:solidFill>
                    <w14:schemeClr w14:val="tx1"/>
                  </w14:solidFill>
                </w14:textFill>
              </w:rPr>
              <w:t>GB</w:t>
            </w:r>
            <w:r>
              <w:rPr>
                <w:rFonts w:ascii="Times New Roman" w:hAnsi="Times New Roman" w:eastAsia="宋体"/>
                <w:bCs/>
                <w:color w:val="000000" w:themeColor="text1"/>
                <w:sz w:val="21"/>
                <w:szCs w:val="21"/>
                <w14:textFill>
                  <w14:solidFill>
                    <w14:schemeClr w14:val="tx1"/>
                  </w14:solidFill>
                </w14:textFill>
              </w:rPr>
              <w:t>3096-2008）</w:t>
            </w:r>
            <w:r>
              <w:rPr>
                <w:rFonts w:hint="eastAsia" w:ascii="Times New Roman" w:hAnsi="Times New Roman" w:eastAsia="宋体"/>
                <w:bCs/>
                <w:color w:val="000000" w:themeColor="text1"/>
                <w:sz w:val="21"/>
                <w:szCs w:val="21"/>
                <w14:textFill>
                  <w14:solidFill>
                    <w14:schemeClr w14:val="tx1"/>
                  </w14:solidFill>
                </w14:textFill>
              </w:rPr>
              <w:t>1</w:t>
            </w:r>
            <w:r>
              <w:rPr>
                <w:rFonts w:ascii="Times New Roman" w:hAnsi="Times New Roman" w:eastAsia="宋体"/>
                <w:bCs/>
                <w:color w:val="000000" w:themeColor="text1"/>
                <w:sz w:val="21"/>
                <w:szCs w:val="21"/>
                <w14:textFill>
                  <w14:solidFill>
                    <w14:schemeClr w14:val="tx1"/>
                  </w14:solidFill>
                </w14:textFill>
              </w:rPr>
              <w:t>类</w:t>
            </w:r>
          </w:p>
        </w:tc>
      </w:tr>
      <w:tr w14:paraId="4C52CAD1">
        <w:tblPrEx>
          <w:tblBorders>
            <w:top w:val="single" w:color="auto" w:sz="6" w:space="0"/>
            <w:left w:val="none" w:color="auto" w:sz="0" w:space="0"/>
            <w:bottom w:val="single" w:color="auto" w:sz="6"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97" w:hRule="atLeast"/>
          <w:jc w:val="center"/>
        </w:trPr>
        <w:tc>
          <w:tcPr>
            <w:tcW w:w="452" w:type="pct"/>
            <w:vMerge w:val="continue"/>
            <w:vAlign w:val="center"/>
          </w:tcPr>
          <w:p w14:paraId="035FD787">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1044" w:type="pct"/>
            <w:vAlign w:val="center"/>
          </w:tcPr>
          <w:p w14:paraId="4E6459F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戴庄</w:t>
            </w:r>
          </w:p>
        </w:tc>
        <w:tc>
          <w:tcPr>
            <w:tcW w:w="476" w:type="pct"/>
            <w:vAlign w:val="center"/>
          </w:tcPr>
          <w:p w14:paraId="7AE2EAD6">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150人</w:t>
            </w:r>
          </w:p>
        </w:tc>
        <w:tc>
          <w:tcPr>
            <w:tcW w:w="356" w:type="pct"/>
            <w:vAlign w:val="center"/>
          </w:tcPr>
          <w:p w14:paraId="1672B4D4">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西北</w:t>
            </w:r>
          </w:p>
        </w:tc>
        <w:tc>
          <w:tcPr>
            <w:tcW w:w="898" w:type="pct"/>
            <w:vAlign w:val="center"/>
          </w:tcPr>
          <w:p w14:paraId="4A8C3022">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sz w:val="21"/>
                <w:szCs w:val="21"/>
              </w:rPr>
              <w:t>60</w:t>
            </w:r>
            <w:r>
              <w:rPr>
                <w:rFonts w:hint="eastAsia" w:ascii="Times New Roman" w:eastAsia="宋体"/>
                <w:sz w:val="21"/>
                <w:szCs w:val="21"/>
                <w:lang w:eastAsia="zh-CN"/>
              </w:rPr>
              <w:t>（</w:t>
            </w:r>
            <w:r>
              <w:rPr>
                <w:rFonts w:hint="eastAsia" w:ascii="Times New Roman" w:eastAsia="宋体"/>
                <w:sz w:val="21"/>
                <w:szCs w:val="21"/>
                <w:lang w:val="en-US" w:eastAsia="zh-CN"/>
              </w:rPr>
              <w:t>厂界</w:t>
            </w:r>
            <w:r>
              <w:rPr>
                <w:rFonts w:hint="eastAsia" w:ascii="Times New Roman" w:eastAsia="宋体"/>
                <w:sz w:val="21"/>
                <w:szCs w:val="21"/>
                <w:lang w:eastAsia="zh-CN"/>
              </w:rPr>
              <w:t>）</w:t>
            </w:r>
            <w:r>
              <w:rPr>
                <w:rFonts w:hint="eastAsia" w:ascii="Times New Roman" w:eastAsia="宋体"/>
                <w:sz w:val="21"/>
                <w:szCs w:val="21"/>
                <w:lang w:val="en-US" w:eastAsia="zh-CN"/>
              </w:rPr>
              <w:t>/145（本项目边界）</w:t>
            </w:r>
          </w:p>
        </w:tc>
        <w:tc>
          <w:tcPr>
            <w:tcW w:w="651" w:type="pct"/>
            <w:vAlign w:val="center"/>
          </w:tcPr>
          <w:p w14:paraId="55EBBC84">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居住区</w:t>
            </w:r>
          </w:p>
        </w:tc>
        <w:tc>
          <w:tcPr>
            <w:tcW w:w="1119" w:type="pct"/>
            <w:vMerge w:val="continue"/>
            <w:vAlign w:val="center"/>
          </w:tcPr>
          <w:p w14:paraId="24D841CC">
            <w:pPr>
              <w:pStyle w:val="32"/>
              <w:spacing w:line="300" w:lineRule="exact"/>
              <w:ind w:left="0" w:firstLine="0" w:firstLineChars="0"/>
              <w:jc w:val="center"/>
              <w:rPr>
                <w:rFonts w:ascii="Times New Roman" w:hAnsi="Times New Roman" w:eastAsia="宋体"/>
                <w:bCs/>
                <w:color w:val="FF0000"/>
                <w:sz w:val="21"/>
                <w:szCs w:val="21"/>
              </w:rPr>
            </w:pPr>
          </w:p>
        </w:tc>
      </w:tr>
      <w:tr w14:paraId="2A036668">
        <w:tblPrEx>
          <w:tblBorders>
            <w:top w:val="single" w:color="auto" w:sz="6" w:space="0"/>
            <w:left w:val="none" w:color="auto" w:sz="0" w:space="0"/>
            <w:bottom w:val="single" w:color="auto" w:sz="6"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97" w:hRule="atLeast"/>
          <w:jc w:val="center"/>
        </w:trPr>
        <w:tc>
          <w:tcPr>
            <w:tcW w:w="452" w:type="pct"/>
            <w:vMerge w:val="continue"/>
            <w:vAlign w:val="center"/>
          </w:tcPr>
          <w:p w14:paraId="766820CB">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1044" w:type="pct"/>
            <w:vAlign w:val="center"/>
          </w:tcPr>
          <w:p w14:paraId="6A51D44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油坊庄</w:t>
            </w:r>
          </w:p>
        </w:tc>
        <w:tc>
          <w:tcPr>
            <w:tcW w:w="476" w:type="pct"/>
            <w:vAlign w:val="center"/>
          </w:tcPr>
          <w:p w14:paraId="155C4597">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650人</w:t>
            </w:r>
          </w:p>
        </w:tc>
        <w:tc>
          <w:tcPr>
            <w:tcW w:w="356" w:type="pct"/>
            <w:vAlign w:val="center"/>
          </w:tcPr>
          <w:p w14:paraId="48DD0793">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西南</w:t>
            </w:r>
          </w:p>
        </w:tc>
        <w:tc>
          <w:tcPr>
            <w:tcW w:w="898" w:type="pct"/>
            <w:vAlign w:val="center"/>
          </w:tcPr>
          <w:p w14:paraId="695EB254">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sz w:val="21"/>
                <w:szCs w:val="21"/>
                <w:lang w:val="en-US" w:eastAsia="zh-CN"/>
              </w:rPr>
              <w:t>190</w:t>
            </w:r>
            <w:r>
              <w:rPr>
                <w:rFonts w:hint="eastAsia" w:ascii="Times New Roman" w:eastAsia="宋体"/>
                <w:sz w:val="21"/>
                <w:szCs w:val="21"/>
                <w:lang w:eastAsia="zh-CN"/>
              </w:rPr>
              <w:t>（</w:t>
            </w:r>
            <w:r>
              <w:rPr>
                <w:rFonts w:hint="eastAsia" w:ascii="Times New Roman" w:eastAsia="宋体"/>
                <w:sz w:val="21"/>
                <w:szCs w:val="21"/>
                <w:lang w:val="en-US" w:eastAsia="zh-CN"/>
              </w:rPr>
              <w:t>厂界</w:t>
            </w:r>
            <w:r>
              <w:rPr>
                <w:rFonts w:hint="eastAsia" w:ascii="Times New Roman" w:eastAsia="宋体"/>
                <w:sz w:val="21"/>
                <w:szCs w:val="21"/>
                <w:lang w:eastAsia="zh-CN"/>
              </w:rPr>
              <w:t>）</w:t>
            </w:r>
            <w:r>
              <w:rPr>
                <w:rFonts w:hint="eastAsia" w:ascii="Times New Roman" w:eastAsia="宋体"/>
                <w:sz w:val="21"/>
                <w:szCs w:val="21"/>
                <w:lang w:val="en-US" w:eastAsia="zh-CN"/>
              </w:rPr>
              <w:t>/245（本项目边界）</w:t>
            </w:r>
          </w:p>
        </w:tc>
        <w:tc>
          <w:tcPr>
            <w:tcW w:w="651" w:type="pct"/>
            <w:vAlign w:val="center"/>
          </w:tcPr>
          <w:p w14:paraId="02A5EED7">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居住区</w:t>
            </w:r>
          </w:p>
        </w:tc>
        <w:tc>
          <w:tcPr>
            <w:tcW w:w="1119" w:type="pct"/>
            <w:vMerge w:val="continue"/>
            <w:vAlign w:val="center"/>
          </w:tcPr>
          <w:p w14:paraId="42E313C2">
            <w:pPr>
              <w:pStyle w:val="32"/>
              <w:spacing w:line="300" w:lineRule="exact"/>
              <w:ind w:left="0" w:firstLine="0" w:firstLineChars="0"/>
              <w:jc w:val="center"/>
              <w:rPr>
                <w:rFonts w:ascii="Times New Roman" w:hAnsi="Times New Roman" w:eastAsia="宋体"/>
                <w:bCs/>
                <w:color w:val="FF0000"/>
                <w:sz w:val="21"/>
                <w:szCs w:val="21"/>
              </w:rPr>
            </w:pPr>
          </w:p>
        </w:tc>
      </w:tr>
      <w:tr w14:paraId="6CB9DEDD">
        <w:tblPrEx>
          <w:tblBorders>
            <w:top w:val="single" w:color="auto" w:sz="6" w:space="0"/>
            <w:left w:val="none" w:color="auto" w:sz="0" w:space="0"/>
            <w:bottom w:val="single" w:color="auto" w:sz="6"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97" w:hRule="atLeast"/>
          <w:jc w:val="center"/>
        </w:trPr>
        <w:tc>
          <w:tcPr>
            <w:tcW w:w="452" w:type="pct"/>
            <w:vAlign w:val="center"/>
          </w:tcPr>
          <w:p w14:paraId="1A4301F6">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土壤环境</w:t>
            </w:r>
          </w:p>
        </w:tc>
        <w:tc>
          <w:tcPr>
            <w:tcW w:w="3427" w:type="pct"/>
            <w:gridSpan w:val="5"/>
            <w:vAlign w:val="center"/>
          </w:tcPr>
          <w:p w14:paraId="3A7E4A67">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周围</w:t>
            </w:r>
            <w:r>
              <w:rPr>
                <w:rFonts w:ascii="Times New Roman" w:hAnsi="Times New Roman" w:eastAsia="宋体"/>
                <w:bCs/>
                <w:color w:val="000000" w:themeColor="text1"/>
                <w:sz w:val="21"/>
                <w:szCs w:val="21"/>
                <w14:textFill>
                  <w14:solidFill>
                    <w14:schemeClr w14:val="tx1"/>
                  </w14:solidFill>
                </w14:textFill>
              </w:rPr>
              <w:t>5</w:t>
            </w:r>
            <w:r>
              <w:rPr>
                <w:rFonts w:hint="eastAsia" w:ascii="Times New Roman" w:hAnsi="Times New Roman" w:eastAsia="宋体"/>
                <w:bCs/>
                <w:color w:val="000000" w:themeColor="text1"/>
                <w:sz w:val="21"/>
                <w:szCs w:val="21"/>
                <w14:textFill>
                  <w14:solidFill>
                    <w14:schemeClr w14:val="tx1"/>
                  </w14:solidFill>
                </w14:textFill>
              </w:rPr>
              <w:t>0m范围内农田</w:t>
            </w:r>
          </w:p>
        </w:tc>
        <w:tc>
          <w:tcPr>
            <w:tcW w:w="1119" w:type="pct"/>
            <w:vAlign w:val="center"/>
          </w:tcPr>
          <w:p w14:paraId="6DE5C404">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GB15618-2018</w:t>
            </w:r>
          </w:p>
        </w:tc>
      </w:tr>
      <w:tr w14:paraId="4463DC0A">
        <w:tblPrEx>
          <w:tblBorders>
            <w:top w:val="single" w:color="auto" w:sz="6" w:space="0"/>
            <w:left w:val="none" w:color="auto" w:sz="0" w:space="0"/>
            <w:bottom w:val="single" w:color="auto" w:sz="6"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97" w:hRule="atLeast"/>
          <w:jc w:val="center"/>
        </w:trPr>
        <w:tc>
          <w:tcPr>
            <w:tcW w:w="452" w:type="pct"/>
            <w:vMerge w:val="restart"/>
            <w:vAlign w:val="center"/>
          </w:tcPr>
          <w:p w14:paraId="1CC67E00">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生态保护目标</w:t>
            </w:r>
          </w:p>
        </w:tc>
        <w:tc>
          <w:tcPr>
            <w:tcW w:w="1044" w:type="pct"/>
            <w:vAlign w:val="center"/>
          </w:tcPr>
          <w:p w14:paraId="4DA3CAA0">
            <w:pPr>
              <w:pStyle w:val="85"/>
              <w:spacing w:line="300" w:lineRule="exact"/>
              <w:rPr>
                <w:rFonts w:hint="default"/>
                <w:bCs/>
                <w:color w:val="000000" w:themeColor="text1"/>
                <w14:textFill>
                  <w14:solidFill>
                    <w14:schemeClr w14:val="tx1"/>
                  </w14:solidFill>
                </w14:textFill>
              </w:rPr>
            </w:pPr>
            <w:r>
              <w:rPr>
                <w:color w:val="000000" w:themeColor="text1"/>
                <w14:textFill>
                  <w14:solidFill>
                    <w14:schemeClr w14:val="tx1"/>
                  </w14:solidFill>
                </w14:textFill>
              </w:rPr>
              <w:t>淮沭新河（泗阳县）清水通道维护区</w:t>
            </w:r>
          </w:p>
        </w:tc>
        <w:tc>
          <w:tcPr>
            <w:tcW w:w="476" w:type="pct"/>
            <w:vAlign w:val="center"/>
          </w:tcPr>
          <w:p w14:paraId="0E1DAF4D">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356" w:type="pct"/>
            <w:vAlign w:val="center"/>
          </w:tcPr>
          <w:p w14:paraId="3D40EBF1">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东</w:t>
            </w:r>
          </w:p>
        </w:tc>
        <w:tc>
          <w:tcPr>
            <w:tcW w:w="898" w:type="pct"/>
            <w:vAlign w:val="center"/>
          </w:tcPr>
          <w:p w14:paraId="42ECCC73">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9700</w:t>
            </w:r>
          </w:p>
        </w:tc>
        <w:tc>
          <w:tcPr>
            <w:tcW w:w="651" w:type="pct"/>
            <w:vAlign w:val="center"/>
          </w:tcPr>
          <w:p w14:paraId="1857E7F7">
            <w:pPr>
              <w:pStyle w:val="85"/>
              <w:spacing w:line="300" w:lineRule="exact"/>
              <w:rPr>
                <w:rFonts w:hint="default"/>
                <w:bCs/>
                <w:color w:val="000000" w:themeColor="text1"/>
                <w14:textFill>
                  <w14:solidFill>
                    <w14:schemeClr w14:val="tx1"/>
                  </w14:solidFill>
                </w14:textFill>
              </w:rPr>
            </w:pPr>
            <w:r>
              <w:rPr>
                <w:color w:val="000000" w:themeColor="text1"/>
                <w14:textFill>
                  <w14:solidFill>
                    <w14:schemeClr w14:val="tx1"/>
                  </w14:solidFill>
                </w14:textFill>
              </w:rPr>
              <w:t>水源水质保护</w:t>
            </w:r>
          </w:p>
        </w:tc>
        <w:tc>
          <w:tcPr>
            <w:tcW w:w="1119" w:type="pct"/>
            <w:vAlign w:val="center"/>
          </w:tcPr>
          <w:p w14:paraId="5BBE68C4">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生态空间管控区域</w:t>
            </w:r>
          </w:p>
        </w:tc>
      </w:tr>
      <w:tr w14:paraId="26B78278">
        <w:tblPrEx>
          <w:tblBorders>
            <w:top w:val="single" w:color="auto" w:sz="6" w:space="0"/>
            <w:left w:val="none" w:color="auto" w:sz="0" w:space="0"/>
            <w:bottom w:val="single" w:color="auto" w:sz="6"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97" w:hRule="atLeast"/>
          <w:jc w:val="center"/>
        </w:trPr>
        <w:tc>
          <w:tcPr>
            <w:tcW w:w="452" w:type="pct"/>
            <w:vMerge w:val="continue"/>
            <w:vAlign w:val="center"/>
          </w:tcPr>
          <w:p w14:paraId="3597E778">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1044" w:type="pct"/>
            <w:vAlign w:val="center"/>
          </w:tcPr>
          <w:p w14:paraId="7837BFDF">
            <w:pPr>
              <w:pStyle w:val="85"/>
              <w:spacing w:line="300" w:lineRule="exact"/>
              <w:rPr>
                <w:rFonts w:hint="default"/>
                <w:bCs/>
                <w:color w:val="000000" w:themeColor="text1"/>
                <w14:textFill>
                  <w14:solidFill>
                    <w14:schemeClr w14:val="tx1"/>
                  </w14:solidFill>
                </w14:textFill>
              </w:rPr>
            </w:pPr>
            <w:r>
              <w:rPr>
                <w:color w:val="000000" w:themeColor="text1"/>
                <w14:textFill>
                  <w14:solidFill>
                    <w14:schemeClr w14:val="tx1"/>
                  </w14:solidFill>
                </w14:textFill>
              </w:rPr>
              <w:t>六塘河（泗阳县）洪水调蓄区</w:t>
            </w:r>
          </w:p>
        </w:tc>
        <w:tc>
          <w:tcPr>
            <w:tcW w:w="476" w:type="pct"/>
            <w:vAlign w:val="center"/>
          </w:tcPr>
          <w:p w14:paraId="5491CE02">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356" w:type="pct"/>
            <w:vAlign w:val="center"/>
          </w:tcPr>
          <w:p w14:paraId="00F263F8">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南</w:t>
            </w:r>
          </w:p>
        </w:tc>
        <w:tc>
          <w:tcPr>
            <w:tcW w:w="898" w:type="pct"/>
            <w:vAlign w:val="center"/>
          </w:tcPr>
          <w:p w14:paraId="65B414D6">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10300</w:t>
            </w:r>
          </w:p>
        </w:tc>
        <w:tc>
          <w:tcPr>
            <w:tcW w:w="651" w:type="pct"/>
            <w:vAlign w:val="center"/>
          </w:tcPr>
          <w:p w14:paraId="4DBB667C">
            <w:pPr>
              <w:pStyle w:val="85"/>
              <w:spacing w:line="300" w:lineRule="exact"/>
              <w:rPr>
                <w:rFonts w:hint="default"/>
                <w:bCs/>
                <w:color w:val="000000" w:themeColor="text1"/>
                <w14:textFill>
                  <w14:solidFill>
                    <w14:schemeClr w14:val="tx1"/>
                  </w14:solidFill>
                </w14:textFill>
              </w:rPr>
            </w:pPr>
            <w:r>
              <w:rPr>
                <w:color w:val="000000" w:themeColor="text1"/>
                <w14:textFill>
                  <w14:solidFill>
                    <w14:schemeClr w14:val="tx1"/>
                  </w14:solidFill>
                </w14:textFill>
              </w:rPr>
              <w:t>洪水调蓄</w:t>
            </w:r>
          </w:p>
        </w:tc>
        <w:tc>
          <w:tcPr>
            <w:tcW w:w="1119" w:type="pct"/>
            <w:vAlign w:val="center"/>
          </w:tcPr>
          <w:p w14:paraId="712BDDDB">
            <w:pPr>
              <w:pStyle w:val="32"/>
              <w:spacing w:line="300" w:lineRule="exact"/>
              <w:ind w:left="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生态空间管控区域</w:t>
            </w:r>
          </w:p>
        </w:tc>
      </w:tr>
    </w:tbl>
    <w:p w14:paraId="2FBE33CF">
      <w:pPr>
        <w:pStyle w:val="4"/>
        <w:pageBreakBefore w:val="0"/>
        <w:widowControl w:val="0"/>
        <w:kinsoku/>
        <w:wordWrap/>
        <w:overflowPunct/>
        <w:topLinePunct w:val="0"/>
        <w:autoSpaceDE/>
        <w:autoSpaceDN/>
        <w:bidi w:val="0"/>
        <w:adjustRightInd/>
        <w:snapToGrid/>
        <w:spacing w:after="0" w:line="500" w:lineRule="exact"/>
        <w:jc w:val="both"/>
        <w:textAlignment w:val="auto"/>
        <w:rPr>
          <w:color w:val="000000" w:themeColor="text1"/>
          <w14:textFill>
            <w14:solidFill>
              <w14:schemeClr w14:val="tx1"/>
            </w14:solidFill>
          </w14:textFill>
        </w:rPr>
      </w:pPr>
      <w:bookmarkStart w:id="30" w:name="_Toc20145"/>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相关规划及环境功能规划</w:t>
      </w:r>
      <w:bookmarkEnd w:id="30"/>
    </w:p>
    <w:p w14:paraId="3B87918F">
      <w:pPr>
        <w:pStyle w:val="7"/>
        <w:pageBreakBefore w:val="0"/>
        <w:widowControl w:val="0"/>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环境功能区划</w:t>
      </w:r>
    </w:p>
    <w:p w14:paraId="0746D0DF">
      <w:pPr>
        <w:pageBreakBefore w:val="0"/>
        <w:widowControl w:val="0"/>
        <w:kinsoku/>
        <w:wordWrap/>
        <w:overflowPunct/>
        <w:topLinePunct w:val="0"/>
        <w:autoSpaceDE/>
        <w:autoSpaceDN/>
        <w:bidi w:val="0"/>
        <w:adjustRightInd/>
        <w:snapToGrid/>
        <w:spacing w:line="500" w:lineRule="exact"/>
        <w:ind w:firstLine="480" w:firstLineChars="200"/>
        <w:textAlignment w:val="auto"/>
        <w:rPr>
          <w:rFonts w:ascii="Times New Roman" w:hAnsi="Times New Roman" w:cs="Times New Roman"/>
          <w:kern w:val="21"/>
          <w:szCs w:val="24"/>
        </w:rPr>
      </w:pPr>
      <w:r>
        <w:rPr>
          <w:rFonts w:hint="eastAsia" w:ascii="Times New Roman" w:hAnsi="Times New Roman" w:cs="Times New Roman"/>
          <w:kern w:val="21"/>
          <w:szCs w:val="24"/>
        </w:rPr>
        <w:t>（1）大气环境：项目所在区域环境空气属于《环境空气质量标准》（GB3095-2012）中的二类区。</w:t>
      </w:r>
    </w:p>
    <w:p w14:paraId="211947C6">
      <w:pPr>
        <w:pageBreakBefore w:val="0"/>
        <w:widowControl w:val="0"/>
        <w:kinsoku/>
        <w:wordWrap/>
        <w:overflowPunct/>
        <w:topLinePunct w:val="0"/>
        <w:autoSpaceDE/>
        <w:autoSpaceDN/>
        <w:bidi w:val="0"/>
        <w:adjustRightInd/>
        <w:snapToGrid/>
        <w:spacing w:line="500" w:lineRule="exact"/>
        <w:ind w:firstLine="480" w:firstLineChars="200"/>
        <w:textAlignment w:val="auto"/>
        <w:rPr>
          <w:rFonts w:ascii="Times New Roman" w:hAnsi="Times New Roman" w:cs="Times New Roman"/>
          <w:color w:val="000000" w:themeColor="text1"/>
          <w:kern w:val="21"/>
          <w:szCs w:val="24"/>
          <w14:textFill>
            <w14:solidFill>
              <w14:schemeClr w14:val="tx1"/>
            </w14:solidFill>
          </w14:textFill>
        </w:rPr>
      </w:pPr>
      <w:r>
        <w:rPr>
          <w:rFonts w:hint="eastAsia" w:ascii="Times New Roman" w:hAnsi="Times New Roman" w:cs="Times New Roman"/>
          <w:kern w:val="21"/>
          <w:szCs w:val="24"/>
        </w:rPr>
        <w:t>（2）声环境：区域环境为《声环境质量标准》（GB3096-20</w:t>
      </w:r>
      <w:r>
        <w:rPr>
          <w:rFonts w:hint="eastAsia" w:ascii="Times New Roman" w:hAnsi="Times New Roman" w:cs="Times New Roman"/>
          <w:color w:val="000000" w:themeColor="text1"/>
          <w:kern w:val="21"/>
          <w:szCs w:val="24"/>
          <w14:textFill>
            <w14:solidFill>
              <w14:schemeClr w14:val="tx1"/>
            </w14:solidFill>
          </w14:textFill>
        </w:rPr>
        <w:t>08）中的1类区。</w:t>
      </w:r>
    </w:p>
    <w:p w14:paraId="7864C94C">
      <w:pPr>
        <w:pageBreakBefore w:val="0"/>
        <w:widowControl w:val="0"/>
        <w:kinsoku/>
        <w:wordWrap/>
        <w:overflowPunct/>
        <w:topLinePunct w:val="0"/>
        <w:autoSpaceDE/>
        <w:autoSpaceDN/>
        <w:bidi w:val="0"/>
        <w:adjustRightInd/>
        <w:snapToGrid/>
        <w:spacing w:line="500" w:lineRule="exact"/>
        <w:ind w:firstLine="480" w:firstLineChars="200"/>
        <w:textAlignment w:val="auto"/>
        <w:rPr>
          <w:rFonts w:ascii="Times New Roman" w:hAnsi="Times New Roman" w:cs="Times New Roman"/>
          <w:kern w:val="21"/>
          <w:szCs w:val="24"/>
        </w:rPr>
      </w:pPr>
      <w:r>
        <w:rPr>
          <w:rFonts w:hint="eastAsia" w:ascii="Times New Roman" w:hAnsi="Times New Roman" w:cs="Times New Roman"/>
          <w:color w:val="000000" w:themeColor="text1"/>
          <w:kern w:val="21"/>
          <w:szCs w:val="24"/>
          <w14:textFill>
            <w14:solidFill>
              <w14:schemeClr w14:val="tx1"/>
            </w14:solidFill>
          </w14:textFill>
        </w:rPr>
        <w:t>（3）水环境：项目主要废水污染源来自于养殖废水和生活污水，污水经厂区污水处理系统处理后通过</w:t>
      </w:r>
      <w:r>
        <w:rPr>
          <w:rFonts w:hint="eastAsia" w:ascii="Times New Roman" w:hAnsi="Times New Roman" w:cs="Times New Roman"/>
          <w:color w:val="000000" w:themeColor="text1"/>
          <w:kern w:val="21"/>
          <w:szCs w:val="24"/>
          <w:lang w:val="en-US" w:eastAsia="zh-CN"/>
          <w14:textFill>
            <w14:solidFill>
              <w14:schemeClr w14:val="tx1"/>
            </w14:solidFill>
          </w14:textFill>
        </w:rPr>
        <w:t>管道输送至</w:t>
      </w:r>
      <w:r>
        <w:rPr>
          <w:rFonts w:hint="eastAsia" w:ascii="Times New Roman" w:hAnsi="Times New Roman" w:cs="Times New Roman"/>
          <w:color w:val="000000" w:themeColor="text1"/>
          <w:kern w:val="21"/>
          <w:szCs w:val="24"/>
          <w14:textFill>
            <w14:solidFill>
              <w14:schemeClr w14:val="tx1"/>
            </w14:solidFill>
          </w14:textFill>
        </w:rPr>
        <w:t>配套农田作为灌溉用水，不外排；</w:t>
      </w:r>
      <w:r>
        <w:rPr>
          <w:rFonts w:hint="eastAsia" w:ascii="Times New Roman" w:hAnsi="Times New Roman" w:cs="Times New Roman"/>
          <w:kern w:val="21"/>
          <w:szCs w:val="24"/>
        </w:rPr>
        <w:t>项目周边最近的功能水体为颜倪河，颜倪河执行《地表水环境质量标准》（GB3838-2002）III类标准。</w:t>
      </w:r>
    </w:p>
    <w:p w14:paraId="60AF567E">
      <w:pPr>
        <w:pStyle w:val="7"/>
        <w:pageBreakBefore w:val="0"/>
        <w:widowControl w:val="0"/>
        <w:kinsoku/>
        <w:wordWrap/>
        <w:overflowPunct/>
        <w:topLinePunct w:val="0"/>
        <w:autoSpaceDE/>
        <w:autoSpaceDN/>
        <w:bidi w:val="0"/>
        <w:adjustRightInd/>
        <w:spacing w:line="47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泗阳县城市总体规划</w:t>
      </w:r>
    </w:p>
    <w:p w14:paraId="2D4DBA0B">
      <w:pPr>
        <w:pageBreakBefore w:val="0"/>
        <w:widowControl w:val="0"/>
        <w:kinsoku/>
        <w:wordWrap/>
        <w:overflowPunct/>
        <w:topLinePunct w:val="0"/>
        <w:autoSpaceDE/>
        <w:autoSpaceDN/>
        <w:bidi w:val="0"/>
        <w:adjustRightInd/>
        <w:snapToGrid w:val="0"/>
        <w:spacing w:line="470" w:lineRule="exact"/>
        <w:ind w:firstLine="480" w:firstLineChars="200"/>
        <w:textAlignment w:val="auto"/>
        <w:rPr>
          <w:rFonts w:ascii="Times New Roman" w:hAnsi="Times New Roman" w:cs="Times New Roman"/>
          <w:color w:val="000000"/>
          <w:szCs w:val="24"/>
        </w:rPr>
      </w:pPr>
      <w:r>
        <w:rPr>
          <w:rFonts w:ascii="Times New Roman" w:hAnsi="Times New Roman" w:cs="Times New Roman"/>
          <w:color w:val="000000"/>
          <w:szCs w:val="24"/>
        </w:rPr>
        <w:t>①规划区：泗阳县行政辖区范围，总面积1418平方公里。</w:t>
      </w:r>
    </w:p>
    <w:p w14:paraId="3F2667FF">
      <w:pPr>
        <w:pageBreakBefore w:val="0"/>
        <w:widowControl w:val="0"/>
        <w:kinsoku/>
        <w:wordWrap/>
        <w:overflowPunct/>
        <w:topLinePunct w:val="0"/>
        <w:autoSpaceDE/>
        <w:autoSpaceDN/>
        <w:bidi w:val="0"/>
        <w:adjustRightInd/>
        <w:snapToGrid w:val="0"/>
        <w:spacing w:line="470" w:lineRule="exact"/>
        <w:ind w:firstLine="480" w:firstLineChars="200"/>
        <w:textAlignment w:val="auto"/>
        <w:rPr>
          <w:rFonts w:ascii="Times New Roman" w:hAnsi="Times New Roman" w:cs="Times New Roman"/>
          <w:color w:val="000000"/>
          <w:szCs w:val="24"/>
        </w:rPr>
      </w:pPr>
      <w:r>
        <w:rPr>
          <w:rFonts w:ascii="Times New Roman" w:hAnsi="Times New Roman" w:cs="Times New Roman"/>
          <w:color w:val="000000"/>
          <w:szCs w:val="24"/>
        </w:rPr>
        <w:t xml:space="preserve">②城区：城区范围为东至魏来路，南至徐宿淮盐高速公路，西至西环线（245省道），北至宿淮铁路，总面积149平方公里。 </w:t>
      </w:r>
    </w:p>
    <w:p w14:paraId="1118A4D2">
      <w:pPr>
        <w:pageBreakBefore w:val="0"/>
        <w:widowControl w:val="0"/>
        <w:kinsoku/>
        <w:wordWrap/>
        <w:overflowPunct/>
        <w:topLinePunct w:val="0"/>
        <w:autoSpaceDE/>
        <w:autoSpaceDN/>
        <w:bidi w:val="0"/>
        <w:adjustRightInd/>
        <w:snapToGrid w:val="0"/>
        <w:spacing w:line="470" w:lineRule="exact"/>
        <w:ind w:firstLine="480" w:firstLineChars="200"/>
        <w:textAlignment w:val="auto"/>
        <w:rPr>
          <w:rFonts w:ascii="Times New Roman" w:hAnsi="Times New Roman" w:cs="Times New Roman"/>
          <w:color w:val="000000"/>
          <w:szCs w:val="24"/>
        </w:rPr>
      </w:pPr>
      <w:r>
        <w:rPr>
          <w:rFonts w:ascii="Times New Roman" w:hAnsi="Times New Roman" w:cs="Times New Roman"/>
          <w:color w:val="000000"/>
          <w:szCs w:val="24"/>
        </w:rPr>
        <w:t>1）县域城乡空间结构</w:t>
      </w:r>
    </w:p>
    <w:p w14:paraId="7BD54DF2">
      <w:pPr>
        <w:pageBreakBefore w:val="0"/>
        <w:widowControl w:val="0"/>
        <w:kinsoku/>
        <w:wordWrap/>
        <w:overflowPunct/>
        <w:topLinePunct w:val="0"/>
        <w:autoSpaceDE/>
        <w:autoSpaceDN/>
        <w:bidi w:val="0"/>
        <w:adjustRightInd/>
        <w:snapToGrid w:val="0"/>
        <w:spacing w:line="470" w:lineRule="exact"/>
        <w:ind w:firstLine="480" w:firstLineChars="200"/>
        <w:textAlignment w:val="auto"/>
        <w:rPr>
          <w:rFonts w:ascii="Times New Roman" w:hAnsi="Times New Roman" w:cs="Times New Roman"/>
          <w:color w:val="000000"/>
          <w:szCs w:val="24"/>
        </w:rPr>
      </w:pPr>
      <w:r>
        <w:rPr>
          <w:rFonts w:ascii="Times New Roman" w:hAnsi="Times New Roman" w:cs="Times New Roman"/>
          <w:color w:val="000000"/>
          <w:szCs w:val="24"/>
        </w:rPr>
        <w:t>县域形成“一个核心（城区）、两条发展轴（临河—新袁城镇产业聚合轴、爱园—裴圩城镇发展轴）、三个片区（北部片区、中部片区、成子湖片区）、两大增长极（王集镇、新袁镇）、多个节点）”的县域城乡空间体系。</w:t>
      </w:r>
    </w:p>
    <w:p w14:paraId="34CF50C2">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2）城区规划</w:t>
      </w:r>
    </w:p>
    <w:p w14:paraId="640CC659">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①城市性质：长三角北翼的绿色魅力城市、现代化生态宜居的滨水城市。</w:t>
      </w:r>
    </w:p>
    <w:p w14:paraId="27C90468">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②城市职能：长三角北翼的新兴产业基地；具有地方文化特色的现代化城市；宿迁市的副中心城市；生态宜居的滨水城市。</w:t>
      </w:r>
    </w:p>
    <w:p w14:paraId="20D7CCA2">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3）城市规模：</w:t>
      </w:r>
    </w:p>
    <w:p w14:paraId="4DA83AA4">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至2020年：城区城市人口40万人，城区城市建设用地规模为46平方公里，人均115平方米。</w:t>
      </w:r>
    </w:p>
    <w:p w14:paraId="4FDB74C7">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至2030年：城区城市人口50万人，城区城市建设用地规模为57平方公里，人均114.4平方米。</w:t>
      </w:r>
    </w:p>
    <w:p w14:paraId="53F6469F">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4）城市发展方向</w:t>
      </w:r>
    </w:p>
    <w:p w14:paraId="36D98973">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东拓新兴产业城、西优宜居生活城、南跨生态智慧城。</w:t>
      </w:r>
    </w:p>
    <w:p w14:paraId="3F00C522">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5）城市空间结构</w:t>
      </w:r>
    </w:p>
    <w:p w14:paraId="41D34AF8">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规划形成“一河、两岸、三城” 的空间结构。</w:t>
      </w:r>
    </w:p>
    <w:p w14:paraId="26402C22">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“一河”：指运河。规划将运河建设成为泗阳的生态主轴、活力水道和景观长廊。</w:t>
      </w:r>
    </w:p>
    <w:p w14:paraId="41F8A55D">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“两岸”：指在运河两岸形成城市发展的两大组团。沿运河两岸，城、水、绿有机融合，形成运河水岸画廊。</w:t>
      </w:r>
    </w:p>
    <w:p w14:paraId="7A38334E">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“三城”：指由运河和泗塘河将城区分为生活城、产业城和生态城。</w:t>
      </w:r>
    </w:p>
    <w:p w14:paraId="29302C66">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6）用地布局</w:t>
      </w:r>
    </w:p>
    <w:p w14:paraId="11955572">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①公共服务设施用地</w:t>
      </w:r>
    </w:p>
    <w:p w14:paraId="256535D8">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规划建设城市、片区、居住区三级公共服务中心，形成完整的公共设施网络。</w:t>
      </w:r>
    </w:p>
    <w:p w14:paraId="00D6F225">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②居住用地</w:t>
      </w:r>
    </w:p>
    <w:p w14:paraId="38627CE6">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城区居住用地以二类为主，规划形成5个居住片区。</w:t>
      </w:r>
    </w:p>
    <w:p w14:paraId="5F29A781">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③工业用地</w:t>
      </w:r>
    </w:p>
    <w:p w14:paraId="6462AE08">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工业用地布置在泗阳经济开发区，形成集中发展态势。</w:t>
      </w:r>
    </w:p>
    <w:p w14:paraId="1D7952E2">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7）城市道路交通</w:t>
      </w:r>
    </w:p>
    <w:p w14:paraId="624D87D6">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城区道路网按主干路、次干路、支路三个等级设置，建立以主次干路系统为骨架的完善的路网系统。</w:t>
      </w:r>
    </w:p>
    <w:p w14:paraId="17F11FF4">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8）绿地系统</w:t>
      </w:r>
    </w:p>
    <w:p w14:paraId="73A2F6AF">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规划形成“一环、双廊、一轴、六带、多园”的绿地系统。</w:t>
      </w:r>
    </w:p>
    <w:p w14:paraId="783814FE">
      <w:pPr>
        <w:spacing w:line="480" w:lineRule="exact"/>
        <w:ind w:firstLine="480" w:firstLineChars="200"/>
        <w:rPr>
          <w:rFonts w:ascii="Times New Roman" w:hAnsi="Times New Roman" w:cs="Times New Roman"/>
        </w:rPr>
      </w:pPr>
      <w:r>
        <w:rPr>
          <w:rFonts w:ascii="Times New Roman" w:hAnsi="Times New Roman" w:cs="Times New Roman"/>
          <w:color w:val="000000"/>
          <w:szCs w:val="24"/>
        </w:rPr>
        <w:t>本项目拟建于泗阳县</w:t>
      </w:r>
      <w:r>
        <w:rPr>
          <w:rFonts w:hint="eastAsia" w:ascii="Times New Roman" w:hAnsi="Times New Roman" w:cs="Times New Roman"/>
          <w:color w:val="000000"/>
          <w:szCs w:val="24"/>
        </w:rPr>
        <w:t>穿城镇向阳村</w:t>
      </w:r>
      <w:r>
        <w:rPr>
          <w:rFonts w:ascii="Times New Roman" w:hAnsi="Times New Roman" w:cs="Times New Roman"/>
          <w:color w:val="000000"/>
          <w:szCs w:val="24"/>
        </w:rPr>
        <w:t>，项目用地属于设施农用地。因此本项目的建设符合泗阳县城市总体规划。</w:t>
      </w:r>
    </w:p>
    <w:p w14:paraId="4C52A376">
      <w:pPr>
        <w:pStyle w:val="7"/>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泗阳县环境保护规划</w:t>
      </w:r>
    </w:p>
    <w:p w14:paraId="34F7069B">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根据可持续发展的要求，积极控制环境污染，保护良好的生态环境，保证市区社会经济的平稳运行和人们生活水平的改善，市区环境质量目标如下：</w:t>
      </w:r>
    </w:p>
    <w:p w14:paraId="7CEA4717">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1、环境空气质量全面达到《环境空气质量标准》（GB3095-2012）的二级标准；</w:t>
      </w:r>
    </w:p>
    <w:p w14:paraId="2D412704">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2、地表水环境质量达到相应功能区划标准，京杭运河饮用水源水质优于《地表水环境质量标准》（GB3838-2002）Ⅲ类标准，京杭运河其他河段水质达到Ⅲ类标准，六塘河水质满足《地表水环境质量标准》（GB3838-2002）Ⅲ类标准，泗塘河水质达到《地表水环境质量标准》（GB3838-2002）Ⅳ类标准，葛东河达到《地表水环境质量标准》（GB3838-2002）Ⅲ类标准；</w:t>
      </w:r>
    </w:p>
    <w:p w14:paraId="0701C4CE">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3、声环境质量确保达到《声环境质量标准》（GB3095-2008）中相应功能区环境噪声标准；</w:t>
      </w:r>
    </w:p>
    <w:p w14:paraId="038E31CC">
      <w:pPr>
        <w:snapToGrid w:val="0"/>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4、工业固体废物综合利用处置率达到100%。</w:t>
      </w:r>
    </w:p>
    <w:p w14:paraId="52A2E36E">
      <w:pPr>
        <w:pStyle w:val="61"/>
      </w:pPr>
      <w:r>
        <w:br w:type="page"/>
      </w:r>
    </w:p>
    <w:p w14:paraId="287E4204">
      <w:pPr>
        <w:pStyle w:val="3"/>
        <w:spacing w:line="500" w:lineRule="exact"/>
      </w:pPr>
      <w:bookmarkStart w:id="31" w:name="_Toc10160"/>
      <w:r>
        <w:rPr>
          <w:rFonts w:hint="eastAsia"/>
        </w:rPr>
        <w:t>3</w:t>
      </w:r>
      <w:r>
        <w:t xml:space="preserve"> </w:t>
      </w:r>
      <w:r>
        <w:rPr>
          <w:rFonts w:hint="eastAsia"/>
        </w:rPr>
        <w:t>建设项目工程分析</w:t>
      </w:r>
      <w:bookmarkEnd w:id="31"/>
    </w:p>
    <w:p w14:paraId="0EBFD916">
      <w:pPr>
        <w:pStyle w:val="4"/>
        <w:spacing w:after="0" w:line="500" w:lineRule="exact"/>
        <w:jc w:val="both"/>
        <w:rPr>
          <w:color w:val="000000" w:themeColor="text1"/>
          <w14:textFill>
            <w14:solidFill>
              <w14:schemeClr w14:val="tx1"/>
            </w14:solidFill>
          </w14:textFill>
        </w:rPr>
      </w:pPr>
      <w:bookmarkStart w:id="32" w:name="_Toc18444"/>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.1 </w:t>
      </w:r>
      <w:bookmarkEnd w:id="32"/>
      <w:r>
        <w:rPr>
          <w:rFonts w:hint="eastAsia"/>
          <w:color w:val="000000" w:themeColor="text1"/>
          <w14:textFill>
            <w14:solidFill>
              <w14:schemeClr w14:val="tx1"/>
            </w14:solidFill>
          </w14:textFill>
        </w:rPr>
        <w:t>用地内原有企业基本情况</w:t>
      </w:r>
    </w:p>
    <w:p w14:paraId="1A222465">
      <w:pPr>
        <w:adjustRightInd w:val="0"/>
        <w:spacing w:line="500" w:lineRule="exact"/>
        <w:ind w:firstLine="480" w:firstLineChars="200"/>
        <w:rPr>
          <w:rFonts w:ascii="Times New Roman" w:hAnsi="Times New Roman" w:eastAsia="宋体" w:cs="Times New Roman"/>
          <w:color w:val="000000"/>
          <w:szCs w:val="24"/>
        </w:rPr>
      </w:pPr>
      <w:r>
        <w:rPr>
          <w:rFonts w:ascii="Times New Roman" w:hAnsi="Times New Roman" w:eastAsia="宋体" w:cs="Times New Roman"/>
          <w:color w:val="000000"/>
          <w:szCs w:val="24"/>
        </w:rPr>
        <w:t>项目用地范围内原为</w:t>
      </w:r>
      <w:r>
        <w:rPr>
          <w:rFonts w:hint="eastAsia" w:ascii="Times New Roman" w:hAnsi="Times New Roman" w:eastAsia="宋体" w:cs="Times New Roman"/>
          <w:color w:val="000000"/>
          <w:szCs w:val="24"/>
        </w:rPr>
        <w:t>泗阳县张家圩江泰生猪养殖场“年生猪养殖4000头</w:t>
      </w:r>
      <w:r>
        <w:rPr>
          <w:rFonts w:ascii="Times New Roman" w:hAnsi="Times New Roman" w:eastAsia="宋体" w:cs="Times New Roman"/>
          <w:color w:val="000000"/>
          <w:szCs w:val="24"/>
        </w:rPr>
        <w:t>项目</w:t>
      </w:r>
      <w:r>
        <w:rPr>
          <w:rFonts w:hint="eastAsia" w:ascii="Times New Roman" w:hAnsi="Times New Roman" w:eastAsia="宋体" w:cs="Times New Roman"/>
          <w:color w:val="000000"/>
          <w:szCs w:val="24"/>
        </w:rPr>
        <w:t>”</w:t>
      </w:r>
      <w:r>
        <w:rPr>
          <w:rFonts w:ascii="Times New Roman" w:hAnsi="Times New Roman" w:eastAsia="宋体" w:cs="Times New Roman"/>
          <w:color w:val="000000"/>
          <w:szCs w:val="24"/>
        </w:rPr>
        <w:t>。</w:t>
      </w:r>
      <w:r>
        <w:rPr>
          <w:rFonts w:hint="eastAsia" w:ascii="Times New Roman" w:hAnsi="Times New Roman" w:eastAsia="宋体" w:cs="Times New Roman"/>
          <w:color w:val="000000"/>
          <w:szCs w:val="24"/>
        </w:rPr>
        <w:t>泗阳县张家圩江泰生猪养殖场成立</w:t>
      </w:r>
      <w:r>
        <w:rPr>
          <w:rFonts w:ascii="Times New Roman" w:hAnsi="Times New Roman" w:eastAsia="宋体" w:cs="Times New Roman"/>
          <w:color w:val="000000"/>
          <w:szCs w:val="24"/>
        </w:rPr>
        <w:t>于201</w:t>
      </w:r>
      <w:r>
        <w:rPr>
          <w:rFonts w:hint="eastAsia" w:ascii="Times New Roman" w:hAnsi="Times New Roman" w:eastAsia="宋体" w:cs="Times New Roman"/>
          <w:color w:val="000000"/>
          <w:szCs w:val="24"/>
        </w:rPr>
        <w:t>4</w:t>
      </w:r>
      <w:r>
        <w:rPr>
          <w:rFonts w:ascii="Times New Roman" w:hAnsi="Times New Roman" w:eastAsia="宋体" w:cs="Times New Roman"/>
          <w:color w:val="000000"/>
          <w:szCs w:val="24"/>
        </w:rPr>
        <w:t>年</w:t>
      </w:r>
      <w:r>
        <w:rPr>
          <w:rFonts w:hint="eastAsia" w:ascii="Times New Roman" w:hAnsi="Times New Roman" w:eastAsia="宋体" w:cs="Times New Roman"/>
          <w:color w:val="000000"/>
          <w:szCs w:val="24"/>
        </w:rPr>
        <w:t>11</w:t>
      </w:r>
      <w:r>
        <w:rPr>
          <w:rFonts w:ascii="Times New Roman" w:hAnsi="Times New Roman" w:eastAsia="宋体" w:cs="Times New Roman"/>
          <w:color w:val="000000"/>
          <w:szCs w:val="24"/>
        </w:rPr>
        <w:t>月3日</w:t>
      </w:r>
      <w:r>
        <w:rPr>
          <w:rFonts w:hint="eastAsia" w:ascii="Times New Roman" w:hAnsi="Times New Roman" w:eastAsia="宋体" w:cs="Times New Roman"/>
          <w:color w:val="000000"/>
          <w:szCs w:val="24"/>
        </w:rPr>
        <w:t>，并于2020年1月17日在建设项目环境影响登记表备案系统完成了“年生猪养殖4000头项目”环境影响登记表的备案，备案号为202032132300000019。</w:t>
      </w:r>
    </w:p>
    <w:p w14:paraId="0A8F81D9">
      <w:pPr>
        <w:adjustRightInd w:val="0"/>
        <w:spacing w:line="500" w:lineRule="exact"/>
        <w:ind w:firstLine="480" w:firstLineChars="200"/>
        <w:rPr>
          <w:rFonts w:ascii="Times New Roman" w:hAnsi="Times New Roman" w:eastAsia="宋体" w:cs="Times New Roman"/>
          <w:szCs w:val="24"/>
        </w:rPr>
      </w:pPr>
      <w:r>
        <w:rPr>
          <w:rFonts w:hint="eastAsia" w:ascii="Times New Roman" w:hAnsi="Times New Roman" w:eastAsia="宋体" w:cs="Times New Roman"/>
          <w:color w:val="000000"/>
          <w:szCs w:val="24"/>
        </w:rPr>
        <w:t>近年来，</w:t>
      </w:r>
      <w:r>
        <w:rPr>
          <w:rFonts w:hAnsi="宋体"/>
          <w:color w:val="000000"/>
          <w:szCs w:val="24"/>
        </w:rPr>
        <w:t>由于受疫病困扰、自然灾害的侵袭、饲养成本和风险加大，</w:t>
      </w:r>
      <w:r>
        <w:rPr>
          <w:rFonts w:hint="eastAsia" w:hAnsi="宋体"/>
          <w:color w:val="000000"/>
          <w:szCs w:val="24"/>
        </w:rPr>
        <w:t>同时随着泗阳及周边地区大型猪场的建设，给企业带来较大的生存压力。企业于2023年1月暂停了生猪养殖。目前养殖</w:t>
      </w:r>
      <w:r>
        <w:rPr>
          <w:rFonts w:ascii="Times New Roman" w:hAnsi="Times New Roman" w:eastAsia="宋体" w:cs="Times New Roman"/>
          <w:color w:val="000000"/>
          <w:szCs w:val="24"/>
        </w:rPr>
        <w:t>设备已拆除，水、气、声等污染已消除，现场无遗留固废等污染物。</w:t>
      </w:r>
      <w:r>
        <w:rPr>
          <w:rFonts w:ascii="Times New Roman" w:hAnsi="Times New Roman" w:eastAsia="宋体" w:cs="Times New Roman"/>
          <w:szCs w:val="24"/>
        </w:rPr>
        <w:t>原企业产品方案见表3.1-1</w:t>
      </w:r>
      <w:r>
        <w:rPr>
          <w:rFonts w:hint="eastAsia" w:ascii="Times New Roman" w:hAnsi="Times New Roman" w:eastAsia="宋体" w:cs="Times New Roman"/>
          <w:szCs w:val="24"/>
        </w:rPr>
        <w:t>，原有企业主体建设工程见表3.1-2</w:t>
      </w:r>
      <w:r>
        <w:rPr>
          <w:rFonts w:ascii="Times New Roman" w:hAnsi="Times New Roman" w:eastAsia="宋体" w:cs="Times New Roman"/>
          <w:szCs w:val="24"/>
        </w:rPr>
        <w:t>。</w:t>
      </w:r>
    </w:p>
    <w:p w14:paraId="06844BDE">
      <w:pPr>
        <w:adjustRightInd w:val="0"/>
        <w:spacing w:line="500" w:lineRule="exact"/>
        <w:jc w:val="center"/>
        <w:rPr>
          <w:rFonts w:ascii="Times New Roman" w:hAnsi="Times New Roman" w:eastAsia="宋体" w:cs="Times New Roman"/>
          <w:b/>
          <w:szCs w:val="24"/>
        </w:rPr>
      </w:pPr>
      <w:r>
        <w:rPr>
          <w:rFonts w:ascii="Times New Roman" w:hAnsi="Times New Roman" w:eastAsia="宋体" w:cs="Times New Roman"/>
          <w:b/>
          <w:szCs w:val="24"/>
        </w:rPr>
        <w:t>表3.1-1 原企业产品方案表</w:t>
      </w:r>
    </w:p>
    <w:tbl>
      <w:tblPr>
        <w:tblStyle w:val="41"/>
        <w:tblW w:w="4921" w:type="pct"/>
        <w:jc w:val="center"/>
        <w:tblBorders>
          <w:top w:val="single" w:color="auto" w:sz="6" w:space="0"/>
          <w:left w:val="none" w:color="auto" w:sz="0" w:space="0"/>
          <w:bottom w:val="single" w:color="auto" w:sz="6"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1030"/>
        <w:gridCol w:w="2403"/>
        <w:gridCol w:w="2725"/>
        <w:gridCol w:w="2983"/>
      </w:tblGrid>
      <w:tr w14:paraId="43A48229">
        <w:tblPrEx>
          <w:tblBorders>
            <w:top w:val="single" w:color="auto" w:sz="6" w:space="0"/>
            <w:left w:val="none" w:color="auto" w:sz="0" w:space="0"/>
            <w:bottom w:val="single" w:color="auto" w:sz="6"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97" w:hRule="atLeast"/>
          <w:jc w:val="center"/>
        </w:trPr>
        <w:tc>
          <w:tcPr>
            <w:tcW w:w="563" w:type="pct"/>
            <w:tcBorders>
              <w:tl2br w:val="nil"/>
              <w:tr2bl w:val="nil"/>
            </w:tcBorders>
            <w:vAlign w:val="center"/>
          </w:tcPr>
          <w:p w14:paraId="282DF54E">
            <w:pPr>
              <w:adjustRightInd w:val="0"/>
              <w:snapToGrid w:val="0"/>
              <w:spacing w:line="300" w:lineRule="exact"/>
              <w:jc w:val="center"/>
              <w:rPr>
                <w:rFonts w:ascii="Times New Roman" w:hAnsi="Times New Roman"/>
                <w:kern w:val="0"/>
                <w:sz w:val="21"/>
                <w:szCs w:val="21"/>
              </w:rPr>
            </w:pPr>
            <w:r>
              <w:rPr>
                <w:rFonts w:ascii="Times New Roman"/>
                <w:kern w:val="0"/>
                <w:sz w:val="21"/>
                <w:szCs w:val="21"/>
              </w:rPr>
              <w:t>序号</w:t>
            </w:r>
          </w:p>
        </w:tc>
        <w:tc>
          <w:tcPr>
            <w:tcW w:w="1314" w:type="pct"/>
            <w:tcBorders>
              <w:tl2br w:val="nil"/>
              <w:tr2bl w:val="nil"/>
            </w:tcBorders>
            <w:vAlign w:val="center"/>
          </w:tcPr>
          <w:p w14:paraId="04797BC7">
            <w:pPr>
              <w:spacing w:line="300" w:lineRule="exact"/>
              <w:jc w:val="center"/>
              <w:rPr>
                <w:rFonts w:ascii="Times New Roman" w:hAnsi="Times New Roman"/>
                <w:kern w:val="0"/>
                <w:sz w:val="21"/>
                <w:szCs w:val="21"/>
              </w:rPr>
            </w:pPr>
            <w:r>
              <w:rPr>
                <w:sz w:val="21"/>
                <w:szCs w:val="21"/>
              </w:rPr>
              <w:t>产品名称</w:t>
            </w:r>
          </w:p>
        </w:tc>
        <w:tc>
          <w:tcPr>
            <w:tcW w:w="1490" w:type="pct"/>
            <w:tcBorders>
              <w:tl2br w:val="nil"/>
              <w:tr2bl w:val="nil"/>
            </w:tcBorders>
            <w:vAlign w:val="center"/>
          </w:tcPr>
          <w:p w14:paraId="2C457C1F">
            <w:pPr>
              <w:spacing w:line="300" w:lineRule="exact"/>
              <w:jc w:val="center"/>
              <w:rPr>
                <w:rFonts w:ascii="Times New Roman" w:hAnsi="Times New Roman"/>
                <w:kern w:val="0"/>
                <w:sz w:val="21"/>
                <w:szCs w:val="21"/>
              </w:rPr>
            </w:pPr>
            <w:r>
              <w:rPr>
                <w:rFonts w:hint="eastAsia"/>
                <w:sz w:val="21"/>
                <w:szCs w:val="21"/>
              </w:rPr>
              <w:t>存栏量</w:t>
            </w:r>
          </w:p>
        </w:tc>
        <w:tc>
          <w:tcPr>
            <w:tcW w:w="1631" w:type="pct"/>
            <w:tcBorders>
              <w:tl2br w:val="nil"/>
              <w:tr2bl w:val="nil"/>
            </w:tcBorders>
            <w:vAlign w:val="center"/>
          </w:tcPr>
          <w:p w14:paraId="01530939">
            <w:pPr>
              <w:spacing w:line="300" w:lineRule="exact"/>
              <w:jc w:val="center"/>
              <w:rPr>
                <w:rFonts w:ascii="Times New Roman"/>
                <w:kern w:val="0"/>
                <w:sz w:val="21"/>
                <w:szCs w:val="21"/>
              </w:rPr>
            </w:pPr>
            <w:r>
              <w:rPr>
                <w:rFonts w:hint="eastAsia"/>
                <w:sz w:val="21"/>
                <w:szCs w:val="21"/>
              </w:rPr>
              <w:t>出栏量</w:t>
            </w:r>
          </w:p>
        </w:tc>
      </w:tr>
      <w:tr w14:paraId="3C92326C">
        <w:tblPrEx>
          <w:tblBorders>
            <w:top w:val="single" w:color="auto" w:sz="6" w:space="0"/>
            <w:left w:val="none" w:color="auto" w:sz="0" w:space="0"/>
            <w:bottom w:val="single" w:color="auto" w:sz="6"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97" w:hRule="atLeast"/>
          <w:jc w:val="center"/>
        </w:trPr>
        <w:tc>
          <w:tcPr>
            <w:tcW w:w="563" w:type="pct"/>
            <w:tcBorders>
              <w:tl2br w:val="nil"/>
              <w:tr2bl w:val="nil"/>
            </w:tcBorders>
            <w:vAlign w:val="center"/>
          </w:tcPr>
          <w:p w14:paraId="20AB3B87">
            <w:pPr>
              <w:adjustRightInd w:val="0"/>
              <w:snapToGrid w:val="0"/>
              <w:spacing w:line="300" w:lineRule="exact"/>
              <w:jc w:val="center"/>
              <w:rPr>
                <w:rFonts w:ascii="Times New Roman" w:hAnsi="Times New Roman"/>
                <w:kern w:val="0"/>
                <w:sz w:val="21"/>
                <w:szCs w:val="21"/>
              </w:rPr>
            </w:pPr>
            <w:r>
              <w:rPr>
                <w:rFonts w:ascii="Times New Roman" w:hAnsi="Times New Roman"/>
                <w:kern w:val="0"/>
                <w:sz w:val="21"/>
                <w:szCs w:val="21"/>
              </w:rPr>
              <w:t>1</w:t>
            </w:r>
          </w:p>
        </w:tc>
        <w:tc>
          <w:tcPr>
            <w:tcW w:w="1314" w:type="pct"/>
            <w:tcBorders>
              <w:tl2br w:val="nil"/>
              <w:tr2bl w:val="nil"/>
            </w:tcBorders>
            <w:vAlign w:val="center"/>
          </w:tcPr>
          <w:p w14:paraId="59816EA8">
            <w:pPr>
              <w:spacing w:line="300" w:lineRule="exact"/>
              <w:jc w:val="center"/>
              <w:rPr>
                <w:rFonts w:ascii="Times New Roman" w:hAnsi="Times New Roman"/>
                <w:color w:val="000000"/>
                <w:kern w:val="0"/>
                <w:sz w:val="21"/>
                <w:szCs w:val="21"/>
              </w:rPr>
            </w:pPr>
            <w:r>
              <w:rPr>
                <w:rFonts w:hint="eastAsia"/>
                <w:sz w:val="21"/>
                <w:szCs w:val="21"/>
              </w:rPr>
              <w:t>商品猪</w:t>
            </w:r>
          </w:p>
        </w:tc>
        <w:tc>
          <w:tcPr>
            <w:tcW w:w="1490" w:type="pct"/>
            <w:tcBorders>
              <w:tl2br w:val="nil"/>
              <w:tr2bl w:val="nil"/>
            </w:tcBorders>
            <w:vAlign w:val="center"/>
          </w:tcPr>
          <w:p w14:paraId="7521D8C6">
            <w:pPr>
              <w:spacing w:line="300" w:lineRule="exact"/>
              <w:jc w:val="center"/>
              <w:rPr>
                <w:rFonts w:ascii="Times New Roman" w:hAnsi="Times New Roman"/>
                <w:color w:val="000000"/>
                <w:kern w:val="0"/>
                <w:sz w:val="21"/>
                <w:szCs w:val="21"/>
              </w:rPr>
            </w:pPr>
            <w:r>
              <w:rPr>
                <w:rFonts w:hint="eastAsia"/>
                <w:sz w:val="21"/>
                <w:szCs w:val="21"/>
              </w:rPr>
              <w:t>1600头</w:t>
            </w:r>
          </w:p>
        </w:tc>
        <w:tc>
          <w:tcPr>
            <w:tcW w:w="1631" w:type="pct"/>
            <w:tcBorders>
              <w:tl2br w:val="nil"/>
              <w:tr2bl w:val="nil"/>
            </w:tcBorders>
            <w:vAlign w:val="center"/>
          </w:tcPr>
          <w:p w14:paraId="4D68DE99">
            <w:pPr>
              <w:spacing w:line="300" w:lineRule="exact"/>
              <w:jc w:val="center"/>
              <w:rPr>
                <w:rFonts w:ascii="Times New Roman" w:hAnsi="Times New Roman"/>
                <w:color w:val="000000"/>
                <w:kern w:val="0"/>
                <w:sz w:val="21"/>
                <w:szCs w:val="21"/>
              </w:rPr>
            </w:pPr>
            <w:r>
              <w:rPr>
                <w:rFonts w:hint="eastAsia" w:ascii="Times New Roman" w:hAnsi="Times New Roman" w:eastAsia="宋体" w:cs="Times New Roman"/>
                <w:sz w:val="21"/>
                <w:szCs w:val="21"/>
              </w:rPr>
              <w:t>4000头</w:t>
            </w:r>
            <w:r>
              <w:rPr>
                <w:sz w:val="21"/>
                <w:szCs w:val="21"/>
              </w:rPr>
              <w:t>/年</w:t>
            </w:r>
          </w:p>
        </w:tc>
      </w:tr>
    </w:tbl>
    <w:p w14:paraId="04CDBD36">
      <w:pPr>
        <w:pStyle w:val="12"/>
        <w:adjustRightInd w:val="0"/>
        <w:spacing w:line="500" w:lineRule="exact"/>
        <w:jc w:val="center"/>
        <w:rPr>
          <w:rFonts w:ascii="Times New Roman" w:hAnsi="Times New Roman" w:eastAsia="宋体"/>
          <w:b/>
          <w:bCs/>
          <w:sz w:val="24"/>
          <w:szCs w:val="24"/>
        </w:rPr>
      </w:pPr>
      <w:r>
        <w:rPr>
          <w:rFonts w:ascii="Times New Roman" w:hAnsi="Times New Roman" w:eastAsia="宋体"/>
          <w:b/>
          <w:bCs/>
          <w:sz w:val="24"/>
          <w:szCs w:val="24"/>
        </w:rPr>
        <w:t>表 3.1-2原企业主体建设工程</w:t>
      </w:r>
    </w:p>
    <w:tbl>
      <w:tblPr>
        <w:tblStyle w:val="4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968"/>
        <w:gridCol w:w="939"/>
        <w:gridCol w:w="2681"/>
        <w:gridCol w:w="1575"/>
        <w:gridCol w:w="1721"/>
        <w:gridCol w:w="1244"/>
      </w:tblGrid>
      <w:tr w14:paraId="4DC934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30" w:type="pct"/>
            <w:tcBorders>
              <w:top w:val="single" w:color="000000" w:sz="12" w:space="0"/>
              <w:left w:val="nil"/>
              <w:bottom w:val="single" w:color="000000" w:sz="12" w:space="0"/>
            </w:tcBorders>
            <w:shd w:val="clear" w:color="auto" w:fill="auto"/>
            <w:vAlign w:val="center"/>
          </w:tcPr>
          <w:p w14:paraId="3AA8DA13">
            <w:pPr>
              <w:adjustRightInd w:val="0"/>
              <w:snapToGrid w:val="0"/>
              <w:spacing w:line="280" w:lineRule="exact"/>
              <w:jc w:val="center"/>
              <w:rPr>
                <w:rFonts w:ascii="Times New Roman" w:hAnsi="Times New Roman"/>
                <w:sz w:val="21"/>
                <w:szCs w:val="21"/>
              </w:rPr>
            </w:pPr>
            <w:r>
              <w:rPr>
                <w:rFonts w:ascii="Times New Roman"/>
                <w:sz w:val="21"/>
                <w:szCs w:val="21"/>
              </w:rPr>
              <w:t>序号</w:t>
            </w:r>
          </w:p>
        </w:tc>
        <w:tc>
          <w:tcPr>
            <w:tcW w:w="1982" w:type="pct"/>
            <w:gridSpan w:val="2"/>
            <w:tcBorders>
              <w:top w:val="single" w:color="000000" w:sz="12" w:space="0"/>
              <w:bottom w:val="single" w:color="000000" w:sz="12" w:space="0"/>
            </w:tcBorders>
            <w:shd w:val="clear" w:color="auto" w:fill="auto"/>
            <w:vAlign w:val="center"/>
          </w:tcPr>
          <w:p w14:paraId="079BED86">
            <w:pPr>
              <w:adjustRightInd w:val="0"/>
              <w:snapToGrid w:val="0"/>
              <w:spacing w:line="280" w:lineRule="exact"/>
              <w:jc w:val="center"/>
              <w:rPr>
                <w:rFonts w:ascii="Times New Roman" w:hAnsi="Times New Roman"/>
                <w:sz w:val="21"/>
                <w:szCs w:val="21"/>
              </w:rPr>
            </w:pPr>
            <w:r>
              <w:rPr>
                <w:rFonts w:ascii="Times New Roman"/>
                <w:sz w:val="21"/>
                <w:szCs w:val="21"/>
              </w:rPr>
              <w:t>建（构）筑物</w:t>
            </w:r>
          </w:p>
        </w:tc>
        <w:tc>
          <w:tcPr>
            <w:tcW w:w="862" w:type="pct"/>
            <w:tcBorders>
              <w:top w:val="single" w:color="000000" w:sz="12" w:space="0"/>
              <w:bottom w:val="single" w:color="000000" w:sz="12" w:space="0"/>
            </w:tcBorders>
            <w:shd w:val="clear" w:color="auto" w:fill="auto"/>
            <w:vAlign w:val="center"/>
          </w:tcPr>
          <w:p w14:paraId="5CB335FB">
            <w:pPr>
              <w:adjustRightInd w:val="0"/>
              <w:snapToGrid w:val="0"/>
              <w:spacing w:line="280" w:lineRule="exact"/>
              <w:jc w:val="center"/>
              <w:rPr>
                <w:rFonts w:ascii="Times New Roman" w:hAnsi="Times New Roman"/>
                <w:sz w:val="21"/>
                <w:szCs w:val="21"/>
              </w:rPr>
            </w:pPr>
            <w:r>
              <w:rPr>
                <w:rFonts w:ascii="Times New Roman"/>
                <w:sz w:val="21"/>
                <w:szCs w:val="21"/>
              </w:rPr>
              <w:t>面积（</w:t>
            </w:r>
            <w:r>
              <w:rPr>
                <w:rFonts w:ascii="Times New Roman" w:hAnsi="Times New Roman"/>
                <w:sz w:val="21"/>
                <w:szCs w:val="21"/>
              </w:rPr>
              <w:t>m</w:t>
            </w:r>
            <w:r>
              <w:rPr>
                <w:rFonts w:ascii="Times New Roman" w:hAnsi="Times New Roman"/>
                <w:sz w:val="21"/>
                <w:szCs w:val="21"/>
                <w:vertAlign w:val="superscript"/>
              </w:rPr>
              <w:t>2</w:t>
            </w:r>
            <w:r>
              <w:rPr>
                <w:rFonts w:ascii="Times New Roman"/>
                <w:sz w:val="21"/>
                <w:szCs w:val="21"/>
              </w:rPr>
              <w:t>）</w:t>
            </w:r>
          </w:p>
        </w:tc>
        <w:tc>
          <w:tcPr>
            <w:tcW w:w="942" w:type="pct"/>
            <w:tcBorders>
              <w:top w:val="single" w:color="000000" w:sz="12" w:space="0"/>
              <w:left w:val="single" w:color="auto" w:sz="4" w:space="0"/>
              <w:bottom w:val="single" w:color="000000" w:sz="12" w:space="0"/>
              <w:right w:val="single" w:color="auto" w:sz="4" w:space="0"/>
            </w:tcBorders>
            <w:shd w:val="clear" w:color="auto" w:fill="auto"/>
            <w:vAlign w:val="center"/>
          </w:tcPr>
          <w:p w14:paraId="69375AE9">
            <w:pPr>
              <w:adjustRightInd w:val="0"/>
              <w:snapToGrid w:val="0"/>
              <w:spacing w:line="280" w:lineRule="exact"/>
              <w:jc w:val="center"/>
              <w:rPr>
                <w:rFonts w:ascii="Times New Roman" w:hAnsi="Times New Roman"/>
                <w:sz w:val="21"/>
                <w:szCs w:val="21"/>
              </w:rPr>
            </w:pPr>
            <w:r>
              <w:rPr>
                <w:rFonts w:ascii="Times New Roman"/>
                <w:sz w:val="21"/>
                <w:szCs w:val="21"/>
              </w:rPr>
              <w:t>备注</w:t>
            </w:r>
          </w:p>
        </w:tc>
        <w:tc>
          <w:tcPr>
            <w:tcW w:w="681" w:type="pct"/>
            <w:tcBorders>
              <w:top w:val="single" w:color="000000" w:sz="12" w:space="0"/>
              <w:left w:val="single" w:color="auto" w:sz="4" w:space="0"/>
              <w:bottom w:val="single" w:color="000000" w:sz="12" w:space="0"/>
              <w:right w:val="nil"/>
            </w:tcBorders>
            <w:shd w:val="clear" w:color="auto" w:fill="auto"/>
            <w:vAlign w:val="center"/>
          </w:tcPr>
          <w:p w14:paraId="6B8A0F67">
            <w:pPr>
              <w:adjustRightInd w:val="0"/>
              <w:snapToGrid w:val="0"/>
              <w:spacing w:line="280" w:lineRule="exact"/>
              <w:jc w:val="center"/>
              <w:rPr>
                <w:rFonts w:ascii="Times New Roman" w:hAnsi="Times New Roman"/>
                <w:sz w:val="21"/>
                <w:szCs w:val="21"/>
              </w:rPr>
            </w:pPr>
            <w:r>
              <w:rPr>
                <w:rFonts w:ascii="Times New Roman"/>
                <w:kern w:val="0"/>
                <w:sz w:val="21"/>
                <w:szCs w:val="21"/>
              </w:rPr>
              <w:t>处置措施</w:t>
            </w:r>
          </w:p>
        </w:tc>
      </w:tr>
      <w:tr w14:paraId="3A1D19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30" w:type="pct"/>
            <w:tcBorders>
              <w:top w:val="single" w:color="000000" w:sz="12" w:space="0"/>
              <w:left w:val="nil"/>
            </w:tcBorders>
            <w:vAlign w:val="center"/>
          </w:tcPr>
          <w:p w14:paraId="7D90FE07">
            <w:pPr>
              <w:adjustRightInd w:val="0"/>
              <w:snapToGrid w:val="0"/>
              <w:spacing w:line="280" w:lineRule="exact"/>
              <w:jc w:val="center"/>
              <w:rPr>
                <w:rFonts w:ascii="Times New Roman" w:hAnsi="Times New Roman"/>
                <w:color w:val="000000"/>
                <w:sz w:val="21"/>
                <w:szCs w:val="21"/>
              </w:rPr>
            </w:pPr>
            <w:r>
              <w:rPr>
                <w:rFonts w:ascii="Times New Roman" w:hAnsi="Times New Roman"/>
                <w:color w:val="000000"/>
                <w:sz w:val="21"/>
                <w:szCs w:val="21"/>
              </w:rPr>
              <w:t>1</w:t>
            </w:r>
          </w:p>
        </w:tc>
        <w:tc>
          <w:tcPr>
            <w:tcW w:w="1982" w:type="pct"/>
            <w:gridSpan w:val="2"/>
            <w:tcBorders>
              <w:top w:val="single" w:color="000000" w:sz="12" w:space="0"/>
            </w:tcBorders>
            <w:vAlign w:val="center"/>
          </w:tcPr>
          <w:p w14:paraId="3DB4F1EA">
            <w:pPr>
              <w:adjustRightInd w:val="0"/>
              <w:snapToGrid w:val="0"/>
              <w:spacing w:line="280" w:lineRule="exact"/>
              <w:jc w:val="center"/>
              <w:rPr>
                <w:rFonts w:ascii="Times New Roman" w:hAnsi="Times New Roman"/>
                <w:color w:val="000000"/>
                <w:sz w:val="21"/>
                <w:szCs w:val="21"/>
              </w:rPr>
            </w:pPr>
            <w:r>
              <w:rPr>
                <w:rFonts w:ascii="Times New Roman"/>
                <w:color w:val="000000"/>
                <w:sz w:val="21"/>
                <w:szCs w:val="21"/>
              </w:rPr>
              <w:t>总占地面积</w:t>
            </w:r>
          </w:p>
        </w:tc>
        <w:tc>
          <w:tcPr>
            <w:tcW w:w="862" w:type="pct"/>
            <w:tcBorders>
              <w:top w:val="single" w:color="000000" w:sz="12" w:space="0"/>
            </w:tcBorders>
            <w:vAlign w:val="center"/>
          </w:tcPr>
          <w:p w14:paraId="350F0076">
            <w:pPr>
              <w:adjustRightInd w:val="0"/>
              <w:snapToGrid w:val="0"/>
              <w:spacing w:line="280" w:lineRule="exact"/>
              <w:jc w:val="center"/>
              <w:rPr>
                <w:rFonts w:ascii="Times New Roman" w:hAnsi="Times New Roman"/>
                <w:color w:val="000000"/>
                <w:sz w:val="21"/>
                <w:szCs w:val="21"/>
              </w:rPr>
            </w:pPr>
            <w:r>
              <w:rPr>
                <w:rFonts w:hint="eastAsia"/>
                <w:color w:val="000000" w:themeColor="text1"/>
                <w:sz w:val="21"/>
                <w:szCs w:val="21"/>
                <w14:textFill>
                  <w14:solidFill>
                    <w14:schemeClr w14:val="tx1"/>
                  </w14:solidFill>
                </w14:textFill>
              </w:rPr>
              <w:t>49053</w:t>
            </w:r>
          </w:p>
        </w:tc>
        <w:tc>
          <w:tcPr>
            <w:tcW w:w="942" w:type="pct"/>
            <w:tcBorders>
              <w:top w:val="single" w:color="000000" w:sz="12" w:space="0"/>
            </w:tcBorders>
            <w:vAlign w:val="center"/>
          </w:tcPr>
          <w:p w14:paraId="6EBBCD91">
            <w:pPr>
              <w:adjustRightInd w:val="0"/>
              <w:snapToGrid w:val="0"/>
              <w:spacing w:line="280" w:lineRule="exact"/>
              <w:jc w:val="center"/>
              <w:rPr>
                <w:rFonts w:ascii="Times New Roman" w:hAnsi="Times New Roman"/>
                <w:color w:val="000000"/>
                <w:sz w:val="21"/>
                <w:szCs w:val="21"/>
              </w:rPr>
            </w:pPr>
            <w:r>
              <w:rPr>
                <w:rFonts w:ascii="Times New Roman" w:hAnsi="Times New Roman"/>
                <w:color w:val="000000"/>
                <w:sz w:val="21"/>
                <w:szCs w:val="21"/>
              </w:rPr>
              <w:t>-</w:t>
            </w:r>
          </w:p>
        </w:tc>
        <w:tc>
          <w:tcPr>
            <w:tcW w:w="681" w:type="pct"/>
            <w:tcBorders>
              <w:top w:val="single" w:color="000000" w:sz="12" w:space="0"/>
              <w:right w:val="nil"/>
            </w:tcBorders>
            <w:vAlign w:val="center"/>
          </w:tcPr>
          <w:p w14:paraId="2B895096">
            <w:pPr>
              <w:adjustRightInd w:val="0"/>
              <w:snapToGrid w:val="0"/>
              <w:spacing w:line="280" w:lineRule="exact"/>
              <w:jc w:val="center"/>
              <w:rPr>
                <w:rFonts w:ascii="Times New Roman" w:hAnsi="Times New Roman"/>
                <w:color w:val="000000"/>
                <w:sz w:val="21"/>
                <w:szCs w:val="21"/>
              </w:rPr>
            </w:pPr>
            <w:r>
              <w:rPr>
                <w:rFonts w:ascii="Times New Roman"/>
                <w:color w:val="000000"/>
                <w:sz w:val="21"/>
                <w:szCs w:val="21"/>
              </w:rPr>
              <w:t>留用</w:t>
            </w:r>
          </w:p>
        </w:tc>
      </w:tr>
      <w:tr w14:paraId="130EA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30" w:type="pct"/>
            <w:tcBorders>
              <w:left w:val="nil"/>
            </w:tcBorders>
            <w:vAlign w:val="center"/>
          </w:tcPr>
          <w:p w14:paraId="1584AC50">
            <w:pPr>
              <w:adjustRightInd w:val="0"/>
              <w:snapToGrid w:val="0"/>
              <w:spacing w:line="280" w:lineRule="exact"/>
              <w:jc w:val="center"/>
              <w:rPr>
                <w:rFonts w:ascii="Times New Roman" w:hAnsi="Times New Roman"/>
                <w:sz w:val="21"/>
                <w:szCs w:val="21"/>
              </w:rPr>
            </w:pPr>
            <w:r>
              <w:rPr>
                <w:rFonts w:ascii="Times New Roman" w:hAnsi="Times New Roman"/>
                <w:sz w:val="21"/>
                <w:szCs w:val="21"/>
              </w:rPr>
              <w:t>2</w:t>
            </w:r>
          </w:p>
        </w:tc>
        <w:tc>
          <w:tcPr>
            <w:tcW w:w="1982" w:type="pct"/>
            <w:gridSpan w:val="2"/>
            <w:vAlign w:val="center"/>
          </w:tcPr>
          <w:p w14:paraId="31C0048E">
            <w:pPr>
              <w:adjustRightInd w:val="0"/>
              <w:snapToGrid w:val="0"/>
              <w:spacing w:line="280" w:lineRule="exact"/>
              <w:jc w:val="center"/>
              <w:rPr>
                <w:rFonts w:ascii="Times New Roman" w:hAnsi="Times New Roman"/>
                <w:color w:val="000000"/>
                <w:sz w:val="21"/>
                <w:szCs w:val="21"/>
              </w:rPr>
            </w:pPr>
            <w:r>
              <w:rPr>
                <w:rFonts w:ascii="Times New Roman"/>
                <w:color w:val="000000"/>
                <w:sz w:val="21"/>
                <w:szCs w:val="21"/>
              </w:rPr>
              <w:t>总建筑面积</w:t>
            </w:r>
          </w:p>
        </w:tc>
        <w:tc>
          <w:tcPr>
            <w:tcW w:w="862" w:type="pct"/>
            <w:vAlign w:val="center"/>
          </w:tcPr>
          <w:p w14:paraId="368FCFBF">
            <w:pPr>
              <w:adjustRightInd w:val="0"/>
              <w:snapToGrid w:val="0"/>
              <w:spacing w:line="280" w:lineRule="exact"/>
              <w:jc w:val="center"/>
              <w:rPr>
                <w:rFonts w:ascii="Times New Roman" w:hAnsi="Times New Roman"/>
                <w:color w:val="000000"/>
                <w:sz w:val="21"/>
                <w:szCs w:val="21"/>
              </w:rPr>
            </w:pPr>
            <w:r>
              <w:rPr>
                <w:rFonts w:hint="eastAsia" w:ascii="Times New Roman" w:hAnsi="Times New Roman"/>
                <w:color w:val="000000"/>
                <w:sz w:val="21"/>
                <w:szCs w:val="21"/>
              </w:rPr>
              <w:t>10130</w:t>
            </w:r>
          </w:p>
        </w:tc>
        <w:tc>
          <w:tcPr>
            <w:tcW w:w="942" w:type="pct"/>
            <w:vAlign w:val="center"/>
          </w:tcPr>
          <w:p w14:paraId="7312A36C">
            <w:pPr>
              <w:adjustRightInd w:val="0"/>
              <w:snapToGrid w:val="0"/>
              <w:spacing w:line="280" w:lineRule="exact"/>
              <w:jc w:val="center"/>
              <w:rPr>
                <w:rFonts w:ascii="Times New Roman" w:hAnsi="Times New Roman"/>
                <w:color w:val="000000"/>
                <w:sz w:val="21"/>
                <w:szCs w:val="21"/>
              </w:rPr>
            </w:pPr>
            <w:r>
              <w:rPr>
                <w:rFonts w:ascii="Times New Roman" w:hAnsi="Times New Roman"/>
                <w:color w:val="000000"/>
                <w:sz w:val="21"/>
                <w:szCs w:val="21"/>
              </w:rPr>
              <w:t>-</w:t>
            </w:r>
          </w:p>
        </w:tc>
        <w:tc>
          <w:tcPr>
            <w:tcW w:w="681" w:type="pct"/>
            <w:tcBorders>
              <w:right w:val="nil"/>
            </w:tcBorders>
            <w:vAlign w:val="center"/>
          </w:tcPr>
          <w:p w14:paraId="1AA74C94">
            <w:pPr>
              <w:adjustRightInd w:val="0"/>
              <w:snapToGrid w:val="0"/>
              <w:spacing w:line="280" w:lineRule="exact"/>
              <w:jc w:val="center"/>
              <w:rPr>
                <w:rFonts w:ascii="Times New Roman" w:hAnsi="Times New Roman"/>
                <w:color w:val="000000"/>
                <w:sz w:val="21"/>
                <w:szCs w:val="21"/>
              </w:rPr>
            </w:pPr>
            <w:r>
              <w:rPr>
                <w:rFonts w:hint="eastAsia" w:ascii="Times New Roman" w:hAnsi="Times New Roman"/>
                <w:color w:val="000000"/>
                <w:sz w:val="21"/>
                <w:szCs w:val="21"/>
              </w:rPr>
              <w:t>部分拆除，部分留用</w:t>
            </w:r>
          </w:p>
        </w:tc>
      </w:tr>
      <w:tr w14:paraId="486BDF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30" w:type="pct"/>
            <w:vMerge w:val="restart"/>
            <w:tcBorders>
              <w:left w:val="nil"/>
            </w:tcBorders>
            <w:vAlign w:val="center"/>
          </w:tcPr>
          <w:p w14:paraId="16806066">
            <w:pPr>
              <w:adjustRightInd w:val="0"/>
              <w:snapToGrid w:val="0"/>
              <w:spacing w:line="280" w:lineRule="exact"/>
              <w:jc w:val="center"/>
              <w:rPr>
                <w:rFonts w:ascii="Times New Roman" w:hAnsi="Times New Roman"/>
                <w:sz w:val="21"/>
                <w:szCs w:val="21"/>
              </w:rPr>
            </w:pPr>
            <w:r>
              <w:rPr>
                <w:rFonts w:ascii="Times New Roman" w:hAnsi="Times New Roman"/>
                <w:sz w:val="21"/>
                <w:szCs w:val="21"/>
              </w:rPr>
              <w:t>3</w:t>
            </w:r>
          </w:p>
        </w:tc>
        <w:tc>
          <w:tcPr>
            <w:tcW w:w="514" w:type="pct"/>
            <w:vMerge w:val="restart"/>
            <w:tcBorders>
              <w:right w:val="single" w:color="auto" w:sz="4" w:space="0"/>
            </w:tcBorders>
            <w:vAlign w:val="center"/>
          </w:tcPr>
          <w:p w14:paraId="3190565A">
            <w:pPr>
              <w:adjustRightInd w:val="0"/>
              <w:snapToGrid w:val="0"/>
              <w:spacing w:line="280" w:lineRule="exact"/>
              <w:jc w:val="center"/>
              <w:rPr>
                <w:rFonts w:ascii="Times New Roman" w:hAnsi="Times New Roman"/>
                <w:color w:val="000000"/>
                <w:sz w:val="21"/>
                <w:szCs w:val="21"/>
              </w:rPr>
            </w:pPr>
            <w:r>
              <w:rPr>
                <w:rFonts w:hint="eastAsia" w:ascii="Times New Roman"/>
                <w:color w:val="000000"/>
                <w:sz w:val="21"/>
                <w:szCs w:val="21"/>
              </w:rPr>
              <w:t>养殖区</w:t>
            </w:r>
          </w:p>
        </w:tc>
        <w:tc>
          <w:tcPr>
            <w:tcW w:w="1468" w:type="pct"/>
            <w:tcBorders>
              <w:top w:val="single" w:color="auto" w:sz="4" w:space="0"/>
              <w:left w:val="single" w:color="auto" w:sz="4" w:space="0"/>
              <w:bottom w:val="single" w:color="auto" w:sz="4" w:space="0"/>
            </w:tcBorders>
            <w:vAlign w:val="center"/>
          </w:tcPr>
          <w:p w14:paraId="2D1E4163">
            <w:pPr>
              <w:adjustRightInd w:val="0"/>
              <w:snapToGrid w:val="0"/>
              <w:spacing w:line="280" w:lineRule="exact"/>
              <w:jc w:val="center"/>
              <w:rPr>
                <w:rFonts w:ascii="Times New Roman" w:hAnsi="Times New Roman"/>
                <w:color w:val="000000"/>
                <w:sz w:val="21"/>
                <w:szCs w:val="21"/>
              </w:rPr>
            </w:pPr>
            <w:r>
              <w:rPr>
                <w:rFonts w:hint="eastAsia" w:ascii="Times New Roman"/>
                <w:color w:val="000000"/>
                <w:sz w:val="21"/>
                <w:szCs w:val="21"/>
              </w:rPr>
              <w:t>1#-31#猪舍</w:t>
            </w:r>
          </w:p>
        </w:tc>
        <w:tc>
          <w:tcPr>
            <w:tcW w:w="862" w:type="pct"/>
            <w:vAlign w:val="center"/>
          </w:tcPr>
          <w:p w14:paraId="2203B71A">
            <w:pPr>
              <w:adjustRightInd w:val="0"/>
              <w:snapToGrid w:val="0"/>
              <w:spacing w:line="280" w:lineRule="exact"/>
              <w:jc w:val="center"/>
              <w:rPr>
                <w:rFonts w:ascii="Times New Roman" w:hAnsi="Times New Roman"/>
                <w:color w:val="000000"/>
                <w:sz w:val="21"/>
                <w:szCs w:val="21"/>
              </w:rPr>
            </w:pPr>
            <w:r>
              <w:rPr>
                <w:rFonts w:hint="eastAsia" w:ascii="Times New Roman" w:hAnsi="Times New Roman"/>
                <w:color w:val="000000"/>
                <w:sz w:val="21"/>
                <w:szCs w:val="21"/>
              </w:rPr>
              <w:t>9600</w:t>
            </w:r>
          </w:p>
        </w:tc>
        <w:tc>
          <w:tcPr>
            <w:tcW w:w="942" w:type="pct"/>
            <w:vAlign w:val="center"/>
          </w:tcPr>
          <w:p w14:paraId="7D935C31">
            <w:pPr>
              <w:adjustRightInd w:val="0"/>
              <w:snapToGrid w:val="0"/>
              <w:spacing w:line="280" w:lineRule="exact"/>
              <w:jc w:val="center"/>
              <w:rPr>
                <w:rFonts w:ascii="Times New Roman" w:hAnsi="Times New Roman"/>
                <w:color w:val="000000"/>
                <w:sz w:val="21"/>
                <w:szCs w:val="21"/>
              </w:rPr>
            </w:pPr>
            <w:r>
              <w:rPr>
                <w:rFonts w:hint="eastAsia" w:ascii="Times New Roman" w:hAnsi="Times New Roman"/>
                <w:color w:val="000000"/>
                <w:sz w:val="21"/>
                <w:szCs w:val="21"/>
              </w:rPr>
              <w:t>猪舍</w:t>
            </w:r>
          </w:p>
        </w:tc>
        <w:tc>
          <w:tcPr>
            <w:tcW w:w="681" w:type="pct"/>
            <w:tcBorders>
              <w:right w:val="nil"/>
            </w:tcBorders>
            <w:vAlign w:val="center"/>
          </w:tcPr>
          <w:p w14:paraId="434BF01F">
            <w:pPr>
              <w:adjustRightInd w:val="0"/>
              <w:snapToGrid w:val="0"/>
              <w:spacing w:line="280" w:lineRule="exact"/>
              <w:jc w:val="center"/>
              <w:rPr>
                <w:rFonts w:ascii="Times New Roman" w:hAnsi="Times New Roman"/>
                <w:color w:val="000000"/>
                <w:sz w:val="21"/>
                <w:szCs w:val="21"/>
              </w:rPr>
            </w:pPr>
            <w:r>
              <w:rPr>
                <w:rFonts w:hint="eastAsia" w:ascii="Times New Roman"/>
                <w:color w:val="000000"/>
                <w:sz w:val="21"/>
                <w:szCs w:val="21"/>
              </w:rPr>
              <w:t>拆除</w:t>
            </w:r>
          </w:p>
        </w:tc>
      </w:tr>
      <w:tr w14:paraId="2DC9B6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30" w:type="pct"/>
            <w:vMerge w:val="continue"/>
            <w:tcBorders>
              <w:left w:val="nil"/>
            </w:tcBorders>
            <w:vAlign w:val="center"/>
          </w:tcPr>
          <w:p w14:paraId="5F5BA0FF">
            <w:pPr>
              <w:adjustRightInd w:val="0"/>
              <w:snapToGrid w:val="0"/>
              <w:spacing w:line="280" w:lineRule="exact"/>
              <w:jc w:val="center"/>
              <w:rPr>
                <w:rFonts w:ascii="Times New Roman" w:hAnsi="Times New Roman"/>
                <w:sz w:val="21"/>
                <w:szCs w:val="21"/>
              </w:rPr>
            </w:pPr>
          </w:p>
        </w:tc>
        <w:tc>
          <w:tcPr>
            <w:tcW w:w="514" w:type="pct"/>
            <w:vMerge w:val="continue"/>
            <w:tcBorders>
              <w:right w:val="single" w:color="auto" w:sz="4" w:space="0"/>
            </w:tcBorders>
            <w:vAlign w:val="center"/>
          </w:tcPr>
          <w:p w14:paraId="394B3D99">
            <w:pPr>
              <w:adjustRightInd w:val="0"/>
              <w:snapToGrid w:val="0"/>
              <w:spacing w:line="280" w:lineRule="exact"/>
              <w:jc w:val="center"/>
              <w:rPr>
                <w:rFonts w:ascii="Times New Roman" w:hAnsi="Times New Roman"/>
                <w:color w:val="FF0000"/>
                <w:sz w:val="21"/>
                <w:szCs w:val="21"/>
              </w:rPr>
            </w:pPr>
          </w:p>
        </w:tc>
        <w:tc>
          <w:tcPr>
            <w:tcW w:w="1468" w:type="pct"/>
            <w:tcBorders>
              <w:top w:val="single" w:color="auto" w:sz="4" w:space="0"/>
              <w:left w:val="single" w:color="auto" w:sz="4" w:space="0"/>
              <w:bottom w:val="single" w:color="auto" w:sz="4" w:space="0"/>
            </w:tcBorders>
            <w:vAlign w:val="center"/>
          </w:tcPr>
          <w:p w14:paraId="4706FEA8">
            <w:pPr>
              <w:adjustRightInd w:val="0"/>
              <w:snapToGrid w:val="0"/>
              <w:spacing w:line="280" w:lineRule="exact"/>
              <w:jc w:val="center"/>
              <w:rPr>
                <w:rFonts w:ascii="Times New Roman" w:hAnsi="Times New Roman"/>
                <w:color w:val="000000"/>
                <w:sz w:val="21"/>
                <w:szCs w:val="21"/>
              </w:rPr>
            </w:pPr>
            <w:r>
              <w:rPr>
                <w:rFonts w:hint="eastAsia" w:ascii="Times New Roman"/>
                <w:color w:val="000000"/>
                <w:sz w:val="21"/>
                <w:szCs w:val="21"/>
              </w:rPr>
              <w:t>仓库</w:t>
            </w:r>
          </w:p>
        </w:tc>
        <w:tc>
          <w:tcPr>
            <w:tcW w:w="862" w:type="pct"/>
            <w:vAlign w:val="center"/>
          </w:tcPr>
          <w:p w14:paraId="66300E0C">
            <w:pPr>
              <w:adjustRightInd w:val="0"/>
              <w:snapToGrid w:val="0"/>
              <w:spacing w:line="280" w:lineRule="exact"/>
              <w:jc w:val="center"/>
              <w:rPr>
                <w:rFonts w:ascii="Times New Roman" w:hAnsi="Times New Roman"/>
                <w:color w:val="000000"/>
                <w:sz w:val="21"/>
                <w:szCs w:val="21"/>
              </w:rPr>
            </w:pPr>
            <w:r>
              <w:rPr>
                <w:rFonts w:hint="eastAsia" w:ascii="Times New Roman" w:hAnsi="Times New Roman"/>
                <w:color w:val="000000"/>
                <w:sz w:val="21"/>
                <w:szCs w:val="21"/>
              </w:rPr>
              <w:t>500</w:t>
            </w:r>
          </w:p>
        </w:tc>
        <w:tc>
          <w:tcPr>
            <w:tcW w:w="942" w:type="pct"/>
            <w:vAlign w:val="center"/>
          </w:tcPr>
          <w:p w14:paraId="7380D9C4">
            <w:pPr>
              <w:adjustRightInd w:val="0"/>
              <w:snapToGrid w:val="0"/>
              <w:spacing w:line="280" w:lineRule="exact"/>
              <w:jc w:val="center"/>
              <w:rPr>
                <w:rFonts w:ascii="Times New Roman" w:hAnsi="Times New Roman"/>
                <w:color w:val="000000"/>
                <w:sz w:val="21"/>
                <w:szCs w:val="21"/>
              </w:rPr>
            </w:pPr>
            <w:r>
              <w:rPr>
                <w:rFonts w:hint="eastAsia" w:ascii="Times New Roman" w:hAnsi="Times New Roman"/>
                <w:color w:val="000000"/>
                <w:sz w:val="21"/>
                <w:szCs w:val="21"/>
              </w:rPr>
              <w:t>饲料等暂存</w:t>
            </w:r>
          </w:p>
        </w:tc>
        <w:tc>
          <w:tcPr>
            <w:tcW w:w="681" w:type="pct"/>
            <w:tcBorders>
              <w:right w:val="nil"/>
            </w:tcBorders>
            <w:vAlign w:val="center"/>
          </w:tcPr>
          <w:p w14:paraId="13C075CE">
            <w:pPr>
              <w:adjustRightInd w:val="0"/>
              <w:snapToGrid w:val="0"/>
              <w:spacing w:line="280" w:lineRule="exact"/>
              <w:jc w:val="center"/>
              <w:rPr>
                <w:rFonts w:ascii="Times New Roman" w:hAnsi="Times New Roman"/>
                <w:color w:val="000000"/>
                <w:sz w:val="21"/>
                <w:szCs w:val="21"/>
              </w:rPr>
            </w:pPr>
            <w:r>
              <w:rPr>
                <w:rFonts w:hint="eastAsia" w:ascii="Times New Roman"/>
                <w:color w:val="000000"/>
                <w:sz w:val="21"/>
                <w:szCs w:val="21"/>
              </w:rPr>
              <w:t>拆除</w:t>
            </w:r>
          </w:p>
        </w:tc>
      </w:tr>
      <w:tr w14:paraId="6649E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30" w:type="pct"/>
            <w:tcBorders>
              <w:left w:val="nil"/>
              <w:bottom w:val="single" w:color="auto" w:sz="12" w:space="0"/>
            </w:tcBorders>
            <w:vAlign w:val="center"/>
          </w:tcPr>
          <w:p w14:paraId="6FCB582B">
            <w:pPr>
              <w:adjustRightInd w:val="0"/>
              <w:snapToGrid w:val="0"/>
              <w:spacing w:line="280" w:lineRule="exact"/>
              <w:jc w:val="center"/>
              <w:rPr>
                <w:rFonts w:ascii="Times New Roman" w:hAnsi="Times New Roman"/>
                <w:sz w:val="21"/>
                <w:szCs w:val="21"/>
              </w:rPr>
            </w:pPr>
            <w:r>
              <w:rPr>
                <w:rFonts w:ascii="Times New Roman" w:hAnsi="Times New Roman"/>
                <w:sz w:val="21"/>
                <w:szCs w:val="21"/>
              </w:rPr>
              <w:t>4</w:t>
            </w:r>
          </w:p>
        </w:tc>
        <w:tc>
          <w:tcPr>
            <w:tcW w:w="1982" w:type="pct"/>
            <w:gridSpan w:val="2"/>
            <w:tcBorders>
              <w:bottom w:val="single" w:color="auto" w:sz="12" w:space="0"/>
            </w:tcBorders>
            <w:vAlign w:val="center"/>
          </w:tcPr>
          <w:p w14:paraId="79DABBFF">
            <w:pPr>
              <w:adjustRightInd w:val="0"/>
              <w:snapToGrid w:val="0"/>
              <w:spacing w:line="280" w:lineRule="exact"/>
              <w:jc w:val="center"/>
              <w:rPr>
                <w:rFonts w:ascii="Times New Roman" w:hAnsi="Times New Roman"/>
                <w:color w:val="000000"/>
                <w:sz w:val="21"/>
                <w:szCs w:val="21"/>
              </w:rPr>
            </w:pPr>
            <w:r>
              <w:rPr>
                <w:rFonts w:ascii="Times New Roman"/>
                <w:color w:val="000000"/>
                <w:sz w:val="21"/>
                <w:szCs w:val="21"/>
              </w:rPr>
              <w:t>配套设施</w:t>
            </w:r>
          </w:p>
        </w:tc>
        <w:tc>
          <w:tcPr>
            <w:tcW w:w="862" w:type="pct"/>
            <w:tcBorders>
              <w:bottom w:val="single" w:color="auto" w:sz="12" w:space="0"/>
            </w:tcBorders>
            <w:vAlign w:val="center"/>
          </w:tcPr>
          <w:p w14:paraId="6EEA65C1">
            <w:pPr>
              <w:adjustRightInd w:val="0"/>
              <w:snapToGrid w:val="0"/>
              <w:spacing w:line="280" w:lineRule="exact"/>
              <w:jc w:val="center"/>
              <w:rPr>
                <w:rFonts w:ascii="Times New Roman" w:hAnsi="Times New Roman"/>
                <w:color w:val="000000"/>
                <w:sz w:val="21"/>
                <w:szCs w:val="21"/>
              </w:rPr>
            </w:pPr>
            <w:r>
              <w:rPr>
                <w:rFonts w:hint="eastAsia" w:ascii="Times New Roman" w:hAnsi="Times New Roman"/>
                <w:color w:val="000000"/>
                <w:sz w:val="21"/>
                <w:szCs w:val="21"/>
              </w:rPr>
              <w:t>30</w:t>
            </w:r>
          </w:p>
        </w:tc>
        <w:tc>
          <w:tcPr>
            <w:tcW w:w="942" w:type="pct"/>
            <w:tcBorders>
              <w:bottom w:val="single" w:color="auto" w:sz="12" w:space="0"/>
            </w:tcBorders>
            <w:vAlign w:val="center"/>
          </w:tcPr>
          <w:p w14:paraId="513E058C">
            <w:pPr>
              <w:adjustRightInd w:val="0"/>
              <w:snapToGrid w:val="0"/>
              <w:spacing w:line="280" w:lineRule="exact"/>
              <w:jc w:val="center"/>
              <w:rPr>
                <w:rFonts w:ascii="Times New Roman" w:hAnsi="Times New Roman"/>
                <w:color w:val="000000"/>
                <w:sz w:val="21"/>
                <w:szCs w:val="21"/>
              </w:rPr>
            </w:pPr>
            <w:r>
              <w:rPr>
                <w:rFonts w:hint="eastAsia" w:ascii="Times New Roman" w:hAnsi="Times New Roman"/>
                <w:color w:val="000000"/>
                <w:sz w:val="21"/>
                <w:szCs w:val="21"/>
              </w:rPr>
              <w:t>门卫</w:t>
            </w:r>
          </w:p>
        </w:tc>
        <w:tc>
          <w:tcPr>
            <w:tcW w:w="681" w:type="pct"/>
            <w:tcBorders>
              <w:bottom w:val="single" w:color="auto" w:sz="12" w:space="0"/>
              <w:right w:val="nil"/>
            </w:tcBorders>
            <w:vAlign w:val="center"/>
          </w:tcPr>
          <w:p w14:paraId="5FC973AD">
            <w:pPr>
              <w:adjustRightInd w:val="0"/>
              <w:snapToGrid w:val="0"/>
              <w:spacing w:line="280" w:lineRule="exact"/>
              <w:jc w:val="center"/>
              <w:rPr>
                <w:rFonts w:ascii="Times New Roman" w:hAnsi="Times New Roman"/>
                <w:color w:val="000000"/>
                <w:sz w:val="21"/>
                <w:szCs w:val="21"/>
              </w:rPr>
            </w:pPr>
            <w:r>
              <w:rPr>
                <w:rFonts w:ascii="Times New Roman"/>
                <w:color w:val="000000"/>
                <w:sz w:val="21"/>
                <w:szCs w:val="21"/>
              </w:rPr>
              <w:t>留用</w:t>
            </w:r>
          </w:p>
        </w:tc>
      </w:tr>
    </w:tbl>
    <w:p w14:paraId="76D04C67">
      <w:pPr>
        <w:pStyle w:val="7"/>
        <w:spacing w:line="480" w:lineRule="exact"/>
      </w:pPr>
      <w:r>
        <w:rPr>
          <w:rFonts w:hint="eastAsia"/>
        </w:rPr>
        <w:t>3</w:t>
      </w:r>
      <w:r>
        <w:t>.</w:t>
      </w:r>
      <w:r>
        <w:rPr>
          <w:rFonts w:hint="eastAsia"/>
        </w:rPr>
        <w:t>1</w:t>
      </w:r>
      <w:r>
        <w:t>.1</w:t>
      </w:r>
      <w:r>
        <w:rPr>
          <w:rFonts w:hint="eastAsia"/>
        </w:rPr>
        <w:t>原有企业公辅工程</w:t>
      </w:r>
    </w:p>
    <w:p w14:paraId="6806BD63">
      <w:pPr>
        <w:adjustRightInd w:val="0"/>
        <w:spacing w:line="480" w:lineRule="exact"/>
        <w:ind w:firstLine="480" w:firstLineChars="200"/>
        <w:rPr>
          <w:rFonts w:ascii="Times New Roman" w:hAnsi="Times New Roman"/>
          <w:szCs w:val="24"/>
        </w:rPr>
      </w:pPr>
      <w:r>
        <w:rPr>
          <w:rFonts w:ascii="Times New Roman"/>
          <w:szCs w:val="24"/>
        </w:rPr>
        <w:t>原有企业公用工程、辅助设施建设情况见表</w:t>
      </w:r>
      <w:r>
        <w:rPr>
          <w:rFonts w:ascii="Times New Roman" w:hAnsi="Times New Roman"/>
          <w:szCs w:val="24"/>
        </w:rPr>
        <w:t>3.1-3</w:t>
      </w:r>
      <w:r>
        <w:rPr>
          <w:rFonts w:ascii="Times New Roman"/>
          <w:szCs w:val="24"/>
        </w:rPr>
        <w:t>。</w:t>
      </w:r>
    </w:p>
    <w:p w14:paraId="61EBF2C4">
      <w:pPr>
        <w:spacing w:line="480" w:lineRule="exact"/>
        <w:jc w:val="center"/>
        <w:rPr>
          <w:rFonts w:ascii="Times New Roman" w:hAnsi="Times New Roman"/>
          <w:b/>
          <w:szCs w:val="24"/>
        </w:rPr>
      </w:pPr>
      <w:r>
        <w:rPr>
          <w:rFonts w:ascii="Times New Roman"/>
          <w:b/>
          <w:szCs w:val="24"/>
        </w:rPr>
        <w:t>表</w:t>
      </w:r>
      <w:r>
        <w:rPr>
          <w:rFonts w:ascii="Times New Roman" w:hAnsi="Times New Roman"/>
          <w:b/>
          <w:szCs w:val="24"/>
        </w:rPr>
        <w:t xml:space="preserve">3.1-3 </w:t>
      </w:r>
      <w:r>
        <w:rPr>
          <w:rFonts w:ascii="Times New Roman"/>
          <w:b/>
          <w:szCs w:val="24"/>
        </w:rPr>
        <w:t>公用及辅助工程</w:t>
      </w:r>
    </w:p>
    <w:tbl>
      <w:tblPr>
        <w:tblStyle w:val="41"/>
        <w:tblW w:w="4952" w:type="pct"/>
        <w:jc w:val="center"/>
        <w:tblBorders>
          <w:top w:val="single" w:color="auto" w:sz="6" w:space="0"/>
          <w:left w:val="none" w:color="auto" w:sz="0" w:space="0"/>
          <w:bottom w:val="single" w:color="auto" w:sz="6" w:space="0"/>
          <w:right w:val="none" w:color="auto" w:sz="0" w:space="0"/>
          <w:insideH w:val="single" w:color="auto" w:sz="6" w:space="0"/>
          <w:insideV w:val="single" w:color="auto" w:sz="8" w:space="0"/>
        </w:tblBorders>
        <w:tblLayout w:type="autofit"/>
        <w:tblCellMar>
          <w:top w:w="0" w:type="dxa"/>
          <w:left w:w="108" w:type="dxa"/>
          <w:bottom w:w="0" w:type="dxa"/>
          <w:right w:w="108" w:type="dxa"/>
        </w:tblCellMar>
      </w:tblPr>
      <w:tblGrid>
        <w:gridCol w:w="1023"/>
        <w:gridCol w:w="1104"/>
        <w:gridCol w:w="2762"/>
        <w:gridCol w:w="3005"/>
        <w:gridCol w:w="1305"/>
      </w:tblGrid>
      <w:tr w14:paraId="7748534B">
        <w:tblPrEx>
          <w:tblBorders>
            <w:top w:val="single" w:color="auto" w:sz="6" w:space="0"/>
            <w:left w:val="none" w:color="auto" w:sz="0" w:space="0"/>
            <w:bottom w:val="single" w:color="auto" w:sz="6"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97" w:hRule="atLeast"/>
          <w:jc w:val="center"/>
        </w:trPr>
        <w:tc>
          <w:tcPr>
            <w:tcW w:w="556" w:type="pct"/>
            <w:tcBorders>
              <w:tl2br w:val="nil"/>
              <w:tr2bl w:val="nil"/>
            </w:tcBorders>
            <w:vAlign w:val="center"/>
          </w:tcPr>
          <w:p w14:paraId="67CB753D">
            <w:pPr>
              <w:adjustRightInd w:val="0"/>
              <w:snapToGrid w:val="0"/>
              <w:spacing w:line="30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类别</w:t>
            </w:r>
          </w:p>
        </w:tc>
        <w:tc>
          <w:tcPr>
            <w:tcW w:w="600" w:type="pct"/>
            <w:tcBorders>
              <w:tl2br w:val="nil"/>
              <w:tr2bl w:val="nil"/>
            </w:tcBorders>
            <w:vAlign w:val="center"/>
          </w:tcPr>
          <w:p w14:paraId="25CEB5B5">
            <w:pPr>
              <w:adjustRightInd w:val="0"/>
              <w:snapToGrid w:val="0"/>
              <w:spacing w:line="30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建设名称</w:t>
            </w:r>
          </w:p>
        </w:tc>
        <w:tc>
          <w:tcPr>
            <w:tcW w:w="1501" w:type="pct"/>
            <w:tcBorders>
              <w:tl2br w:val="nil"/>
              <w:tr2bl w:val="nil"/>
            </w:tcBorders>
            <w:vAlign w:val="center"/>
          </w:tcPr>
          <w:p w14:paraId="60AF1B5B">
            <w:pPr>
              <w:adjustRightInd w:val="0"/>
              <w:snapToGrid w:val="0"/>
              <w:spacing w:line="30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原企业设计能力</w:t>
            </w:r>
          </w:p>
        </w:tc>
        <w:tc>
          <w:tcPr>
            <w:tcW w:w="1633" w:type="pct"/>
            <w:tcBorders>
              <w:tl2br w:val="nil"/>
              <w:tr2bl w:val="nil"/>
            </w:tcBorders>
            <w:vAlign w:val="center"/>
          </w:tcPr>
          <w:p w14:paraId="7E4AA161">
            <w:pPr>
              <w:adjustRightInd w:val="0"/>
              <w:snapToGrid w:val="0"/>
              <w:spacing w:line="30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备注</w:t>
            </w:r>
          </w:p>
        </w:tc>
        <w:tc>
          <w:tcPr>
            <w:tcW w:w="709" w:type="pct"/>
            <w:tcBorders>
              <w:tl2br w:val="nil"/>
              <w:tr2bl w:val="nil"/>
            </w:tcBorders>
            <w:vAlign w:val="center"/>
          </w:tcPr>
          <w:p w14:paraId="2B0A5DEB">
            <w:pPr>
              <w:adjustRightInd w:val="0"/>
              <w:snapToGrid w:val="0"/>
              <w:spacing w:line="30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处置措施</w:t>
            </w:r>
          </w:p>
        </w:tc>
      </w:tr>
      <w:tr w14:paraId="251C7AC9">
        <w:tblPrEx>
          <w:tblBorders>
            <w:top w:val="single" w:color="auto" w:sz="6" w:space="0"/>
            <w:left w:val="none" w:color="auto" w:sz="0" w:space="0"/>
            <w:bottom w:val="single" w:color="auto" w:sz="6"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97" w:hRule="atLeast"/>
          <w:jc w:val="center"/>
        </w:trPr>
        <w:tc>
          <w:tcPr>
            <w:tcW w:w="556" w:type="pct"/>
            <w:tcBorders>
              <w:tl2br w:val="nil"/>
              <w:tr2bl w:val="nil"/>
            </w:tcBorders>
            <w:vAlign w:val="center"/>
          </w:tcPr>
          <w:p w14:paraId="4793FF11">
            <w:pPr>
              <w:adjustRightInd w:val="0"/>
              <w:snapToGrid w:val="0"/>
              <w:spacing w:line="30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贮运工程</w:t>
            </w:r>
          </w:p>
        </w:tc>
        <w:tc>
          <w:tcPr>
            <w:tcW w:w="600" w:type="pct"/>
            <w:tcBorders>
              <w:tl2br w:val="nil"/>
              <w:tr2bl w:val="nil"/>
            </w:tcBorders>
            <w:vAlign w:val="center"/>
          </w:tcPr>
          <w:p w14:paraId="2A3D6F78">
            <w:pPr>
              <w:adjustRightInd w:val="0"/>
              <w:snapToGrid w:val="0"/>
              <w:spacing w:line="30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原料仓库</w:t>
            </w:r>
          </w:p>
        </w:tc>
        <w:tc>
          <w:tcPr>
            <w:tcW w:w="1501" w:type="pct"/>
            <w:tcBorders>
              <w:tl2br w:val="nil"/>
              <w:tr2bl w:val="nil"/>
            </w:tcBorders>
            <w:vAlign w:val="center"/>
          </w:tcPr>
          <w:p w14:paraId="317326FB">
            <w:pPr>
              <w:adjustRightInd w:val="0"/>
              <w:snapToGrid w:val="0"/>
              <w:spacing w:line="30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500m</w:t>
            </w:r>
            <w:r>
              <w:rPr>
                <w:rFonts w:ascii="Times New Roman" w:hAnsi="Times New Roman" w:cs="Times New Roman"/>
                <w:color w:val="000000"/>
                <w:kern w:val="0"/>
                <w:sz w:val="21"/>
                <w:szCs w:val="21"/>
                <w:vertAlign w:val="superscript"/>
              </w:rPr>
              <w:t>2</w:t>
            </w:r>
          </w:p>
        </w:tc>
        <w:tc>
          <w:tcPr>
            <w:tcW w:w="1633" w:type="pct"/>
            <w:tcBorders>
              <w:tl2br w:val="nil"/>
              <w:tr2bl w:val="nil"/>
            </w:tcBorders>
            <w:vAlign w:val="center"/>
          </w:tcPr>
          <w:p w14:paraId="74CC5480">
            <w:pPr>
              <w:adjustRightInd w:val="0"/>
              <w:snapToGrid w:val="0"/>
              <w:spacing w:line="300" w:lineRule="exact"/>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位于养殖区</w:t>
            </w:r>
          </w:p>
        </w:tc>
        <w:tc>
          <w:tcPr>
            <w:tcW w:w="709" w:type="pct"/>
            <w:tcBorders>
              <w:tl2br w:val="nil"/>
              <w:tr2bl w:val="nil"/>
            </w:tcBorders>
            <w:vAlign w:val="center"/>
          </w:tcPr>
          <w:p w14:paraId="7D27F65A">
            <w:pPr>
              <w:adjustRightInd w:val="0"/>
              <w:snapToGrid w:val="0"/>
              <w:spacing w:line="300" w:lineRule="exact"/>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拆除</w:t>
            </w:r>
          </w:p>
        </w:tc>
      </w:tr>
      <w:tr w14:paraId="4CCB0E9A">
        <w:tblPrEx>
          <w:tblBorders>
            <w:top w:val="single" w:color="auto" w:sz="6" w:space="0"/>
            <w:left w:val="none" w:color="auto" w:sz="0" w:space="0"/>
            <w:bottom w:val="single" w:color="auto" w:sz="6"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97" w:hRule="atLeast"/>
          <w:jc w:val="center"/>
        </w:trPr>
        <w:tc>
          <w:tcPr>
            <w:tcW w:w="556" w:type="pct"/>
            <w:vMerge w:val="restart"/>
            <w:tcBorders>
              <w:tl2br w:val="nil"/>
              <w:tr2bl w:val="nil"/>
            </w:tcBorders>
            <w:vAlign w:val="center"/>
          </w:tcPr>
          <w:p w14:paraId="137B5A58">
            <w:pPr>
              <w:adjustRightInd w:val="0"/>
              <w:snapToGrid w:val="0"/>
              <w:spacing w:line="30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公用工程</w:t>
            </w:r>
          </w:p>
        </w:tc>
        <w:tc>
          <w:tcPr>
            <w:tcW w:w="600" w:type="pct"/>
            <w:tcBorders>
              <w:tl2br w:val="nil"/>
              <w:tr2bl w:val="nil"/>
            </w:tcBorders>
            <w:vAlign w:val="center"/>
          </w:tcPr>
          <w:p w14:paraId="66E2201D">
            <w:pPr>
              <w:adjustRightInd w:val="0"/>
              <w:snapToGrid w:val="0"/>
              <w:spacing w:line="30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给水</w:t>
            </w:r>
          </w:p>
        </w:tc>
        <w:tc>
          <w:tcPr>
            <w:tcW w:w="1501" w:type="pct"/>
            <w:tcBorders>
              <w:tl2br w:val="nil"/>
              <w:tr2bl w:val="nil"/>
            </w:tcBorders>
            <w:vAlign w:val="center"/>
          </w:tcPr>
          <w:p w14:paraId="3041F489">
            <w:pPr>
              <w:adjustRightInd w:val="0"/>
              <w:snapToGrid w:val="0"/>
              <w:spacing w:line="30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w:t>
            </w:r>
            <w:r>
              <w:rPr>
                <w:rFonts w:hint="eastAsia" w:ascii="Times New Roman" w:hAnsi="Times New Roman" w:cs="Times New Roman"/>
                <w:color w:val="000000"/>
                <w:kern w:val="0"/>
                <w:sz w:val="21"/>
                <w:szCs w:val="21"/>
              </w:rPr>
              <w:t>560</w:t>
            </w:r>
            <w:r>
              <w:rPr>
                <w:rFonts w:ascii="Times New Roman" w:hAnsi="Times New Roman" w:cs="Times New Roman"/>
                <w:color w:val="000000"/>
                <w:kern w:val="0"/>
                <w:sz w:val="21"/>
                <w:szCs w:val="21"/>
              </w:rPr>
              <w:t>t/a</w:t>
            </w:r>
          </w:p>
        </w:tc>
        <w:tc>
          <w:tcPr>
            <w:tcW w:w="1633" w:type="pct"/>
            <w:tcBorders>
              <w:tl2br w:val="nil"/>
              <w:tr2bl w:val="nil"/>
            </w:tcBorders>
            <w:vAlign w:val="center"/>
          </w:tcPr>
          <w:p w14:paraId="179DE659">
            <w:pPr>
              <w:adjustRightInd w:val="0"/>
              <w:snapToGrid w:val="0"/>
              <w:spacing w:line="300" w:lineRule="exact"/>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区域自来水管网</w:t>
            </w:r>
          </w:p>
        </w:tc>
        <w:tc>
          <w:tcPr>
            <w:tcW w:w="709" w:type="pct"/>
            <w:tcBorders>
              <w:tl2br w:val="nil"/>
              <w:tr2bl w:val="nil"/>
            </w:tcBorders>
            <w:vAlign w:val="center"/>
          </w:tcPr>
          <w:p w14:paraId="22EB4FDA">
            <w:pPr>
              <w:adjustRightInd w:val="0"/>
              <w:snapToGrid w:val="0"/>
              <w:spacing w:line="300" w:lineRule="exact"/>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w:t>
            </w:r>
          </w:p>
        </w:tc>
      </w:tr>
      <w:tr w14:paraId="69A3DCCF">
        <w:tblPrEx>
          <w:tblBorders>
            <w:top w:val="single" w:color="auto" w:sz="6" w:space="0"/>
            <w:left w:val="none" w:color="auto" w:sz="0" w:space="0"/>
            <w:bottom w:val="single" w:color="auto" w:sz="6"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97" w:hRule="atLeast"/>
          <w:jc w:val="center"/>
        </w:trPr>
        <w:tc>
          <w:tcPr>
            <w:tcW w:w="556" w:type="pct"/>
            <w:vMerge w:val="continue"/>
            <w:tcBorders>
              <w:tl2br w:val="nil"/>
              <w:tr2bl w:val="nil"/>
            </w:tcBorders>
            <w:vAlign w:val="center"/>
          </w:tcPr>
          <w:p w14:paraId="30FDA399">
            <w:pPr>
              <w:adjustRightInd w:val="0"/>
              <w:snapToGrid w:val="0"/>
              <w:spacing w:line="300" w:lineRule="exact"/>
              <w:jc w:val="center"/>
              <w:rPr>
                <w:rFonts w:ascii="Times New Roman" w:hAnsi="Times New Roman" w:cs="Times New Roman"/>
                <w:color w:val="000000"/>
                <w:kern w:val="0"/>
                <w:sz w:val="21"/>
                <w:szCs w:val="21"/>
              </w:rPr>
            </w:pPr>
          </w:p>
        </w:tc>
        <w:tc>
          <w:tcPr>
            <w:tcW w:w="600" w:type="pct"/>
            <w:tcBorders>
              <w:tl2br w:val="nil"/>
              <w:tr2bl w:val="nil"/>
            </w:tcBorders>
            <w:vAlign w:val="center"/>
          </w:tcPr>
          <w:p w14:paraId="57240D4B">
            <w:pPr>
              <w:adjustRightInd w:val="0"/>
              <w:snapToGrid w:val="0"/>
              <w:spacing w:line="30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排水</w:t>
            </w:r>
          </w:p>
        </w:tc>
        <w:tc>
          <w:tcPr>
            <w:tcW w:w="1501" w:type="pct"/>
            <w:tcBorders>
              <w:tl2br w:val="nil"/>
              <w:tr2bl w:val="nil"/>
            </w:tcBorders>
            <w:vAlign w:val="center"/>
          </w:tcPr>
          <w:p w14:paraId="1C399064">
            <w:pPr>
              <w:autoSpaceDE w:val="0"/>
              <w:autoSpaceDN w:val="0"/>
              <w:adjustRightInd w:val="0"/>
              <w:snapToGrid w:val="0"/>
              <w:spacing w:line="300" w:lineRule="exact"/>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329</w:t>
            </w:r>
            <w:r>
              <w:rPr>
                <w:rFonts w:ascii="Times New Roman" w:hAnsi="Times New Roman" w:cs="Times New Roman"/>
                <w:color w:val="000000"/>
                <w:kern w:val="0"/>
                <w:sz w:val="21"/>
                <w:szCs w:val="21"/>
              </w:rPr>
              <w:t>0t/a</w:t>
            </w:r>
          </w:p>
        </w:tc>
        <w:tc>
          <w:tcPr>
            <w:tcW w:w="1633" w:type="pct"/>
            <w:tcBorders>
              <w:tl2br w:val="nil"/>
              <w:tr2bl w:val="nil"/>
            </w:tcBorders>
            <w:vAlign w:val="center"/>
          </w:tcPr>
          <w:p w14:paraId="32D0BF43">
            <w:pPr>
              <w:adjustRightInd w:val="0"/>
              <w:snapToGrid w:val="0"/>
              <w:spacing w:line="300" w:lineRule="exact"/>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养殖废水与生活污水混合后通过厂区污水处理站处理后排放至稳定塘，作为项目配套农田灌溉用水</w:t>
            </w:r>
          </w:p>
        </w:tc>
        <w:tc>
          <w:tcPr>
            <w:tcW w:w="709" w:type="pct"/>
            <w:tcBorders>
              <w:tl2br w:val="nil"/>
              <w:tr2bl w:val="nil"/>
            </w:tcBorders>
            <w:vAlign w:val="center"/>
          </w:tcPr>
          <w:p w14:paraId="6FF4497D">
            <w:pPr>
              <w:adjustRightInd w:val="0"/>
              <w:snapToGrid w:val="0"/>
              <w:spacing w:line="300" w:lineRule="exact"/>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w:t>
            </w:r>
          </w:p>
        </w:tc>
      </w:tr>
      <w:tr w14:paraId="1524CA8A">
        <w:tblPrEx>
          <w:tblBorders>
            <w:top w:val="single" w:color="auto" w:sz="6" w:space="0"/>
            <w:left w:val="none" w:color="auto" w:sz="0" w:space="0"/>
            <w:bottom w:val="single" w:color="auto" w:sz="6"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97" w:hRule="atLeast"/>
          <w:jc w:val="center"/>
        </w:trPr>
        <w:tc>
          <w:tcPr>
            <w:tcW w:w="556" w:type="pct"/>
            <w:vMerge w:val="continue"/>
            <w:tcBorders>
              <w:tl2br w:val="nil"/>
              <w:tr2bl w:val="nil"/>
            </w:tcBorders>
            <w:vAlign w:val="center"/>
          </w:tcPr>
          <w:p w14:paraId="17BEB442">
            <w:pPr>
              <w:adjustRightInd w:val="0"/>
              <w:snapToGrid w:val="0"/>
              <w:spacing w:line="300" w:lineRule="exact"/>
              <w:jc w:val="center"/>
              <w:rPr>
                <w:rFonts w:ascii="Times New Roman" w:hAnsi="Times New Roman" w:cs="Times New Roman"/>
                <w:color w:val="FF0000"/>
                <w:kern w:val="0"/>
                <w:sz w:val="21"/>
                <w:szCs w:val="21"/>
              </w:rPr>
            </w:pPr>
          </w:p>
        </w:tc>
        <w:tc>
          <w:tcPr>
            <w:tcW w:w="600" w:type="pct"/>
            <w:tcBorders>
              <w:tl2br w:val="nil"/>
              <w:tr2bl w:val="nil"/>
            </w:tcBorders>
            <w:vAlign w:val="center"/>
          </w:tcPr>
          <w:p w14:paraId="35D0EDDA">
            <w:pPr>
              <w:adjustRightInd w:val="0"/>
              <w:snapToGrid w:val="0"/>
              <w:spacing w:line="32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供电系统</w:t>
            </w:r>
          </w:p>
        </w:tc>
        <w:tc>
          <w:tcPr>
            <w:tcW w:w="1501" w:type="pct"/>
            <w:tcBorders>
              <w:tl2br w:val="nil"/>
              <w:tr2bl w:val="nil"/>
            </w:tcBorders>
            <w:vAlign w:val="center"/>
          </w:tcPr>
          <w:p w14:paraId="2DE237E1">
            <w:pPr>
              <w:adjustRightInd w:val="0"/>
              <w:snapToGrid w:val="0"/>
              <w:spacing w:line="32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w:t>
            </w:r>
            <w:r>
              <w:rPr>
                <w:rFonts w:hint="eastAsia" w:ascii="Times New Roman" w:hAnsi="Times New Roman" w:cs="Times New Roman"/>
                <w:color w:val="000000"/>
                <w:kern w:val="0"/>
                <w:sz w:val="21"/>
                <w:szCs w:val="21"/>
              </w:rPr>
              <w:t>2</w:t>
            </w:r>
            <w:r>
              <w:rPr>
                <w:rFonts w:ascii="Times New Roman" w:hAnsi="Times New Roman" w:cs="Times New Roman"/>
                <w:color w:val="000000"/>
                <w:kern w:val="0"/>
                <w:sz w:val="21"/>
                <w:szCs w:val="21"/>
              </w:rPr>
              <w:t>万度</w:t>
            </w:r>
          </w:p>
        </w:tc>
        <w:tc>
          <w:tcPr>
            <w:tcW w:w="1633" w:type="pct"/>
            <w:tcBorders>
              <w:tl2br w:val="nil"/>
              <w:tr2bl w:val="nil"/>
            </w:tcBorders>
            <w:vAlign w:val="center"/>
          </w:tcPr>
          <w:p w14:paraId="6D782CEA">
            <w:pPr>
              <w:adjustRightInd w:val="0"/>
              <w:snapToGrid w:val="0"/>
              <w:spacing w:line="32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市政电网</w:t>
            </w:r>
          </w:p>
        </w:tc>
        <w:tc>
          <w:tcPr>
            <w:tcW w:w="709" w:type="pct"/>
            <w:tcBorders>
              <w:tl2br w:val="nil"/>
              <w:tr2bl w:val="nil"/>
            </w:tcBorders>
            <w:vAlign w:val="center"/>
          </w:tcPr>
          <w:p w14:paraId="6688D28C">
            <w:pPr>
              <w:adjustRightInd w:val="0"/>
              <w:snapToGrid w:val="0"/>
              <w:spacing w:line="300" w:lineRule="exact"/>
              <w:jc w:val="center"/>
              <w:rPr>
                <w:rFonts w:ascii="Times New Roman" w:hAnsi="Times New Roman" w:cs="Times New Roman"/>
                <w:color w:val="FF0000"/>
                <w:kern w:val="0"/>
                <w:sz w:val="21"/>
                <w:szCs w:val="21"/>
              </w:rPr>
            </w:pPr>
            <w:r>
              <w:rPr>
                <w:rFonts w:hint="eastAsia" w:ascii="Times New Roman" w:hAnsi="Times New Roman" w:cs="Times New Roman"/>
                <w:color w:val="000000" w:themeColor="text1"/>
                <w:kern w:val="0"/>
                <w:sz w:val="21"/>
                <w:szCs w:val="21"/>
                <w14:textFill>
                  <w14:solidFill>
                    <w14:schemeClr w14:val="tx1"/>
                  </w14:solidFill>
                </w14:textFill>
              </w:rPr>
              <w:t>/</w:t>
            </w:r>
          </w:p>
        </w:tc>
      </w:tr>
      <w:tr w14:paraId="0400DA18">
        <w:tblPrEx>
          <w:tblBorders>
            <w:top w:val="single" w:color="auto" w:sz="6" w:space="0"/>
            <w:left w:val="none" w:color="auto" w:sz="0" w:space="0"/>
            <w:bottom w:val="single" w:color="auto" w:sz="6"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97" w:hRule="atLeast"/>
          <w:jc w:val="center"/>
        </w:trPr>
        <w:tc>
          <w:tcPr>
            <w:tcW w:w="556" w:type="pct"/>
            <w:vMerge w:val="restart"/>
            <w:tcBorders>
              <w:tl2br w:val="nil"/>
              <w:tr2bl w:val="nil"/>
            </w:tcBorders>
            <w:vAlign w:val="center"/>
          </w:tcPr>
          <w:p w14:paraId="74FD99CC">
            <w:pPr>
              <w:adjustRightInd w:val="0"/>
              <w:snapToGrid w:val="0"/>
              <w:spacing w:line="30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环保工程</w:t>
            </w:r>
          </w:p>
        </w:tc>
        <w:tc>
          <w:tcPr>
            <w:tcW w:w="600" w:type="pct"/>
            <w:tcBorders>
              <w:tl2br w:val="nil"/>
              <w:tr2bl w:val="nil"/>
            </w:tcBorders>
            <w:vAlign w:val="center"/>
          </w:tcPr>
          <w:p w14:paraId="3FD31C14">
            <w:pPr>
              <w:adjustRightInd w:val="0"/>
              <w:snapToGrid w:val="0"/>
              <w:spacing w:line="32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废气处理</w:t>
            </w:r>
          </w:p>
        </w:tc>
        <w:tc>
          <w:tcPr>
            <w:tcW w:w="1501" w:type="pct"/>
            <w:tcBorders>
              <w:tl2br w:val="nil"/>
              <w:tr2bl w:val="nil"/>
            </w:tcBorders>
            <w:vAlign w:val="center"/>
          </w:tcPr>
          <w:p w14:paraId="673EDAB1">
            <w:pPr>
              <w:adjustRightInd w:val="0"/>
              <w:snapToGrid w:val="0"/>
              <w:spacing w:line="320" w:lineRule="exact"/>
              <w:jc w:val="center"/>
              <w:rPr>
                <w:rFonts w:ascii="Times New Roman" w:hAnsi="Times New Roman" w:cs="Times New Roman"/>
                <w:color w:val="000000"/>
                <w:kern w:val="0"/>
                <w:sz w:val="21"/>
                <w:szCs w:val="21"/>
              </w:rPr>
            </w:pPr>
            <w:r>
              <w:rPr>
                <w:rFonts w:hAnsi="宋体"/>
                <w:color w:val="000000"/>
                <w:kern w:val="0"/>
                <w:sz w:val="21"/>
                <w:szCs w:val="21"/>
                <w:lang w:val="zh-CN"/>
              </w:rPr>
              <w:t>猪舍等设施通过加装通风装置、</w:t>
            </w:r>
            <w:r>
              <w:rPr>
                <w:rFonts w:hint="eastAsia" w:hAnsi="宋体"/>
                <w:color w:val="000000"/>
                <w:kern w:val="0"/>
                <w:sz w:val="21"/>
                <w:szCs w:val="21"/>
              </w:rPr>
              <w:t>喷洒除臭剂、</w:t>
            </w:r>
            <w:r>
              <w:rPr>
                <w:rFonts w:hAnsi="宋体"/>
                <w:color w:val="000000"/>
                <w:kern w:val="0"/>
                <w:sz w:val="21"/>
                <w:szCs w:val="21"/>
                <w:lang w:val="zh-CN"/>
              </w:rPr>
              <w:t>加强周边绿化等措施来减少无组织</w:t>
            </w:r>
            <w:r>
              <w:rPr>
                <w:color w:val="000000"/>
                <w:kern w:val="0"/>
                <w:sz w:val="21"/>
                <w:szCs w:val="21"/>
                <w:lang w:val="zh-CN"/>
              </w:rPr>
              <w:t>NH</w:t>
            </w:r>
            <w:r>
              <w:rPr>
                <w:color w:val="000000"/>
                <w:kern w:val="0"/>
                <w:sz w:val="21"/>
                <w:szCs w:val="21"/>
                <w:vertAlign w:val="subscript"/>
                <w:lang w:val="zh-CN"/>
              </w:rPr>
              <w:t>3</w:t>
            </w:r>
            <w:r>
              <w:rPr>
                <w:rFonts w:hAnsi="宋体"/>
                <w:color w:val="000000"/>
                <w:kern w:val="0"/>
                <w:sz w:val="21"/>
                <w:szCs w:val="21"/>
                <w:lang w:val="zh-CN"/>
              </w:rPr>
              <w:t>、</w:t>
            </w:r>
            <w:r>
              <w:rPr>
                <w:color w:val="000000"/>
                <w:kern w:val="0"/>
                <w:sz w:val="21"/>
                <w:szCs w:val="21"/>
                <w:lang w:val="zh-CN"/>
              </w:rPr>
              <w:t>H</w:t>
            </w:r>
            <w:r>
              <w:rPr>
                <w:color w:val="000000"/>
                <w:kern w:val="0"/>
                <w:sz w:val="21"/>
                <w:szCs w:val="21"/>
                <w:vertAlign w:val="subscript"/>
                <w:lang w:val="zh-CN"/>
              </w:rPr>
              <w:t>2</w:t>
            </w:r>
            <w:r>
              <w:rPr>
                <w:color w:val="000000"/>
                <w:kern w:val="0"/>
                <w:sz w:val="21"/>
                <w:szCs w:val="21"/>
                <w:lang w:val="zh-CN"/>
              </w:rPr>
              <w:t>S</w:t>
            </w:r>
            <w:r>
              <w:rPr>
                <w:rFonts w:hint="eastAsia"/>
                <w:color w:val="000000"/>
                <w:kern w:val="0"/>
                <w:sz w:val="21"/>
                <w:szCs w:val="21"/>
              </w:rPr>
              <w:t>等恶臭</w:t>
            </w:r>
            <w:r>
              <w:rPr>
                <w:rFonts w:hAnsi="宋体"/>
                <w:color w:val="000000"/>
                <w:kern w:val="0"/>
                <w:sz w:val="21"/>
                <w:szCs w:val="21"/>
                <w:lang w:val="zh-CN"/>
              </w:rPr>
              <w:t>废气的排放量</w:t>
            </w:r>
          </w:p>
        </w:tc>
        <w:tc>
          <w:tcPr>
            <w:tcW w:w="1633" w:type="pct"/>
            <w:tcBorders>
              <w:tl2br w:val="nil"/>
              <w:tr2bl w:val="nil"/>
            </w:tcBorders>
            <w:vAlign w:val="center"/>
          </w:tcPr>
          <w:p w14:paraId="47002049">
            <w:pPr>
              <w:adjustRightInd w:val="0"/>
              <w:snapToGrid w:val="0"/>
              <w:spacing w:line="32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满足环境管理要求</w:t>
            </w:r>
          </w:p>
        </w:tc>
        <w:tc>
          <w:tcPr>
            <w:tcW w:w="709" w:type="pct"/>
            <w:tcBorders>
              <w:tl2br w:val="nil"/>
              <w:tr2bl w:val="nil"/>
            </w:tcBorders>
            <w:vAlign w:val="center"/>
          </w:tcPr>
          <w:p w14:paraId="46A4BDE3">
            <w:pPr>
              <w:adjustRightInd w:val="0"/>
              <w:snapToGrid w:val="0"/>
              <w:spacing w:line="300" w:lineRule="exact"/>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w:t>
            </w:r>
          </w:p>
        </w:tc>
      </w:tr>
      <w:tr w14:paraId="60F0C8A0">
        <w:tblPrEx>
          <w:tblBorders>
            <w:top w:val="single" w:color="auto" w:sz="6" w:space="0"/>
            <w:left w:val="none" w:color="auto" w:sz="0" w:space="0"/>
            <w:bottom w:val="single" w:color="auto" w:sz="6"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97" w:hRule="atLeast"/>
          <w:jc w:val="center"/>
        </w:trPr>
        <w:tc>
          <w:tcPr>
            <w:tcW w:w="556" w:type="pct"/>
            <w:vMerge w:val="continue"/>
            <w:tcBorders>
              <w:tl2br w:val="nil"/>
              <w:tr2bl w:val="nil"/>
            </w:tcBorders>
            <w:vAlign w:val="center"/>
          </w:tcPr>
          <w:p w14:paraId="54CF7D6A">
            <w:pPr>
              <w:adjustRightInd w:val="0"/>
              <w:snapToGrid w:val="0"/>
              <w:spacing w:line="300" w:lineRule="exact"/>
              <w:jc w:val="center"/>
              <w:rPr>
                <w:rFonts w:ascii="Times New Roman" w:hAnsi="Times New Roman" w:cs="Times New Roman"/>
                <w:color w:val="FF0000"/>
                <w:kern w:val="0"/>
                <w:sz w:val="21"/>
                <w:szCs w:val="21"/>
              </w:rPr>
            </w:pPr>
          </w:p>
        </w:tc>
        <w:tc>
          <w:tcPr>
            <w:tcW w:w="600" w:type="pct"/>
            <w:tcBorders>
              <w:tl2br w:val="nil"/>
              <w:tr2bl w:val="nil"/>
            </w:tcBorders>
            <w:vAlign w:val="center"/>
          </w:tcPr>
          <w:p w14:paraId="6C767F85">
            <w:pPr>
              <w:adjustRightInd w:val="0"/>
              <w:snapToGrid w:val="0"/>
              <w:spacing w:line="32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废水处理</w:t>
            </w:r>
          </w:p>
        </w:tc>
        <w:tc>
          <w:tcPr>
            <w:tcW w:w="1501" w:type="pct"/>
            <w:tcBorders>
              <w:tl2br w:val="nil"/>
              <w:tr2bl w:val="nil"/>
            </w:tcBorders>
            <w:vAlign w:val="center"/>
          </w:tcPr>
          <w:p w14:paraId="67D0F1EE">
            <w:pPr>
              <w:adjustRightInd w:val="0"/>
              <w:snapToGrid w:val="0"/>
              <w:spacing w:line="32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污水处理站</w:t>
            </w:r>
            <w:r>
              <w:rPr>
                <w:rFonts w:hint="eastAsia" w:ascii="Times New Roman" w:hAnsi="Times New Roman" w:cs="Times New Roman"/>
                <w:color w:val="000000"/>
                <w:kern w:val="0"/>
                <w:sz w:val="21"/>
                <w:szCs w:val="21"/>
              </w:rPr>
              <w:t>（采用格栅+沉砂池+固液分离+水解酸化+厌氧反应工艺，处理能力为200m</w:t>
            </w:r>
            <w:r>
              <w:rPr>
                <w:rFonts w:hint="eastAsia" w:ascii="Times New Roman" w:hAnsi="Times New Roman" w:cs="Times New Roman"/>
                <w:color w:val="000000"/>
                <w:kern w:val="0"/>
                <w:sz w:val="21"/>
                <w:szCs w:val="21"/>
                <w:vertAlign w:val="superscript"/>
              </w:rPr>
              <w:t>3</w:t>
            </w:r>
            <w:r>
              <w:rPr>
                <w:rFonts w:hint="eastAsia" w:ascii="Times New Roman" w:hAnsi="Times New Roman" w:cs="Times New Roman"/>
                <w:color w:val="000000"/>
                <w:kern w:val="0"/>
                <w:sz w:val="21"/>
                <w:szCs w:val="21"/>
              </w:rPr>
              <w:t>/d）</w:t>
            </w:r>
          </w:p>
        </w:tc>
        <w:tc>
          <w:tcPr>
            <w:tcW w:w="1633" w:type="pct"/>
            <w:tcBorders>
              <w:tl2br w:val="nil"/>
              <w:tr2bl w:val="nil"/>
            </w:tcBorders>
            <w:vAlign w:val="center"/>
          </w:tcPr>
          <w:p w14:paraId="00241DD0">
            <w:pPr>
              <w:adjustRightInd w:val="0"/>
              <w:snapToGrid w:val="0"/>
              <w:spacing w:line="320" w:lineRule="exact"/>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通过厂区污水处理站处理后排放至稳定塘，作为项目配套农田灌溉用水</w:t>
            </w:r>
          </w:p>
        </w:tc>
        <w:tc>
          <w:tcPr>
            <w:tcW w:w="709" w:type="pct"/>
            <w:tcBorders>
              <w:tl2br w:val="nil"/>
              <w:tr2bl w:val="nil"/>
            </w:tcBorders>
            <w:vAlign w:val="center"/>
          </w:tcPr>
          <w:p w14:paraId="0454923E">
            <w:pPr>
              <w:adjustRightInd w:val="0"/>
              <w:snapToGrid w:val="0"/>
              <w:spacing w:line="300" w:lineRule="exact"/>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拆除</w:t>
            </w:r>
          </w:p>
        </w:tc>
      </w:tr>
      <w:tr w14:paraId="5891AB8F">
        <w:tblPrEx>
          <w:tblBorders>
            <w:top w:val="single" w:color="auto" w:sz="6" w:space="0"/>
            <w:left w:val="none" w:color="auto" w:sz="0" w:space="0"/>
            <w:bottom w:val="single" w:color="auto" w:sz="6"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97" w:hRule="atLeast"/>
          <w:jc w:val="center"/>
        </w:trPr>
        <w:tc>
          <w:tcPr>
            <w:tcW w:w="556" w:type="pct"/>
            <w:vMerge w:val="continue"/>
            <w:tcBorders>
              <w:tl2br w:val="nil"/>
              <w:tr2bl w:val="nil"/>
            </w:tcBorders>
            <w:vAlign w:val="center"/>
          </w:tcPr>
          <w:p w14:paraId="1A83E99F">
            <w:pPr>
              <w:adjustRightInd w:val="0"/>
              <w:snapToGrid w:val="0"/>
              <w:spacing w:line="300" w:lineRule="exact"/>
              <w:jc w:val="center"/>
              <w:rPr>
                <w:rFonts w:ascii="Times New Roman" w:hAnsi="Times New Roman" w:cs="Times New Roman"/>
                <w:color w:val="FF0000"/>
                <w:kern w:val="0"/>
                <w:sz w:val="21"/>
                <w:szCs w:val="21"/>
              </w:rPr>
            </w:pPr>
          </w:p>
        </w:tc>
        <w:tc>
          <w:tcPr>
            <w:tcW w:w="600" w:type="pct"/>
            <w:tcBorders>
              <w:tl2br w:val="nil"/>
              <w:tr2bl w:val="nil"/>
            </w:tcBorders>
            <w:vAlign w:val="center"/>
          </w:tcPr>
          <w:p w14:paraId="3302A795">
            <w:pPr>
              <w:adjustRightInd w:val="0"/>
              <w:snapToGrid w:val="0"/>
              <w:spacing w:line="32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固废处置</w:t>
            </w:r>
          </w:p>
        </w:tc>
        <w:tc>
          <w:tcPr>
            <w:tcW w:w="1501" w:type="pct"/>
            <w:tcBorders>
              <w:tl2br w:val="nil"/>
              <w:tr2bl w:val="nil"/>
            </w:tcBorders>
            <w:vAlign w:val="center"/>
          </w:tcPr>
          <w:p w14:paraId="2F102C59">
            <w:pPr>
              <w:adjustRightInd w:val="0"/>
              <w:snapToGrid w:val="0"/>
              <w:spacing w:line="32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固废堆场</w:t>
            </w:r>
            <w:r>
              <w:rPr>
                <w:rFonts w:hint="eastAsia" w:ascii="Times New Roman" w:hAnsi="Times New Roman" w:cs="Times New Roman"/>
                <w:color w:val="000000"/>
                <w:kern w:val="0"/>
                <w:sz w:val="21"/>
                <w:szCs w:val="21"/>
              </w:rPr>
              <w:t>，委托相关单位合理处置</w:t>
            </w:r>
          </w:p>
        </w:tc>
        <w:tc>
          <w:tcPr>
            <w:tcW w:w="1633" w:type="pct"/>
            <w:tcBorders>
              <w:tl2br w:val="nil"/>
              <w:tr2bl w:val="nil"/>
            </w:tcBorders>
            <w:vAlign w:val="center"/>
          </w:tcPr>
          <w:p w14:paraId="7AB72116">
            <w:pPr>
              <w:adjustRightInd w:val="0"/>
              <w:snapToGrid w:val="0"/>
              <w:spacing w:line="320" w:lineRule="exact"/>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固废零排放</w:t>
            </w:r>
          </w:p>
        </w:tc>
        <w:tc>
          <w:tcPr>
            <w:tcW w:w="709" w:type="pct"/>
            <w:tcBorders>
              <w:tl2br w:val="nil"/>
              <w:tr2bl w:val="nil"/>
            </w:tcBorders>
            <w:vAlign w:val="center"/>
          </w:tcPr>
          <w:p w14:paraId="11F6ED55">
            <w:pPr>
              <w:adjustRightInd w:val="0"/>
              <w:snapToGrid w:val="0"/>
              <w:spacing w:line="300" w:lineRule="exact"/>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w:t>
            </w:r>
          </w:p>
        </w:tc>
      </w:tr>
      <w:tr w14:paraId="0724E352">
        <w:tblPrEx>
          <w:tblBorders>
            <w:top w:val="single" w:color="auto" w:sz="6" w:space="0"/>
            <w:left w:val="none" w:color="auto" w:sz="0" w:space="0"/>
            <w:bottom w:val="single" w:color="auto" w:sz="6"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97" w:hRule="atLeast"/>
          <w:jc w:val="center"/>
        </w:trPr>
        <w:tc>
          <w:tcPr>
            <w:tcW w:w="556" w:type="pct"/>
            <w:vMerge w:val="continue"/>
            <w:tcBorders>
              <w:tl2br w:val="nil"/>
              <w:tr2bl w:val="nil"/>
            </w:tcBorders>
            <w:vAlign w:val="center"/>
          </w:tcPr>
          <w:p w14:paraId="030828E1">
            <w:pPr>
              <w:adjustRightInd w:val="0"/>
              <w:snapToGrid w:val="0"/>
              <w:spacing w:line="300" w:lineRule="exact"/>
              <w:jc w:val="center"/>
              <w:rPr>
                <w:rFonts w:ascii="Times New Roman" w:hAnsi="Times New Roman" w:cs="Times New Roman"/>
                <w:color w:val="FF0000"/>
                <w:kern w:val="0"/>
                <w:sz w:val="21"/>
                <w:szCs w:val="21"/>
              </w:rPr>
            </w:pPr>
          </w:p>
        </w:tc>
        <w:tc>
          <w:tcPr>
            <w:tcW w:w="600" w:type="pct"/>
            <w:tcBorders>
              <w:tl2br w:val="nil"/>
              <w:tr2bl w:val="nil"/>
            </w:tcBorders>
            <w:vAlign w:val="center"/>
          </w:tcPr>
          <w:p w14:paraId="564E3142">
            <w:pPr>
              <w:adjustRightInd w:val="0"/>
              <w:snapToGrid w:val="0"/>
              <w:spacing w:line="32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噪声处理</w:t>
            </w:r>
          </w:p>
        </w:tc>
        <w:tc>
          <w:tcPr>
            <w:tcW w:w="1501" w:type="pct"/>
            <w:tcBorders>
              <w:tl2br w:val="nil"/>
              <w:tr2bl w:val="nil"/>
            </w:tcBorders>
            <w:vAlign w:val="center"/>
          </w:tcPr>
          <w:p w14:paraId="1DECEBC9">
            <w:pPr>
              <w:tabs>
                <w:tab w:val="left" w:pos="360"/>
              </w:tabs>
              <w:snapToGrid w:val="0"/>
              <w:spacing w:line="320" w:lineRule="exact"/>
              <w:jc w:val="center"/>
              <w:outlineLvl w:val="6"/>
              <w:rPr>
                <w:rFonts w:ascii="Times New Roman" w:hAnsi="Times New Roman" w:cs="Times New Roman"/>
                <w:color w:val="000000"/>
                <w:kern w:val="0"/>
                <w:sz w:val="21"/>
                <w:szCs w:val="21"/>
              </w:rPr>
            </w:pPr>
            <w:r>
              <w:rPr>
                <w:rFonts w:ascii="Times New Roman" w:hAnsi="Times New Roman" w:cs="Times New Roman"/>
                <w:color w:val="000000"/>
                <w:sz w:val="21"/>
                <w:szCs w:val="21"/>
              </w:rPr>
              <w:t>通过厂房隔声、加强猪舍周围绿化等降噪设施来降低猪舍噪声，通过加装减振垫等降噪设施来减轻风机、泵类等机械噪声</w:t>
            </w:r>
          </w:p>
        </w:tc>
        <w:tc>
          <w:tcPr>
            <w:tcW w:w="1633" w:type="pct"/>
            <w:tcBorders>
              <w:tl2br w:val="nil"/>
              <w:tr2bl w:val="nil"/>
            </w:tcBorders>
            <w:vAlign w:val="center"/>
          </w:tcPr>
          <w:p w14:paraId="579A94E7">
            <w:pPr>
              <w:adjustRightInd w:val="0"/>
              <w:snapToGrid w:val="0"/>
              <w:spacing w:line="320" w:lineRule="exact"/>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厂界噪声达标</w:t>
            </w:r>
          </w:p>
        </w:tc>
        <w:tc>
          <w:tcPr>
            <w:tcW w:w="709" w:type="pct"/>
            <w:tcBorders>
              <w:tl2br w:val="nil"/>
              <w:tr2bl w:val="nil"/>
            </w:tcBorders>
            <w:vAlign w:val="center"/>
          </w:tcPr>
          <w:p w14:paraId="3CEFB9DD">
            <w:pPr>
              <w:adjustRightInd w:val="0"/>
              <w:snapToGrid w:val="0"/>
              <w:spacing w:line="300" w:lineRule="exact"/>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w:t>
            </w:r>
          </w:p>
        </w:tc>
      </w:tr>
      <w:tr w14:paraId="0BCF4308">
        <w:tblPrEx>
          <w:tblBorders>
            <w:top w:val="single" w:color="auto" w:sz="6" w:space="0"/>
            <w:left w:val="none" w:color="auto" w:sz="0" w:space="0"/>
            <w:bottom w:val="single" w:color="auto" w:sz="6"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97" w:hRule="atLeast"/>
          <w:jc w:val="center"/>
        </w:trPr>
        <w:tc>
          <w:tcPr>
            <w:tcW w:w="556" w:type="pct"/>
            <w:vMerge w:val="continue"/>
            <w:tcBorders>
              <w:tl2br w:val="nil"/>
              <w:tr2bl w:val="nil"/>
            </w:tcBorders>
            <w:vAlign w:val="center"/>
          </w:tcPr>
          <w:p w14:paraId="2B6E47C7">
            <w:pPr>
              <w:adjustRightInd w:val="0"/>
              <w:snapToGrid w:val="0"/>
              <w:spacing w:line="300" w:lineRule="exact"/>
              <w:jc w:val="center"/>
              <w:rPr>
                <w:rFonts w:ascii="Times New Roman" w:hAnsi="Times New Roman" w:cs="Times New Roman"/>
                <w:color w:val="FF0000"/>
                <w:kern w:val="0"/>
                <w:sz w:val="21"/>
                <w:szCs w:val="21"/>
              </w:rPr>
            </w:pPr>
          </w:p>
        </w:tc>
        <w:tc>
          <w:tcPr>
            <w:tcW w:w="600" w:type="pct"/>
            <w:tcBorders>
              <w:tl2br w:val="nil"/>
              <w:tr2bl w:val="nil"/>
            </w:tcBorders>
            <w:vAlign w:val="center"/>
          </w:tcPr>
          <w:p w14:paraId="21DB2C53">
            <w:pPr>
              <w:adjustRightInd w:val="0"/>
              <w:snapToGrid w:val="0"/>
              <w:spacing w:line="320" w:lineRule="exact"/>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其他</w:t>
            </w:r>
          </w:p>
        </w:tc>
        <w:tc>
          <w:tcPr>
            <w:tcW w:w="1501" w:type="pct"/>
            <w:tcBorders>
              <w:tl2br w:val="nil"/>
              <w:tr2bl w:val="nil"/>
            </w:tcBorders>
            <w:vAlign w:val="center"/>
          </w:tcPr>
          <w:p w14:paraId="4507175F">
            <w:pPr>
              <w:tabs>
                <w:tab w:val="left" w:pos="360"/>
              </w:tabs>
              <w:snapToGrid w:val="0"/>
              <w:spacing w:line="320" w:lineRule="exact"/>
              <w:jc w:val="center"/>
              <w:outlineLvl w:val="6"/>
              <w:rPr>
                <w:rFonts w:ascii="Times New Roman" w:hAnsi="Times New Roman" w:cs="Times New Roman"/>
                <w:color w:val="000000"/>
                <w:sz w:val="21"/>
                <w:szCs w:val="21"/>
              </w:rPr>
            </w:pPr>
            <w:r>
              <w:rPr>
                <w:rFonts w:hint="eastAsia" w:ascii="Times New Roman" w:hAnsi="Times New Roman" w:cs="Times New Roman"/>
                <w:color w:val="000000"/>
                <w:sz w:val="21"/>
                <w:szCs w:val="21"/>
              </w:rPr>
              <w:t>1个50m</w:t>
            </w:r>
            <w:r>
              <w:rPr>
                <w:rFonts w:hint="eastAsia" w:ascii="Times New Roman" w:hAnsi="Times New Roman" w:cs="Times New Roman"/>
                <w:color w:val="000000"/>
                <w:sz w:val="21"/>
                <w:szCs w:val="21"/>
                <w:vertAlign w:val="superscript"/>
              </w:rPr>
              <w:t>3</w:t>
            </w:r>
            <w:r>
              <w:rPr>
                <w:rFonts w:hint="eastAsia" w:ascii="Times New Roman" w:hAnsi="Times New Roman" w:cs="Times New Roman"/>
                <w:color w:val="000000"/>
                <w:sz w:val="21"/>
                <w:szCs w:val="21"/>
              </w:rPr>
              <w:t>消毒池、1座容积60m</w:t>
            </w:r>
            <w:r>
              <w:rPr>
                <w:rFonts w:hint="eastAsia" w:ascii="Times New Roman" w:hAnsi="Times New Roman" w:cs="Times New Roman"/>
                <w:color w:val="000000"/>
                <w:sz w:val="21"/>
                <w:szCs w:val="21"/>
                <w:vertAlign w:val="superscript"/>
              </w:rPr>
              <w:t>3</w:t>
            </w:r>
            <w:r>
              <w:rPr>
                <w:rFonts w:hint="eastAsia" w:ascii="Times New Roman" w:hAnsi="Times New Roman" w:cs="Times New Roman"/>
                <w:color w:val="000000"/>
                <w:sz w:val="21"/>
                <w:szCs w:val="21"/>
              </w:rPr>
              <w:t>冷库、1个容积1500m</w:t>
            </w:r>
            <w:r>
              <w:rPr>
                <w:rFonts w:hint="eastAsia" w:ascii="Times New Roman" w:hAnsi="Times New Roman" w:cs="Times New Roman"/>
                <w:color w:val="000000"/>
                <w:sz w:val="21"/>
                <w:szCs w:val="21"/>
                <w:vertAlign w:val="superscript"/>
              </w:rPr>
              <w:t>3</w:t>
            </w:r>
            <w:r>
              <w:rPr>
                <w:rFonts w:hint="eastAsia" w:ascii="Times New Roman" w:hAnsi="Times New Roman" w:cs="Times New Roman"/>
                <w:color w:val="000000"/>
                <w:sz w:val="21"/>
                <w:szCs w:val="21"/>
              </w:rPr>
              <w:t>沼液池</w:t>
            </w:r>
          </w:p>
        </w:tc>
        <w:tc>
          <w:tcPr>
            <w:tcW w:w="1633" w:type="pct"/>
            <w:tcBorders>
              <w:tl2br w:val="nil"/>
              <w:tr2bl w:val="nil"/>
            </w:tcBorders>
            <w:vAlign w:val="center"/>
          </w:tcPr>
          <w:p w14:paraId="6C29E15C">
            <w:pPr>
              <w:adjustRightInd w:val="0"/>
              <w:snapToGrid w:val="0"/>
              <w:spacing w:line="320" w:lineRule="exact"/>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满足使用要求</w:t>
            </w:r>
          </w:p>
        </w:tc>
        <w:tc>
          <w:tcPr>
            <w:tcW w:w="709" w:type="pct"/>
            <w:tcBorders>
              <w:tl2br w:val="nil"/>
              <w:tr2bl w:val="nil"/>
            </w:tcBorders>
            <w:vAlign w:val="center"/>
          </w:tcPr>
          <w:p w14:paraId="6D3D0690">
            <w:pPr>
              <w:adjustRightInd w:val="0"/>
              <w:snapToGrid w:val="0"/>
              <w:spacing w:line="300" w:lineRule="exact"/>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拆除</w:t>
            </w:r>
          </w:p>
        </w:tc>
      </w:tr>
    </w:tbl>
    <w:p w14:paraId="1187FBAC">
      <w:pPr>
        <w:pStyle w:val="7"/>
        <w:spacing w:line="500" w:lineRule="exact"/>
      </w:pPr>
      <w:r>
        <w:rPr>
          <w:rFonts w:hint="eastAsia"/>
        </w:rPr>
        <w:t>3</w:t>
      </w:r>
      <w:r>
        <w:t>.</w:t>
      </w:r>
      <w:r>
        <w:rPr>
          <w:rFonts w:hint="eastAsia"/>
        </w:rPr>
        <w:t>1</w:t>
      </w:r>
      <w:r>
        <w:t>.</w:t>
      </w:r>
      <w:r>
        <w:rPr>
          <w:rFonts w:hint="eastAsia"/>
        </w:rPr>
        <w:t>2关于以新带老的说明</w:t>
      </w:r>
    </w:p>
    <w:p w14:paraId="7328D849">
      <w:pPr>
        <w:adjustRightInd w:val="0"/>
        <w:snapToGrid w:val="0"/>
        <w:spacing w:line="500" w:lineRule="exact"/>
        <w:ind w:firstLine="480" w:firstLineChars="200"/>
        <w:rPr>
          <w:rFonts w:ascii="Times New Roman" w:hAnsi="Times New Roman"/>
          <w:szCs w:val="24"/>
        </w:rPr>
      </w:pPr>
      <w:r>
        <w:rPr>
          <w:rFonts w:ascii="Times New Roman"/>
          <w:szCs w:val="24"/>
        </w:rPr>
        <w:t>由于用地范围内原</w:t>
      </w:r>
      <w:r>
        <w:rPr>
          <w:rFonts w:hint="eastAsia" w:ascii="Times New Roman" w:hAnsi="Times New Roman" w:eastAsia="宋体" w:cs="Times New Roman"/>
          <w:color w:val="000000"/>
          <w:szCs w:val="24"/>
        </w:rPr>
        <w:t>生猪养殖场</w:t>
      </w:r>
      <w:r>
        <w:rPr>
          <w:rFonts w:ascii="Times New Roman"/>
          <w:szCs w:val="24"/>
        </w:rPr>
        <w:t>已</w:t>
      </w:r>
      <w:r>
        <w:rPr>
          <w:rFonts w:hint="eastAsia" w:ascii="Times New Roman"/>
          <w:szCs w:val="24"/>
        </w:rPr>
        <w:t>暂停养殖</w:t>
      </w:r>
      <w:r>
        <w:rPr>
          <w:rFonts w:ascii="Times New Roman"/>
          <w:szCs w:val="24"/>
        </w:rPr>
        <w:t>，</w:t>
      </w:r>
      <w:r>
        <w:rPr>
          <w:rFonts w:hint="eastAsia" w:ascii="Times New Roman"/>
          <w:szCs w:val="24"/>
        </w:rPr>
        <w:t>设备已拆除，</w:t>
      </w:r>
      <w:r>
        <w:rPr>
          <w:rFonts w:ascii="Times New Roman" w:hAnsi="Times New Roman" w:eastAsia="宋体" w:cs="Times New Roman"/>
          <w:color w:val="000000"/>
          <w:szCs w:val="24"/>
        </w:rPr>
        <w:t>水、气、声等污染已消除，现场无遗留固废等污染物</w:t>
      </w:r>
      <w:r>
        <w:rPr>
          <w:rFonts w:hint="eastAsia" w:ascii="Times New Roman" w:hAnsi="Times New Roman" w:eastAsia="宋体" w:cs="Times New Roman"/>
          <w:color w:val="000000"/>
          <w:szCs w:val="24"/>
        </w:rPr>
        <w:t>，</w:t>
      </w:r>
      <w:r>
        <w:rPr>
          <w:rFonts w:ascii="Times New Roman"/>
          <w:szCs w:val="24"/>
        </w:rPr>
        <w:t>不存在水、气、固废等环境</w:t>
      </w:r>
      <w:r>
        <w:rPr>
          <w:rFonts w:hint="eastAsia" w:ascii="Times New Roman"/>
          <w:szCs w:val="24"/>
        </w:rPr>
        <w:t>遗留</w:t>
      </w:r>
      <w:r>
        <w:rPr>
          <w:rFonts w:ascii="Times New Roman"/>
          <w:szCs w:val="24"/>
        </w:rPr>
        <w:t>问题</w:t>
      </w:r>
      <w:r>
        <w:rPr>
          <w:rFonts w:hint="eastAsia" w:ascii="Times New Roman"/>
          <w:szCs w:val="24"/>
        </w:rPr>
        <w:t>及以新带老的内容</w:t>
      </w:r>
      <w:r>
        <w:rPr>
          <w:rFonts w:ascii="Times New Roman"/>
          <w:szCs w:val="24"/>
        </w:rPr>
        <w:t>，本项目产生的环境污染问题将按照新建项目的特征与要求进行建设。</w:t>
      </w:r>
    </w:p>
    <w:p w14:paraId="6797F162"/>
    <w:p w14:paraId="60DE520D"/>
    <w:p w14:paraId="0D727AEE"/>
    <w:p w14:paraId="4FE33D62"/>
    <w:p w14:paraId="5E4208CA"/>
    <w:p w14:paraId="15DF6A4B"/>
    <w:p w14:paraId="5AAFF0F8"/>
    <w:p w14:paraId="682C1962"/>
    <w:p w14:paraId="756DEB1A"/>
    <w:p w14:paraId="52D21716"/>
    <w:p w14:paraId="0E2A3A65"/>
    <w:p w14:paraId="3C254207">
      <w:pPr>
        <w:pStyle w:val="4"/>
        <w:spacing w:after="0" w:line="480" w:lineRule="exact"/>
        <w:jc w:val="both"/>
      </w:pPr>
      <w:bookmarkStart w:id="33" w:name="_Toc24992"/>
      <w:r>
        <w:rPr>
          <w:rFonts w:hint="eastAsia"/>
        </w:rPr>
        <w:t>3</w:t>
      </w:r>
      <w:r>
        <w:t>.</w:t>
      </w:r>
      <w:r>
        <w:rPr>
          <w:rFonts w:hint="eastAsia"/>
        </w:rPr>
        <w:t>2</w:t>
      </w:r>
      <w:r>
        <w:t xml:space="preserve"> </w:t>
      </w:r>
      <w:r>
        <w:rPr>
          <w:rFonts w:hint="eastAsia"/>
        </w:rPr>
        <w:t>建设项目概况</w:t>
      </w:r>
      <w:bookmarkEnd w:id="33"/>
    </w:p>
    <w:p w14:paraId="06955850">
      <w:pPr>
        <w:pStyle w:val="7"/>
        <w:spacing w:line="480" w:lineRule="exact"/>
      </w:pPr>
      <w:r>
        <w:rPr>
          <w:rFonts w:hint="eastAsia"/>
        </w:rPr>
        <w:t>3</w:t>
      </w:r>
      <w:r>
        <w:t>.2.1</w:t>
      </w:r>
      <w:r>
        <w:rPr>
          <w:rFonts w:hint="eastAsia"/>
        </w:rPr>
        <w:t>项目名称、建设性质、建设单位及投资</w:t>
      </w:r>
    </w:p>
    <w:p w14:paraId="63EEFAC3">
      <w:pPr>
        <w:spacing w:line="480" w:lineRule="exact"/>
        <w:ind w:firstLine="480" w:firstLineChars="200"/>
      </w:pPr>
      <w:r>
        <w:rPr>
          <w:rFonts w:hint="eastAsia"/>
        </w:rPr>
        <w:t>建设单位：泗阳县恒邦农业发展有限公司；</w:t>
      </w:r>
    </w:p>
    <w:p w14:paraId="792E3275">
      <w:pPr>
        <w:spacing w:line="480" w:lineRule="exact"/>
        <w:ind w:firstLine="480" w:firstLineChars="200"/>
      </w:pPr>
      <w:r>
        <w:rPr>
          <w:rFonts w:hint="eastAsia"/>
        </w:rPr>
        <w:t>项目名称：年出栏100万只肉鸡养殖项目；</w:t>
      </w:r>
    </w:p>
    <w:p w14:paraId="262A0742">
      <w:pPr>
        <w:spacing w:line="480" w:lineRule="exact"/>
        <w:ind w:firstLine="480" w:firstLineChars="200"/>
      </w:pPr>
      <w:r>
        <w:rPr>
          <w:rFonts w:hint="eastAsia"/>
        </w:rPr>
        <w:t>建设性质：新建；</w:t>
      </w:r>
    </w:p>
    <w:p w14:paraId="68511101">
      <w:pPr>
        <w:spacing w:line="480" w:lineRule="exact"/>
        <w:ind w:firstLine="480" w:firstLineChars="200"/>
      </w:pPr>
      <w:r>
        <w:rPr>
          <w:rFonts w:hint="eastAsia"/>
        </w:rPr>
        <w:t>行业类别：A0321 鸡的饲养；</w:t>
      </w:r>
    </w:p>
    <w:p w14:paraId="152AC7FB">
      <w:pPr>
        <w:spacing w:line="480" w:lineRule="exact"/>
        <w:ind w:firstLine="480" w:firstLineChars="200"/>
      </w:pPr>
      <w:r>
        <w:rPr>
          <w:rFonts w:hint="eastAsia"/>
        </w:rPr>
        <w:t>建设地点：宿迁市泗阳县穿城镇向阳村四组；</w:t>
      </w:r>
    </w:p>
    <w:p w14:paraId="0FF6B458">
      <w:pPr>
        <w:spacing w:line="480" w:lineRule="exact"/>
        <w:ind w:firstLine="480" w:firstLineChars="200"/>
      </w:pPr>
      <w:r>
        <w:rPr>
          <w:rFonts w:hint="eastAsia"/>
        </w:rPr>
        <w:t>生产规模：年出栏100万只肉鸡；</w:t>
      </w:r>
    </w:p>
    <w:p w14:paraId="3020C68F">
      <w:pPr>
        <w:spacing w:line="480" w:lineRule="exact"/>
        <w:ind w:firstLine="480" w:firstLineChars="200"/>
      </w:pPr>
      <w:r>
        <w:rPr>
          <w:rFonts w:hint="eastAsia"/>
        </w:rPr>
        <w:t>投资总额：项目总投资1500万元，</w:t>
      </w:r>
      <w:r>
        <w:rPr>
          <w:rFonts w:hint="eastAsia"/>
          <w:color w:val="000000" w:themeColor="text1"/>
          <w14:textFill>
            <w14:solidFill>
              <w14:schemeClr w14:val="tx1"/>
            </w14:solidFill>
          </w14:textFill>
        </w:rPr>
        <w:t>其中环保投资180万元，占总投资的12%；</w:t>
      </w:r>
    </w:p>
    <w:p w14:paraId="594A0C24">
      <w:pPr>
        <w:spacing w:line="480" w:lineRule="exact"/>
        <w:ind w:firstLine="480" w:firstLineChars="200"/>
      </w:pPr>
      <w:r>
        <w:rPr>
          <w:rFonts w:hint="eastAsia"/>
        </w:rPr>
        <w:t>占地面积：项目全厂占地面积</w:t>
      </w:r>
      <w:r>
        <w:rPr>
          <w:rFonts w:hint="eastAsia"/>
          <w:color w:val="000000" w:themeColor="text1"/>
          <w14:textFill>
            <w14:solidFill>
              <w14:schemeClr w14:val="tx1"/>
            </w14:solidFill>
          </w14:textFill>
        </w:rPr>
        <w:t>49053m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（约73.5795</w:t>
      </w:r>
      <w:r>
        <w:rPr>
          <w:color w:val="000000" w:themeColor="text1"/>
          <w14:textFill>
            <w14:solidFill>
              <w14:schemeClr w14:val="tx1"/>
            </w14:solidFill>
          </w14:textFill>
        </w:rPr>
        <w:t>亩</w:t>
      </w:r>
      <w:r>
        <w:rPr>
          <w:rFonts w:hint="eastAsia"/>
          <w:color w:val="000000" w:themeColor="text1"/>
          <w14:textFill>
            <w14:solidFill>
              <w14:schemeClr w14:val="tx1"/>
            </w14:solidFill>
          </w14:textFill>
        </w:rPr>
        <w:t>），本项目用地面积约25333.4m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（约38亩），其余为发展备用地</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根据本项目建成后市场情况，确定是否用于鸡场扩建用地</w:t>
      </w:r>
      <w:r>
        <w:rPr>
          <w:rFonts w:hint="eastAsia"/>
          <w:color w:val="000000" w:themeColor="text1"/>
          <w:lang w:eastAsia="zh-CN"/>
          <w14:textFill>
            <w14:solidFill>
              <w14:schemeClr w14:val="tx1"/>
            </w14:solidFill>
          </w14:textFill>
        </w:rPr>
        <w:t>）</w:t>
      </w:r>
      <w:r>
        <w:rPr>
          <w:rFonts w:hint="eastAsia" w:asciiTheme="minorEastAsia" w:hAnsiTheme="minorEastAsia"/>
        </w:rPr>
        <w:t>；</w:t>
      </w:r>
    </w:p>
    <w:p w14:paraId="572DF9BC">
      <w:pPr>
        <w:spacing w:line="480" w:lineRule="exact"/>
        <w:ind w:firstLine="480" w:firstLineChars="200"/>
      </w:pPr>
      <w:r>
        <w:rPr>
          <w:rFonts w:hint="eastAsia"/>
        </w:rPr>
        <w:t>劳动定员：本项目定员20人。</w:t>
      </w:r>
    </w:p>
    <w:p w14:paraId="7C197E02">
      <w:pPr>
        <w:spacing w:line="480" w:lineRule="exact"/>
        <w:ind w:firstLine="480" w:firstLineChars="200"/>
      </w:pPr>
      <w:r>
        <w:rPr>
          <w:rFonts w:hint="eastAsia"/>
        </w:rPr>
        <w:t>工作制度：本项目年工作日300天，实行3班制，每班8小时，年工作7200小时。</w:t>
      </w:r>
    </w:p>
    <w:p w14:paraId="45287397">
      <w:pPr>
        <w:pStyle w:val="7"/>
        <w:spacing w:line="480" w:lineRule="exact"/>
      </w:pPr>
      <w:r>
        <w:rPr>
          <w:rFonts w:hint="eastAsia"/>
        </w:rPr>
        <w:t>3</w:t>
      </w:r>
      <w:r>
        <w:t>.2.</w:t>
      </w:r>
      <w:r>
        <w:rPr>
          <w:rFonts w:hint="eastAsia"/>
        </w:rPr>
        <w:t>2建设内容及规模</w:t>
      </w:r>
    </w:p>
    <w:p w14:paraId="073A43AF">
      <w:pPr>
        <w:pStyle w:val="8"/>
        <w:spacing w:line="480" w:lineRule="exact"/>
      </w:pPr>
      <w:r>
        <w:rPr>
          <w:rFonts w:hint="eastAsia"/>
        </w:rPr>
        <w:t>3.2.2.1</w:t>
      </w:r>
      <w:r>
        <w:t xml:space="preserve"> </w:t>
      </w:r>
      <w:r>
        <w:rPr>
          <w:rFonts w:hint="eastAsia"/>
        </w:rPr>
        <w:t>养殖规模及 产品方案</w:t>
      </w:r>
    </w:p>
    <w:p w14:paraId="3BA293D0">
      <w:pPr>
        <w:autoSpaceDE w:val="0"/>
        <w:autoSpaceDN w:val="0"/>
        <w:adjustRightInd w:val="0"/>
        <w:spacing w:line="480" w:lineRule="exact"/>
        <w:ind w:firstLine="480"/>
      </w:pPr>
      <w:r>
        <w:t>本项目进行肉鸡养殖，肉鸡养殖周期</w:t>
      </w:r>
      <w:r>
        <w:rPr>
          <w:rFonts w:hint="eastAsia"/>
        </w:rPr>
        <w:t>45</w:t>
      </w:r>
      <w:r>
        <w:t>天，鸡舍空置</w:t>
      </w:r>
      <w:r>
        <w:rPr>
          <w:rFonts w:hint="eastAsia"/>
        </w:rPr>
        <w:t>15</w:t>
      </w:r>
      <w:r>
        <w:t>天，以</w:t>
      </w:r>
      <w:r>
        <w:rPr>
          <w:rFonts w:hint="eastAsia"/>
        </w:rPr>
        <w:t>60</w:t>
      </w:r>
      <w:r>
        <w:t>天为一栏进行肉鸡养殖，年养殖肉鸡</w:t>
      </w:r>
      <w:r>
        <w:rPr>
          <w:rFonts w:hint="eastAsia"/>
        </w:rPr>
        <w:t>5</w:t>
      </w:r>
      <w:r>
        <w:t>栏</w:t>
      </w:r>
      <w:r>
        <w:rPr>
          <w:rFonts w:hint="eastAsia"/>
        </w:rPr>
        <w:t>，每栏出鸡20万只</w:t>
      </w:r>
      <w:r>
        <w:t>。项目建成后将形成</w:t>
      </w:r>
      <w:r>
        <w:rPr>
          <w:rFonts w:hint="eastAsia" w:ascii="Times New Roman" w:hAnsi="Times New Roman" w:eastAsia="宋体" w:cs="Times New Roman"/>
          <w:szCs w:val="24"/>
        </w:rPr>
        <w:t>年出栏100万只肉鸡</w:t>
      </w:r>
      <w:r>
        <w:t>的</w:t>
      </w:r>
      <w:r>
        <w:rPr>
          <w:rFonts w:hint="eastAsia"/>
        </w:rPr>
        <w:t>养殖</w:t>
      </w:r>
      <w:r>
        <w:t>能力。产品方案见表3.</w:t>
      </w:r>
      <w:r>
        <w:rPr>
          <w:rFonts w:hint="eastAsia"/>
        </w:rPr>
        <w:t>2</w:t>
      </w:r>
      <w:r>
        <w:t>-1。</w:t>
      </w:r>
    </w:p>
    <w:p w14:paraId="37F6EDA0">
      <w:pPr>
        <w:pStyle w:val="94"/>
        <w:snapToGrid/>
        <w:spacing w:line="480" w:lineRule="exact"/>
        <w:rPr>
          <w:bCs/>
        </w:rPr>
      </w:pPr>
      <w:r>
        <w:rPr>
          <w:bCs/>
        </w:rPr>
        <w:t>表3.</w:t>
      </w:r>
      <w:r>
        <w:rPr>
          <w:rFonts w:hint="eastAsia"/>
          <w:bCs/>
        </w:rPr>
        <w:t>2</w:t>
      </w:r>
      <w:r>
        <w:rPr>
          <w:bCs/>
        </w:rPr>
        <w:t>-1 项目产品方案</w:t>
      </w:r>
    </w:p>
    <w:tbl>
      <w:tblPr>
        <w:tblStyle w:val="4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2393"/>
        <w:gridCol w:w="1274"/>
        <w:gridCol w:w="1552"/>
        <w:gridCol w:w="1391"/>
        <w:gridCol w:w="1759"/>
      </w:tblGrid>
      <w:tr w14:paraId="462D80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pct"/>
            <w:tcBorders>
              <w:tl2br w:val="nil"/>
              <w:tr2bl w:val="nil"/>
            </w:tcBorders>
            <w:vAlign w:val="center"/>
          </w:tcPr>
          <w:p w14:paraId="0ED9752C">
            <w:pPr>
              <w:spacing w:line="300" w:lineRule="exact"/>
              <w:jc w:val="center"/>
              <w:rPr>
                <w:sz w:val="21"/>
                <w:szCs w:val="21"/>
              </w:rPr>
            </w:pPr>
            <w:r>
              <w:rPr>
                <w:sz w:val="21"/>
                <w:szCs w:val="21"/>
              </w:rPr>
              <w:t>序号</w:t>
            </w:r>
          </w:p>
        </w:tc>
        <w:tc>
          <w:tcPr>
            <w:tcW w:w="2389" w:type="dxa"/>
            <w:tcBorders>
              <w:tl2br w:val="nil"/>
              <w:tr2bl w:val="nil"/>
            </w:tcBorders>
            <w:vAlign w:val="center"/>
          </w:tcPr>
          <w:p w14:paraId="0C438DBF">
            <w:pPr>
              <w:spacing w:line="300" w:lineRule="exact"/>
              <w:jc w:val="center"/>
              <w:rPr>
                <w:sz w:val="21"/>
                <w:szCs w:val="21"/>
              </w:rPr>
            </w:pPr>
            <w:r>
              <w:rPr>
                <w:rFonts w:hint="eastAsia"/>
                <w:sz w:val="21"/>
                <w:szCs w:val="21"/>
              </w:rPr>
              <w:t>工程名称（生产装置或生产线）</w:t>
            </w:r>
          </w:p>
        </w:tc>
        <w:tc>
          <w:tcPr>
            <w:tcW w:w="686" w:type="pct"/>
            <w:tcBorders>
              <w:tl2br w:val="nil"/>
              <w:tr2bl w:val="nil"/>
            </w:tcBorders>
            <w:vAlign w:val="center"/>
          </w:tcPr>
          <w:p w14:paraId="291DF8A5">
            <w:pPr>
              <w:spacing w:line="300" w:lineRule="exact"/>
              <w:jc w:val="center"/>
              <w:rPr>
                <w:sz w:val="21"/>
                <w:szCs w:val="21"/>
              </w:rPr>
            </w:pPr>
            <w:r>
              <w:rPr>
                <w:sz w:val="21"/>
                <w:szCs w:val="21"/>
              </w:rPr>
              <w:t>产品名称</w:t>
            </w:r>
          </w:p>
        </w:tc>
        <w:tc>
          <w:tcPr>
            <w:tcW w:w="836" w:type="pct"/>
            <w:tcBorders>
              <w:tl2br w:val="nil"/>
              <w:tr2bl w:val="nil"/>
            </w:tcBorders>
            <w:vAlign w:val="center"/>
          </w:tcPr>
          <w:p w14:paraId="0CF0722E">
            <w:pPr>
              <w:spacing w:line="300" w:lineRule="exact"/>
              <w:jc w:val="center"/>
              <w:rPr>
                <w:rFonts w:eastAsia="宋体"/>
                <w:sz w:val="21"/>
                <w:szCs w:val="21"/>
              </w:rPr>
            </w:pPr>
            <w:r>
              <w:rPr>
                <w:rFonts w:hint="eastAsia"/>
                <w:sz w:val="21"/>
                <w:szCs w:val="21"/>
              </w:rPr>
              <w:t>存栏量</w:t>
            </w:r>
          </w:p>
        </w:tc>
        <w:tc>
          <w:tcPr>
            <w:tcW w:w="749" w:type="pct"/>
            <w:tcBorders>
              <w:tl2br w:val="nil"/>
              <w:tr2bl w:val="nil"/>
            </w:tcBorders>
            <w:vAlign w:val="center"/>
          </w:tcPr>
          <w:p w14:paraId="76254341">
            <w:pPr>
              <w:spacing w:line="300" w:lineRule="exact"/>
              <w:jc w:val="center"/>
              <w:rPr>
                <w:sz w:val="21"/>
                <w:szCs w:val="21"/>
              </w:rPr>
            </w:pPr>
            <w:r>
              <w:rPr>
                <w:sz w:val="21"/>
                <w:szCs w:val="21"/>
              </w:rPr>
              <w:t>生产能力</w:t>
            </w:r>
          </w:p>
        </w:tc>
        <w:tc>
          <w:tcPr>
            <w:tcW w:w="947" w:type="pct"/>
            <w:tcBorders>
              <w:tl2br w:val="nil"/>
              <w:tr2bl w:val="nil"/>
            </w:tcBorders>
            <w:vAlign w:val="center"/>
          </w:tcPr>
          <w:p w14:paraId="4EB758A3">
            <w:pPr>
              <w:spacing w:line="300" w:lineRule="exact"/>
              <w:jc w:val="center"/>
              <w:rPr>
                <w:sz w:val="21"/>
                <w:szCs w:val="21"/>
              </w:rPr>
            </w:pPr>
            <w:r>
              <w:rPr>
                <w:sz w:val="21"/>
                <w:szCs w:val="21"/>
              </w:rPr>
              <w:t>年运行时数</w:t>
            </w:r>
          </w:p>
        </w:tc>
      </w:tr>
      <w:tr w14:paraId="06C870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3" w:type="pct"/>
            <w:tcBorders>
              <w:tl2br w:val="nil"/>
              <w:tr2bl w:val="nil"/>
            </w:tcBorders>
            <w:vAlign w:val="center"/>
          </w:tcPr>
          <w:p w14:paraId="61A2DC15">
            <w:pPr>
              <w:spacing w:line="300" w:lineRule="exact"/>
              <w:jc w:val="center"/>
              <w:rPr>
                <w:sz w:val="21"/>
                <w:szCs w:val="21"/>
              </w:rPr>
            </w:pPr>
            <w:r>
              <w:rPr>
                <w:sz w:val="21"/>
                <w:szCs w:val="21"/>
              </w:rPr>
              <w:t>1</w:t>
            </w:r>
          </w:p>
        </w:tc>
        <w:tc>
          <w:tcPr>
            <w:tcW w:w="2389" w:type="dxa"/>
            <w:tcBorders>
              <w:tl2br w:val="nil"/>
              <w:tr2bl w:val="nil"/>
            </w:tcBorders>
            <w:vAlign w:val="center"/>
          </w:tcPr>
          <w:p w14:paraId="084F9C5A">
            <w:pPr>
              <w:spacing w:line="300" w:lineRule="exact"/>
              <w:jc w:val="center"/>
              <w:rPr>
                <w:sz w:val="21"/>
                <w:szCs w:val="21"/>
              </w:rPr>
            </w:pPr>
            <w:r>
              <w:rPr>
                <w:rFonts w:hint="eastAsia"/>
                <w:sz w:val="21"/>
                <w:szCs w:val="21"/>
              </w:rPr>
              <w:t>肉鸡养殖</w:t>
            </w:r>
          </w:p>
        </w:tc>
        <w:tc>
          <w:tcPr>
            <w:tcW w:w="686" w:type="pct"/>
            <w:tcBorders>
              <w:tl2br w:val="nil"/>
              <w:tr2bl w:val="nil"/>
            </w:tcBorders>
            <w:vAlign w:val="center"/>
          </w:tcPr>
          <w:p w14:paraId="01973840">
            <w:pPr>
              <w:spacing w:line="300" w:lineRule="exact"/>
              <w:jc w:val="center"/>
              <w:rPr>
                <w:sz w:val="21"/>
                <w:szCs w:val="21"/>
              </w:rPr>
            </w:pPr>
            <w:r>
              <w:rPr>
                <w:sz w:val="21"/>
                <w:szCs w:val="21"/>
              </w:rPr>
              <w:t>肉鸡</w:t>
            </w:r>
          </w:p>
        </w:tc>
        <w:tc>
          <w:tcPr>
            <w:tcW w:w="836" w:type="pct"/>
            <w:tcBorders>
              <w:tl2br w:val="nil"/>
              <w:tr2bl w:val="nil"/>
            </w:tcBorders>
            <w:vAlign w:val="center"/>
          </w:tcPr>
          <w:p w14:paraId="7ADA6E70">
            <w:pPr>
              <w:spacing w:line="300" w:lineRule="exact"/>
              <w:jc w:val="center"/>
              <w:rPr>
                <w:rFonts w:eastAsia="宋体"/>
                <w:sz w:val="21"/>
                <w:szCs w:val="21"/>
              </w:rPr>
            </w:pPr>
            <w:r>
              <w:rPr>
                <w:rFonts w:hint="eastAsia"/>
                <w:sz w:val="21"/>
                <w:szCs w:val="21"/>
              </w:rPr>
              <w:t>20万只/栏</w:t>
            </w:r>
          </w:p>
        </w:tc>
        <w:tc>
          <w:tcPr>
            <w:tcW w:w="749" w:type="pct"/>
            <w:tcBorders>
              <w:tl2br w:val="nil"/>
              <w:tr2bl w:val="nil"/>
            </w:tcBorders>
            <w:vAlign w:val="center"/>
          </w:tcPr>
          <w:p w14:paraId="45F8EF7B">
            <w:pPr>
              <w:spacing w:line="300" w:lineRule="exact"/>
              <w:jc w:val="center"/>
              <w:rPr>
                <w:sz w:val="21"/>
                <w:szCs w:val="21"/>
              </w:rPr>
            </w:pPr>
            <w:r>
              <w:rPr>
                <w:rFonts w:hint="eastAsia" w:ascii="Times New Roman" w:hAnsi="Times New Roman" w:eastAsia="宋体" w:cs="Times New Roman"/>
                <w:sz w:val="21"/>
                <w:szCs w:val="21"/>
              </w:rPr>
              <w:t>100万只</w:t>
            </w:r>
            <w:r>
              <w:rPr>
                <w:sz w:val="21"/>
                <w:szCs w:val="21"/>
              </w:rPr>
              <w:t>/年</w:t>
            </w:r>
          </w:p>
        </w:tc>
        <w:tc>
          <w:tcPr>
            <w:tcW w:w="947" w:type="pct"/>
            <w:tcBorders>
              <w:tl2br w:val="nil"/>
              <w:tr2bl w:val="nil"/>
            </w:tcBorders>
            <w:vAlign w:val="center"/>
          </w:tcPr>
          <w:p w14:paraId="5F278BE5">
            <w:pPr>
              <w:spacing w:line="300" w:lineRule="exact"/>
              <w:jc w:val="center"/>
              <w:rPr>
                <w:sz w:val="21"/>
                <w:szCs w:val="21"/>
              </w:rPr>
            </w:pPr>
            <w:r>
              <w:rPr>
                <w:rFonts w:hint="eastAsia"/>
                <w:sz w:val="21"/>
                <w:szCs w:val="21"/>
              </w:rPr>
              <w:t>7200</w:t>
            </w:r>
            <w:r>
              <w:rPr>
                <w:sz w:val="21"/>
                <w:szCs w:val="21"/>
              </w:rPr>
              <w:t>h/a</w:t>
            </w:r>
          </w:p>
        </w:tc>
      </w:tr>
    </w:tbl>
    <w:p w14:paraId="76091F9C">
      <w:pPr>
        <w:pStyle w:val="8"/>
        <w:spacing w:line="480" w:lineRule="exact"/>
      </w:pPr>
      <w:r>
        <w:rPr>
          <w:rFonts w:hint="eastAsia"/>
        </w:rPr>
        <w:t>3.2.2.2项目建设内容</w:t>
      </w:r>
    </w:p>
    <w:p w14:paraId="262BF039">
      <w:pPr>
        <w:spacing w:line="480" w:lineRule="exact"/>
        <w:ind w:firstLine="480" w:firstLineChars="200"/>
        <w:rPr>
          <w:szCs w:val="24"/>
        </w:rPr>
      </w:pPr>
      <w:r>
        <w:rPr>
          <w:rFonts w:ascii="Times New Roman" w:hAnsi="宋体"/>
          <w:szCs w:val="24"/>
        </w:rPr>
        <w:t>项目主体工程、公用及辅助工程</w:t>
      </w:r>
      <w:r>
        <w:rPr>
          <w:rFonts w:hint="eastAsia" w:ascii="Times New Roman" w:hAnsi="宋体"/>
          <w:szCs w:val="24"/>
        </w:rPr>
        <w:t>详</w:t>
      </w:r>
      <w:r>
        <w:rPr>
          <w:rFonts w:ascii="Times New Roman" w:hAnsi="宋体"/>
          <w:szCs w:val="24"/>
        </w:rPr>
        <w:t>见表</w:t>
      </w:r>
      <w:r>
        <w:rPr>
          <w:rFonts w:hint="eastAsia"/>
          <w:szCs w:val="24"/>
        </w:rPr>
        <w:t>3.</w:t>
      </w:r>
      <w:r>
        <w:rPr>
          <w:szCs w:val="24"/>
        </w:rPr>
        <w:t>2</w:t>
      </w:r>
      <w:r>
        <w:rPr>
          <w:rFonts w:hint="eastAsia"/>
          <w:szCs w:val="24"/>
        </w:rPr>
        <w:t>-2。</w:t>
      </w:r>
    </w:p>
    <w:p w14:paraId="0D2ABDBF">
      <w:pPr>
        <w:pStyle w:val="31"/>
        <w:spacing w:before="0" w:line="480" w:lineRule="exact"/>
      </w:pPr>
      <w:r>
        <w:rPr>
          <w:rFonts w:hint="eastAsia"/>
        </w:rPr>
        <w:t>表</w:t>
      </w:r>
      <w:r>
        <w:t>3.2-2</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项目公辅工程一览表</w:t>
      </w:r>
    </w:p>
    <w:tbl>
      <w:tblPr>
        <w:tblStyle w:val="4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144"/>
        <w:gridCol w:w="914"/>
        <w:gridCol w:w="4228"/>
        <w:gridCol w:w="1935"/>
      </w:tblGrid>
      <w:tr w14:paraId="7D43D8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pct"/>
            <w:vAlign w:val="center"/>
          </w:tcPr>
          <w:p w14:paraId="505D5545">
            <w:pPr>
              <w:pStyle w:val="61"/>
              <w:spacing w:line="300" w:lineRule="exact"/>
            </w:pPr>
            <w:r>
              <w:rPr>
                <w:rFonts w:hint="eastAsia"/>
              </w:rPr>
              <w:t>工程类别</w:t>
            </w:r>
          </w:p>
        </w:tc>
        <w:tc>
          <w:tcPr>
            <w:tcW w:w="1108" w:type="pct"/>
            <w:gridSpan w:val="2"/>
            <w:vAlign w:val="center"/>
          </w:tcPr>
          <w:p w14:paraId="230198BF">
            <w:pPr>
              <w:pStyle w:val="61"/>
              <w:spacing w:line="300" w:lineRule="exact"/>
            </w:pPr>
            <w:r>
              <w:rPr>
                <w:rFonts w:hint="eastAsia"/>
              </w:rPr>
              <w:t>建设名称</w:t>
            </w:r>
          </w:p>
        </w:tc>
        <w:tc>
          <w:tcPr>
            <w:tcW w:w="2277" w:type="pct"/>
            <w:vAlign w:val="center"/>
          </w:tcPr>
          <w:p w14:paraId="2A25EBC9">
            <w:pPr>
              <w:pStyle w:val="61"/>
              <w:spacing w:line="300" w:lineRule="exact"/>
            </w:pPr>
            <w:r>
              <w:rPr>
                <w:rFonts w:hint="eastAsia"/>
              </w:rPr>
              <w:t>建设内容</w:t>
            </w:r>
          </w:p>
        </w:tc>
        <w:tc>
          <w:tcPr>
            <w:tcW w:w="1042" w:type="pct"/>
            <w:vAlign w:val="center"/>
          </w:tcPr>
          <w:p w14:paraId="2F5495F5">
            <w:pPr>
              <w:pStyle w:val="61"/>
              <w:spacing w:line="300" w:lineRule="exact"/>
            </w:pPr>
            <w:r>
              <w:rPr>
                <w:rFonts w:hint="eastAsia"/>
              </w:rPr>
              <w:t>备注</w:t>
            </w:r>
          </w:p>
        </w:tc>
      </w:tr>
      <w:tr w14:paraId="55680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pct"/>
            <w:vAlign w:val="center"/>
          </w:tcPr>
          <w:p w14:paraId="1BC2C408">
            <w:pPr>
              <w:pStyle w:val="61"/>
              <w:spacing w:line="300" w:lineRule="exact"/>
            </w:pPr>
            <w:r>
              <w:rPr>
                <w:rFonts w:hint="eastAsia"/>
              </w:rPr>
              <w:t>主体工程</w:t>
            </w:r>
          </w:p>
        </w:tc>
        <w:tc>
          <w:tcPr>
            <w:tcW w:w="1108" w:type="pct"/>
            <w:gridSpan w:val="2"/>
            <w:vAlign w:val="center"/>
          </w:tcPr>
          <w:p w14:paraId="6C9F28A2">
            <w:pPr>
              <w:pStyle w:val="61"/>
              <w:spacing w:line="300" w:lineRule="exact"/>
            </w:pPr>
            <w:r>
              <w:rPr>
                <w:rFonts w:hint="eastAsia"/>
              </w:rPr>
              <w:t>鸡舍</w:t>
            </w:r>
          </w:p>
        </w:tc>
        <w:tc>
          <w:tcPr>
            <w:tcW w:w="2277" w:type="pct"/>
            <w:vAlign w:val="center"/>
          </w:tcPr>
          <w:p w14:paraId="0B4D4D15">
            <w:pPr>
              <w:pStyle w:val="61"/>
              <w:spacing w:line="300" w:lineRule="exact"/>
            </w:pPr>
            <w:r>
              <w:rPr>
                <w:rFonts w:hint="eastAsia"/>
                <w:szCs w:val="21"/>
              </w:rPr>
              <w:t>10</w:t>
            </w:r>
            <w:r>
              <w:rPr>
                <w:szCs w:val="21"/>
              </w:rPr>
              <w:t>栋，</w:t>
            </w:r>
            <w:r>
              <w:rPr>
                <w:rFonts w:hint="eastAsia"/>
                <w:szCs w:val="21"/>
              </w:rPr>
              <w:t>单栋面积为83×16.5×4m（1369.5m</w:t>
            </w:r>
            <w:r>
              <w:rPr>
                <w:rFonts w:hint="eastAsia"/>
                <w:szCs w:val="21"/>
                <w:vertAlign w:val="superscript"/>
              </w:rPr>
              <w:t>2</w:t>
            </w:r>
            <w:r>
              <w:rPr>
                <w:rFonts w:hint="eastAsia"/>
                <w:szCs w:val="21"/>
              </w:rPr>
              <w:t>）</w:t>
            </w:r>
            <w:r>
              <w:rPr>
                <w:szCs w:val="21"/>
              </w:rPr>
              <w:t>，</w:t>
            </w:r>
            <w:r>
              <w:rPr>
                <w:rFonts w:hint="eastAsia"/>
                <w:szCs w:val="21"/>
              </w:rPr>
              <w:t>总面积13695m</w:t>
            </w:r>
            <w:r>
              <w:rPr>
                <w:rFonts w:hint="eastAsia"/>
                <w:szCs w:val="21"/>
                <w:vertAlign w:val="superscript"/>
              </w:rPr>
              <w:t>2</w:t>
            </w:r>
            <w:r>
              <w:rPr>
                <w:rFonts w:hint="eastAsia"/>
                <w:szCs w:val="21"/>
              </w:rPr>
              <w:t>，</w:t>
            </w:r>
            <w:r>
              <w:rPr>
                <w:szCs w:val="21"/>
              </w:rPr>
              <w:t>砖瓦结构</w:t>
            </w:r>
          </w:p>
        </w:tc>
        <w:tc>
          <w:tcPr>
            <w:tcW w:w="1042" w:type="pct"/>
            <w:vAlign w:val="center"/>
          </w:tcPr>
          <w:p w14:paraId="00D5FB6D">
            <w:pPr>
              <w:pStyle w:val="61"/>
              <w:spacing w:line="300" w:lineRule="exact"/>
            </w:pPr>
            <w:r>
              <w:rPr>
                <w:rFonts w:hint="eastAsia"/>
              </w:rPr>
              <w:t>新建</w:t>
            </w:r>
            <w:r>
              <w:rPr>
                <w:rFonts w:hint="eastAsia"/>
                <w:szCs w:val="21"/>
              </w:rPr>
              <w:t>，用于肉鸡饲养</w:t>
            </w:r>
          </w:p>
        </w:tc>
      </w:tr>
      <w:tr w14:paraId="712E2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pct"/>
            <w:vMerge w:val="restart"/>
            <w:vAlign w:val="center"/>
          </w:tcPr>
          <w:p w14:paraId="4D325247">
            <w:pPr>
              <w:pStyle w:val="61"/>
              <w:spacing w:line="300" w:lineRule="exact"/>
            </w:pPr>
            <w:r>
              <w:rPr>
                <w:rFonts w:hint="eastAsia"/>
              </w:rPr>
              <w:t>辅助工程</w:t>
            </w:r>
          </w:p>
        </w:tc>
        <w:tc>
          <w:tcPr>
            <w:tcW w:w="1108" w:type="pct"/>
            <w:gridSpan w:val="2"/>
            <w:vAlign w:val="center"/>
          </w:tcPr>
          <w:p w14:paraId="2C67328D">
            <w:pPr>
              <w:pStyle w:val="61"/>
              <w:spacing w:line="300" w:lineRule="exact"/>
            </w:pPr>
            <w:r>
              <w:rPr>
                <w:rFonts w:hint="eastAsia"/>
              </w:rPr>
              <w:t>办公室</w:t>
            </w:r>
          </w:p>
        </w:tc>
        <w:tc>
          <w:tcPr>
            <w:tcW w:w="2277" w:type="pct"/>
            <w:vAlign w:val="center"/>
          </w:tcPr>
          <w:p w14:paraId="20214594">
            <w:pPr>
              <w:pStyle w:val="61"/>
              <w:spacing w:line="300" w:lineRule="exact"/>
            </w:pPr>
            <w:r>
              <w:rPr>
                <w:rFonts w:hint="eastAsia"/>
              </w:rPr>
              <w:t>占地面积270m</w:t>
            </w:r>
            <w:r>
              <w:rPr>
                <w:rFonts w:hint="eastAsia"/>
                <w:vertAlign w:val="superscript"/>
              </w:rPr>
              <w:t>2</w:t>
            </w:r>
          </w:p>
        </w:tc>
        <w:tc>
          <w:tcPr>
            <w:tcW w:w="1042" w:type="pct"/>
            <w:vAlign w:val="center"/>
          </w:tcPr>
          <w:p w14:paraId="7929B07C">
            <w:pPr>
              <w:pStyle w:val="61"/>
              <w:spacing w:line="300" w:lineRule="exact"/>
            </w:pPr>
            <w:r>
              <w:rPr>
                <w:rFonts w:hint="eastAsia"/>
              </w:rPr>
              <w:t>新建</w:t>
            </w:r>
          </w:p>
        </w:tc>
      </w:tr>
      <w:tr w14:paraId="460A1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pct"/>
            <w:vMerge w:val="continue"/>
            <w:vAlign w:val="center"/>
          </w:tcPr>
          <w:p w14:paraId="18AD8436">
            <w:pPr>
              <w:pStyle w:val="61"/>
              <w:spacing w:line="300" w:lineRule="exact"/>
            </w:pPr>
          </w:p>
        </w:tc>
        <w:tc>
          <w:tcPr>
            <w:tcW w:w="1108" w:type="pct"/>
            <w:gridSpan w:val="2"/>
            <w:vAlign w:val="center"/>
          </w:tcPr>
          <w:p w14:paraId="6A2F17B8">
            <w:pPr>
              <w:pStyle w:val="61"/>
              <w:spacing w:line="300" w:lineRule="exact"/>
            </w:pPr>
            <w:r>
              <w:rPr>
                <w:rFonts w:hint="eastAsia"/>
              </w:rPr>
              <w:t>员工休息区</w:t>
            </w:r>
          </w:p>
        </w:tc>
        <w:tc>
          <w:tcPr>
            <w:tcW w:w="2277" w:type="pct"/>
            <w:vAlign w:val="center"/>
          </w:tcPr>
          <w:p w14:paraId="21D6A65D">
            <w:pPr>
              <w:pStyle w:val="61"/>
              <w:spacing w:line="300" w:lineRule="exact"/>
            </w:pPr>
            <w:r>
              <w:rPr>
                <w:rFonts w:hint="eastAsia"/>
              </w:rPr>
              <w:t>占地面积252m</w:t>
            </w:r>
            <w:r>
              <w:rPr>
                <w:rFonts w:hint="eastAsia"/>
                <w:vertAlign w:val="superscript"/>
              </w:rPr>
              <w:t>2</w:t>
            </w:r>
          </w:p>
        </w:tc>
        <w:tc>
          <w:tcPr>
            <w:tcW w:w="1042" w:type="pct"/>
            <w:vAlign w:val="center"/>
          </w:tcPr>
          <w:p w14:paraId="61A9E4A8">
            <w:pPr>
              <w:pStyle w:val="61"/>
              <w:spacing w:line="300" w:lineRule="exact"/>
            </w:pPr>
            <w:r>
              <w:rPr>
                <w:rFonts w:hint="eastAsia"/>
              </w:rPr>
              <w:t>新建</w:t>
            </w:r>
          </w:p>
        </w:tc>
      </w:tr>
      <w:tr w14:paraId="585BB6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pct"/>
            <w:vMerge w:val="continue"/>
            <w:vAlign w:val="center"/>
          </w:tcPr>
          <w:p w14:paraId="32307852">
            <w:pPr>
              <w:pStyle w:val="61"/>
              <w:spacing w:line="300" w:lineRule="exact"/>
            </w:pPr>
          </w:p>
        </w:tc>
        <w:tc>
          <w:tcPr>
            <w:tcW w:w="1108" w:type="pct"/>
            <w:gridSpan w:val="2"/>
            <w:vAlign w:val="center"/>
          </w:tcPr>
          <w:p w14:paraId="52BC8945">
            <w:pPr>
              <w:pStyle w:val="61"/>
              <w:spacing w:line="300" w:lineRule="exac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电热水锅炉</w:t>
            </w:r>
            <w:r>
              <w:rPr>
                <w:rFonts w:hint="eastAsia"/>
                <w:color w:val="000000" w:themeColor="text1"/>
                <w14:textFill>
                  <w14:solidFill>
                    <w14:schemeClr w14:val="tx1"/>
                  </w14:solidFill>
                </w14:textFill>
              </w:rPr>
              <w:t>房</w:t>
            </w:r>
          </w:p>
        </w:tc>
        <w:tc>
          <w:tcPr>
            <w:tcW w:w="2277" w:type="pct"/>
            <w:vAlign w:val="center"/>
          </w:tcPr>
          <w:p w14:paraId="5F98E0A9">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占地面积60m</w:t>
            </w:r>
            <w:r>
              <w:rPr>
                <w:rFonts w:hint="eastAsia"/>
                <w:color w:val="000000" w:themeColor="text1"/>
                <w:vertAlign w:val="superscript"/>
                <w14:textFill>
                  <w14:solidFill>
                    <w14:schemeClr w14:val="tx1"/>
                  </w14:solidFill>
                </w14:textFill>
              </w:rPr>
              <w:t>2</w:t>
            </w:r>
          </w:p>
        </w:tc>
        <w:tc>
          <w:tcPr>
            <w:tcW w:w="1042" w:type="pct"/>
            <w:vAlign w:val="center"/>
          </w:tcPr>
          <w:p w14:paraId="246EB8B6">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14:paraId="278D41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pct"/>
            <w:vMerge w:val="continue"/>
            <w:vAlign w:val="center"/>
          </w:tcPr>
          <w:p w14:paraId="536BCBDB">
            <w:pPr>
              <w:pStyle w:val="61"/>
              <w:spacing w:line="300" w:lineRule="exact"/>
            </w:pPr>
          </w:p>
        </w:tc>
        <w:tc>
          <w:tcPr>
            <w:tcW w:w="1108" w:type="pct"/>
            <w:gridSpan w:val="2"/>
            <w:vAlign w:val="center"/>
          </w:tcPr>
          <w:p w14:paraId="41D91343">
            <w:pPr>
              <w:pStyle w:val="61"/>
              <w:keepNext w:val="0"/>
              <w:keepLines w:val="0"/>
              <w:pageBreakBefore w:val="0"/>
              <w:widowControl/>
              <w:kinsoku/>
              <w:wordWrap/>
              <w:overflowPunct/>
              <w:topLinePunct w:val="0"/>
              <w:autoSpaceDE/>
              <w:autoSpaceDN/>
              <w:bidi w:val="0"/>
              <w:adjustRightInd/>
              <w:snapToGrid/>
              <w:spacing w:line="280" w:lineRule="exact"/>
              <w:textAlignment w:val="auto"/>
            </w:pPr>
            <w:r>
              <w:rPr>
                <w:rFonts w:hint="eastAsia"/>
              </w:rPr>
              <w:t>柴油发电机房</w:t>
            </w:r>
          </w:p>
        </w:tc>
        <w:tc>
          <w:tcPr>
            <w:tcW w:w="2277" w:type="pct"/>
            <w:vAlign w:val="center"/>
          </w:tcPr>
          <w:p w14:paraId="39C6CE00">
            <w:pPr>
              <w:pStyle w:val="61"/>
              <w:keepNext w:val="0"/>
              <w:keepLines w:val="0"/>
              <w:pageBreakBefore w:val="0"/>
              <w:widowControl/>
              <w:kinsoku/>
              <w:wordWrap/>
              <w:overflowPunct/>
              <w:topLinePunct w:val="0"/>
              <w:autoSpaceDE/>
              <w:autoSpaceDN/>
              <w:bidi w:val="0"/>
              <w:adjustRightInd/>
              <w:snapToGrid/>
              <w:spacing w:line="280" w:lineRule="exact"/>
              <w:textAlignment w:val="auto"/>
            </w:pPr>
            <w:r>
              <w:rPr>
                <w:rFonts w:hint="eastAsia"/>
              </w:rPr>
              <w:t>占地面积35m</w:t>
            </w:r>
            <w:r>
              <w:rPr>
                <w:rFonts w:hint="eastAsia"/>
                <w:vertAlign w:val="superscript"/>
              </w:rPr>
              <w:t>2</w:t>
            </w:r>
            <w:r>
              <w:rPr>
                <w:rFonts w:hint="eastAsia"/>
              </w:rPr>
              <w:t>，柴油暂存1吨</w:t>
            </w:r>
          </w:p>
        </w:tc>
        <w:tc>
          <w:tcPr>
            <w:tcW w:w="1042" w:type="pct"/>
            <w:vAlign w:val="center"/>
          </w:tcPr>
          <w:p w14:paraId="5FDA58A9">
            <w:pPr>
              <w:pStyle w:val="61"/>
              <w:keepNext w:val="0"/>
              <w:keepLines w:val="0"/>
              <w:pageBreakBefore w:val="0"/>
              <w:widowControl/>
              <w:kinsoku/>
              <w:wordWrap/>
              <w:overflowPunct/>
              <w:topLinePunct w:val="0"/>
              <w:autoSpaceDE/>
              <w:autoSpaceDN/>
              <w:bidi w:val="0"/>
              <w:adjustRightInd/>
              <w:snapToGrid/>
              <w:spacing w:line="280" w:lineRule="exact"/>
              <w:textAlignment w:val="auto"/>
            </w:pPr>
            <w:r>
              <w:rPr>
                <w:rFonts w:hint="eastAsia"/>
              </w:rPr>
              <w:t>新建，停电备用</w:t>
            </w:r>
          </w:p>
        </w:tc>
      </w:tr>
      <w:tr w14:paraId="16A69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pct"/>
            <w:vMerge w:val="continue"/>
            <w:vAlign w:val="center"/>
          </w:tcPr>
          <w:p w14:paraId="6D6DC5E9">
            <w:pPr>
              <w:pStyle w:val="61"/>
              <w:spacing w:line="300" w:lineRule="exact"/>
            </w:pPr>
          </w:p>
        </w:tc>
        <w:tc>
          <w:tcPr>
            <w:tcW w:w="1108" w:type="pct"/>
            <w:gridSpan w:val="2"/>
            <w:vAlign w:val="center"/>
          </w:tcPr>
          <w:p w14:paraId="5921FD4C">
            <w:pPr>
              <w:pStyle w:val="61"/>
              <w:keepNext w:val="0"/>
              <w:keepLines w:val="0"/>
              <w:pageBreakBefore w:val="0"/>
              <w:widowControl/>
              <w:kinsoku/>
              <w:wordWrap/>
              <w:overflowPunct/>
              <w:topLinePunct w:val="0"/>
              <w:autoSpaceDE/>
              <w:autoSpaceDN/>
              <w:bidi w:val="0"/>
              <w:adjustRightInd/>
              <w:snapToGrid/>
              <w:spacing w:line="280" w:lineRule="exact"/>
              <w:textAlignment w:val="auto"/>
            </w:pPr>
            <w:r>
              <w:rPr>
                <w:rFonts w:hint="eastAsia"/>
              </w:rPr>
              <w:t>门卫</w:t>
            </w:r>
          </w:p>
        </w:tc>
        <w:tc>
          <w:tcPr>
            <w:tcW w:w="2277" w:type="pct"/>
            <w:vAlign w:val="center"/>
          </w:tcPr>
          <w:p w14:paraId="045459FA">
            <w:pPr>
              <w:pStyle w:val="61"/>
              <w:keepNext w:val="0"/>
              <w:keepLines w:val="0"/>
              <w:pageBreakBefore w:val="0"/>
              <w:widowControl/>
              <w:kinsoku/>
              <w:wordWrap/>
              <w:overflowPunct/>
              <w:topLinePunct w:val="0"/>
              <w:autoSpaceDE/>
              <w:autoSpaceDN/>
              <w:bidi w:val="0"/>
              <w:adjustRightInd/>
              <w:snapToGrid/>
              <w:spacing w:line="280" w:lineRule="exact"/>
              <w:textAlignment w:val="auto"/>
            </w:pPr>
            <w:r>
              <w:rPr>
                <w:rFonts w:hint="eastAsia"/>
              </w:rPr>
              <w:t>占地面积为30m</w:t>
            </w:r>
            <w:r>
              <w:rPr>
                <w:rFonts w:hint="eastAsia"/>
                <w:vertAlign w:val="superscript"/>
              </w:rPr>
              <w:t>2</w:t>
            </w:r>
          </w:p>
        </w:tc>
        <w:tc>
          <w:tcPr>
            <w:tcW w:w="1042" w:type="pct"/>
            <w:vAlign w:val="center"/>
          </w:tcPr>
          <w:p w14:paraId="1FC0CA03">
            <w:pPr>
              <w:pStyle w:val="61"/>
              <w:keepNext w:val="0"/>
              <w:keepLines w:val="0"/>
              <w:pageBreakBefore w:val="0"/>
              <w:widowControl/>
              <w:kinsoku/>
              <w:wordWrap/>
              <w:overflowPunct/>
              <w:topLinePunct w:val="0"/>
              <w:autoSpaceDE/>
              <w:autoSpaceDN/>
              <w:bidi w:val="0"/>
              <w:adjustRightInd/>
              <w:snapToGrid/>
              <w:spacing w:line="280" w:lineRule="exact"/>
              <w:textAlignment w:val="auto"/>
            </w:pPr>
            <w:r>
              <w:rPr>
                <w:rFonts w:hint="eastAsia"/>
              </w:rPr>
              <w:t>依托现有</w:t>
            </w:r>
          </w:p>
        </w:tc>
      </w:tr>
      <w:tr w14:paraId="0760F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pct"/>
            <w:vMerge w:val="restart"/>
            <w:vAlign w:val="center"/>
          </w:tcPr>
          <w:p w14:paraId="3AB77BC1">
            <w:pPr>
              <w:pStyle w:val="61"/>
              <w:spacing w:line="300" w:lineRule="exact"/>
            </w:pPr>
            <w:r>
              <w:rPr>
                <w:rFonts w:hint="eastAsia"/>
              </w:rPr>
              <w:t>贮运工程</w:t>
            </w:r>
          </w:p>
        </w:tc>
        <w:tc>
          <w:tcPr>
            <w:tcW w:w="1108" w:type="pct"/>
            <w:gridSpan w:val="2"/>
            <w:vAlign w:val="center"/>
          </w:tcPr>
          <w:p w14:paraId="04ECADD0">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FF0000"/>
              </w:rPr>
            </w:pPr>
            <w:r>
              <w:rPr>
                <w:rFonts w:hint="eastAsia"/>
                <w:color w:val="000000" w:themeColor="text1"/>
                <w14:textFill>
                  <w14:solidFill>
                    <w14:schemeClr w14:val="tx1"/>
                  </w14:solidFill>
                </w14:textFill>
              </w:rPr>
              <w:t>原料库</w:t>
            </w:r>
          </w:p>
        </w:tc>
        <w:tc>
          <w:tcPr>
            <w:tcW w:w="2277" w:type="pct"/>
            <w:vAlign w:val="center"/>
          </w:tcPr>
          <w:p w14:paraId="38BCF59A">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FF0000"/>
              </w:rPr>
            </w:pPr>
            <w:r>
              <w:rPr>
                <w:rFonts w:hint="eastAsia"/>
              </w:rPr>
              <w:t>占地面积为360m</w:t>
            </w:r>
            <w:r>
              <w:rPr>
                <w:rFonts w:hint="eastAsia"/>
                <w:vertAlign w:val="superscript"/>
              </w:rPr>
              <w:t>2</w:t>
            </w:r>
          </w:p>
        </w:tc>
        <w:tc>
          <w:tcPr>
            <w:tcW w:w="1042" w:type="pct"/>
            <w:vAlign w:val="center"/>
          </w:tcPr>
          <w:p w14:paraId="07B8DFDC">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FF0000"/>
              </w:rPr>
            </w:pPr>
            <w:r>
              <w:rPr>
                <w:rFonts w:hint="eastAsia"/>
                <w:color w:val="000000" w:themeColor="text1"/>
                <w14:textFill>
                  <w14:solidFill>
                    <w14:schemeClr w14:val="tx1"/>
                  </w14:solidFill>
                </w14:textFill>
              </w:rPr>
              <w:t>新建</w:t>
            </w:r>
          </w:p>
        </w:tc>
      </w:tr>
      <w:tr w14:paraId="639123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pct"/>
            <w:vMerge w:val="continue"/>
            <w:vAlign w:val="center"/>
          </w:tcPr>
          <w:p w14:paraId="1463E6D6">
            <w:pPr>
              <w:pStyle w:val="61"/>
              <w:spacing w:line="300" w:lineRule="exact"/>
            </w:pPr>
          </w:p>
        </w:tc>
        <w:tc>
          <w:tcPr>
            <w:tcW w:w="1108" w:type="pct"/>
            <w:gridSpan w:val="2"/>
            <w:vAlign w:val="center"/>
          </w:tcPr>
          <w:p w14:paraId="2FC5809A">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鸡粪暂存库</w:t>
            </w:r>
          </w:p>
        </w:tc>
        <w:tc>
          <w:tcPr>
            <w:tcW w:w="2277" w:type="pct"/>
            <w:vAlign w:val="center"/>
          </w:tcPr>
          <w:p w14:paraId="11BA7ECE">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占地面积600m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szCs w:val="21"/>
                <w14:textFill>
                  <w14:solidFill>
                    <w14:schemeClr w14:val="tx1"/>
                  </w14:solidFill>
                </w14:textFill>
              </w:rPr>
              <w:t>用于鸡粪临时堆放，本项目鸡粪日产日清，不在鸡粪暂存库长时间存放</w:t>
            </w:r>
          </w:p>
        </w:tc>
        <w:tc>
          <w:tcPr>
            <w:tcW w:w="1042" w:type="pct"/>
            <w:vAlign w:val="center"/>
          </w:tcPr>
          <w:p w14:paraId="09378790">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14:paraId="3A565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1" w:type="pct"/>
            <w:vMerge w:val="continue"/>
            <w:vAlign w:val="center"/>
          </w:tcPr>
          <w:p w14:paraId="30D4BD50">
            <w:pPr>
              <w:pStyle w:val="61"/>
              <w:spacing w:line="300" w:lineRule="exact"/>
            </w:pPr>
          </w:p>
        </w:tc>
        <w:tc>
          <w:tcPr>
            <w:tcW w:w="1108" w:type="pct"/>
            <w:gridSpan w:val="2"/>
            <w:vAlign w:val="center"/>
          </w:tcPr>
          <w:p w14:paraId="5D508CF1">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自动上料系统</w:t>
            </w:r>
          </w:p>
        </w:tc>
        <w:tc>
          <w:tcPr>
            <w:tcW w:w="2277" w:type="pct"/>
            <w:vAlign w:val="center"/>
          </w:tcPr>
          <w:p w14:paraId="41AECF8D">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10套，每栋鸡舍配备一套，每个自动上料系统配套一个10m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饲料塔。用于鸡饲料上料及暂存，饲料塔的上料及输料过程均为密闭管道传输。</w:t>
            </w:r>
          </w:p>
        </w:tc>
        <w:tc>
          <w:tcPr>
            <w:tcW w:w="1042" w:type="pct"/>
            <w:vAlign w:val="center"/>
          </w:tcPr>
          <w:p w14:paraId="33D0DF0B">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14:paraId="41F37C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1" w:type="pct"/>
            <w:vMerge w:val="continue"/>
            <w:vAlign w:val="center"/>
          </w:tcPr>
          <w:p w14:paraId="5F2D8C2D">
            <w:pPr>
              <w:pStyle w:val="61"/>
              <w:spacing w:line="300" w:lineRule="exact"/>
            </w:pPr>
          </w:p>
        </w:tc>
        <w:tc>
          <w:tcPr>
            <w:tcW w:w="1108" w:type="pct"/>
            <w:gridSpan w:val="2"/>
            <w:vAlign w:val="center"/>
          </w:tcPr>
          <w:p w14:paraId="53725A12">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原料运输、成品运输</w:t>
            </w:r>
          </w:p>
        </w:tc>
        <w:tc>
          <w:tcPr>
            <w:tcW w:w="2277" w:type="pct"/>
            <w:vAlign w:val="center"/>
          </w:tcPr>
          <w:p w14:paraId="2D174ECB">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42" w:type="pct"/>
            <w:vAlign w:val="center"/>
          </w:tcPr>
          <w:p w14:paraId="197B382C">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汽车运输</w:t>
            </w:r>
          </w:p>
        </w:tc>
      </w:tr>
      <w:tr w14:paraId="404D94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1" w:type="pct"/>
            <w:vMerge w:val="restart"/>
            <w:vAlign w:val="center"/>
          </w:tcPr>
          <w:p w14:paraId="3FFFAF89">
            <w:pPr>
              <w:pStyle w:val="61"/>
              <w:spacing w:line="300" w:lineRule="exact"/>
            </w:pPr>
            <w:r>
              <w:rPr>
                <w:rFonts w:hint="eastAsia"/>
              </w:rPr>
              <w:t>公用工程</w:t>
            </w:r>
          </w:p>
        </w:tc>
        <w:tc>
          <w:tcPr>
            <w:tcW w:w="1108" w:type="pct"/>
            <w:gridSpan w:val="2"/>
            <w:vAlign w:val="center"/>
          </w:tcPr>
          <w:p w14:paraId="4840A68F">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给水系统</w:t>
            </w:r>
          </w:p>
        </w:tc>
        <w:tc>
          <w:tcPr>
            <w:tcW w:w="2277" w:type="pct"/>
            <w:vAlign w:val="center"/>
          </w:tcPr>
          <w:p w14:paraId="211F4863">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7986</w:t>
            </w:r>
            <w:r>
              <w:rPr>
                <w:color w:val="000000" w:themeColor="text1"/>
                <w14:textFill>
                  <w14:solidFill>
                    <w14:schemeClr w14:val="tx1"/>
                  </w14:solidFill>
                </w14:textFill>
              </w:rPr>
              <w:t>t/a</w:t>
            </w:r>
          </w:p>
        </w:tc>
        <w:tc>
          <w:tcPr>
            <w:tcW w:w="1042" w:type="pct"/>
            <w:vAlign w:val="center"/>
          </w:tcPr>
          <w:p w14:paraId="51A5F98F">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自来水管网供给</w:t>
            </w:r>
          </w:p>
        </w:tc>
      </w:tr>
      <w:tr w14:paraId="4985BC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pct"/>
            <w:vMerge w:val="continue"/>
            <w:vAlign w:val="center"/>
          </w:tcPr>
          <w:p w14:paraId="4D13CB7A">
            <w:pPr>
              <w:pStyle w:val="61"/>
              <w:spacing w:line="300" w:lineRule="exact"/>
            </w:pPr>
          </w:p>
        </w:tc>
        <w:tc>
          <w:tcPr>
            <w:tcW w:w="1108" w:type="pct"/>
            <w:gridSpan w:val="2"/>
            <w:vAlign w:val="center"/>
          </w:tcPr>
          <w:p w14:paraId="7BDA0029">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排水系统</w:t>
            </w:r>
          </w:p>
        </w:tc>
        <w:tc>
          <w:tcPr>
            <w:tcW w:w="2277" w:type="pct"/>
            <w:vAlign w:val="center"/>
          </w:tcPr>
          <w:p w14:paraId="5E17EA3A">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雨污分流；项目生活污水经厂区化粪池处理后与鸡舍冲洗废水、喷淋废水及初期雨水一起经厂区污水站处理后用于周边的农田灌溉，不外排。</w:t>
            </w:r>
          </w:p>
        </w:tc>
        <w:tc>
          <w:tcPr>
            <w:tcW w:w="1042" w:type="pct"/>
            <w:vAlign w:val="center"/>
          </w:tcPr>
          <w:p w14:paraId="50A61A85">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满足管理要求</w:t>
            </w:r>
          </w:p>
        </w:tc>
      </w:tr>
      <w:tr w14:paraId="7E11FF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pct"/>
            <w:vMerge w:val="continue"/>
            <w:vAlign w:val="center"/>
          </w:tcPr>
          <w:p w14:paraId="5F0105D7">
            <w:pPr>
              <w:pStyle w:val="61"/>
              <w:spacing w:line="300" w:lineRule="exact"/>
            </w:pPr>
          </w:p>
        </w:tc>
        <w:tc>
          <w:tcPr>
            <w:tcW w:w="1108" w:type="pct"/>
            <w:gridSpan w:val="2"/>
            <w:vAlign w:val="center"/>
          </w:tcPr>
          <w:p w14:paraId="0B0E6EFE">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软水</w:t>
            </w:r>
          </w:p>
        </w:tc>
        <w:tc>
          <w:tcPr>
            <w:tcW w:w="2277" w:type="pct"/>
            <w:vAlign w:val="center"/>
          </w:tcPr>
          <w:p w14:paraId="65871A0E">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Ansi="宋体"/>
                <w:color w:val="000000" w:themeColor="text1"/>
                <w:szCs w:val="21"/>
                <w14:textFill>
                  <w14:solidFill>
                    <w14:schemeClr w14:val="tx1"/>
                  </w14:solidFill>
                </w14:textFill>
              </w:rPr>
              <w:t>年制备</w:t>
            </w:r>
            <w:r>
              <w:rPr>
                <w:rFonts w:hint="eastAsia" w:hAnsi="宋体"/>
                <w:color w:val="000000" w:themeColor="text1"/>
                <w:szCs w:val="21"/>
                <w14:textFill>
                  <w14:solidFill>
                    <w14:schemeClr w14:val="tx1"/>
                  </w14:solidFill>
                </w14:textFill>
              </w:rPr>
              <w:t>软水</w:t>
            </w:r>
            <w:r>
              <w:rPr>
                <w:rFonts w:hint="eastAsia"/>
                <w:color w:val="000000" w:themeColor="text1"/>
                <w:szCs w:val="21"/>
                <w14:textFill>
                  <w14:solidFill>
                    <w14:schemeClr w14:val="tx1"/>
                  </w14:solidFill>
                </w14:textFill>
              </w:rPr>
              <w:t>864</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p>
        </w:tc>
        <w:tc>
          <w:tcPr>
            <w:tcW w:w="1042" w:type="pct"/>
            <w:vAlign w:val="center"/>
          </w:tcPr>
          <w:p w14:paraId="716BF3B6">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FF0000"/>
              </w:rPr>
            </w:pPr>
            <w:r>
              <w:rPr>
                <w:rFonts w:hAnsi="宋体"/>
                <w:color w:val="000000"/>
                <w:szCs w:val="21"/>
              </w:rPr>
              <w:t>离子交换树脂</w:t>
            </w:r>
            <w:r>
              <w:rPr>
                <w:rFonts w:hint="eastAsia" w:hAnsi="宋体"/>
                <w:color w:val="000000"/>
                <w:szCs w:val="21"/>
              </w:rPr>
              <w:t>软水</w:t>
            </w:r>
            <w:r>
              <w:rPr>
                <w:rFonts w:hAnsi="宋体"/>
                <w:color w:val="000000"/>
                <w:szCs w:val="21"/>
              </w:rPr>
              <w:t>制备系统</w:t>
            </w:r>
            <w:r>
              <w:rPr>
                <w:rFonts w:hint="eastAsia" w:hAnsi="宋体"/>
                <w:color w:val="000000"/>
                <w:szCs w:val="21"/>
              </w:rPr>
              <w:t>，制备能力1t/h</w:t>
            </w:r>
          </w:p>
        </w:tc>
      </w:tr>
      <w:tr w14:paraId="724E9D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pct"/>
            <w:vMerge w:val="continue"/>
            <w:vAlign w:val="center"/>
          </w:tcPr>
          <w:p w14:paraId="4F8D40C2">
            <w:pPr>
              <w:pStyle w:val="61"/>
              <w:spacing w:line="300" w:lineRule="exact"/>
            </w:pPr>
          </w:p>
        </w:tc>
        <w:tc>
          <w:tcPr>
            <w:tcW w:w="1108" w:type="pct"/>
            <w:gridSpan w:val="2"/>
            <w:vAlign w:val="center"/>
          </w:tcPr>
          <w:p w14:paraId="1E0990B2">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供电系统</w:t>
            </w:r>
          </w:p>
        </w:tc>
        <w:tc>
          <w:tcPr>
            <w:tcW w:w="2277" w:type="pct"/>
            <w:vAlign w:val="center"/>
          </w:tcPr>
          <w:p w14:paraId="28759C18">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85.11万kWh/a</w:t>
            </w:r>
          </w:p>
        </w:tc>
        <w:tc>
          <w:tcPr>
            <w:tcW w:w="1042" w:type="pct"/>
            <w:vAlign w:val="center"/>
          </w:tcPr>
          <w:p w14:paraId="50B9C611">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供电管网供给</w:t>
            </w:r>
          </w:p>
        </w:tc>
      </w:tr>
      <w:tr w14:paraId="22C8E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pct"/>
            <w:vMerge w:val="continue"/>
            <w:vAlign w:val="center"/>
          </w:tcPr>
          <w:p w14:paraId="5517191E">
            <w:pPr>
              <w:pStyle w:val="61"/>
              <w:spacing w:line="300" w:lineRule="exact"/>
            </w:pPr>
          </w:p>
        </w:tc>
        <w:tc>
          <w:tcPr>
            <w:tcW w:w="1108" w:type="pct"/>
            <w:gridSpan w:val="2"/>
            <w:vAlign w:val="center"/>
          </w:tcPr>
          <w:p w14:paraId="756DD2C6">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color w:val="000000" w:themeColor="text1"/>
                <w14:textFill>
                  <w14:solidFill>
                    <w14:schemeClr w14:val="tx1"/>
                  </w14:solidFill>
                </w14:textFill>
              </w:rPr>
              <w:t>供热系统</w:t>
            </w:r>
          </w:p>
        </w:tc>
        <w:tc>
          <w:tcPr>
            <w:tcW w:w="2277" w:type="pct"/>
            <w:vAlign w:val="center"/>
          </w:tcPr>
          <w:p w14:paraId="7D634C3A">
            <w:pPr>
              <w:pStyle w:val="61"/>
              <w:keepNext w:val="0"/>
              <w:keepLines w:val="0"/>
              <w:pageBreakBefore w:val="0"/>
              <w:widowControl/>
              <w:kinsoku/>
              <w:wordWrap/>
              <w:overflowPunct/>
              <w:topLinePunct w:val="0"/>
              <w:autoSpaceDE/>
              <w:autoSpaceDN/>
              <w:bidi w:val="0"/>
              <w:adjustRightInd/>
              <w:snapToGrid/>
              <w:spacing w:line="280" w:lineRule="exact"/>
              <w:textAlignment w:val="auto"/>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1台4t/h，</w:t>
            </w:r>
            <w:r>
              <w:rPr>
                <w:rFonts w:hint="eastAsia"/>
                <w:color w:val="000000" w:themeColor="text1"/>
                <w:lang w:val="en-US" w:eastAsia="zh-CN"/>
                <w14:textFill>
                  <w14:solidFill>
                    <w14:schemeClr w14:val="tx1"/>
                  </w14:solidFill>
                </w14:textFill>
              </w:rPr>
              <w:t>电热水锅炉</w:t>
            </w:r>
            <w:r>
              <w:rPr>
                <w:rFonts w:hint="eastAsia"/>
                <w:color w:val="000000" w:themeColor="text1"/>
                <w14:textFill>
                  <w14:solidFill>
                    <w14:schemeClr w14:val="tx1"/>
                  </w14:solidFill>
                </w14:textFill>
              </w:rPr>
              <w:t>，位于锅炉房内，本项目全年供热90天</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冬季</w:t>
            </w:r>
            <w:r>
              <w:rPr>
                <w:rFonts w:hint="eastAsia"/>
                <w:color w:val="000000" w:themeColor="text1"/>
                <w:lang w:eastAsia="zh-CN"/>
                <w14:textFill>
                  <w14:solidFill>
                    <w14:schemeClr w14:val="tx1"/>
                  </w14:solidFill>
                </w14:textFill>
              </w:rPr>
              <w:t>）</w:t>
            </w:r>
          </w:p>
        </w:tc>
        <w:tc>
          <w:tcPr>
            <w:tcW w:w="1042" w:type="pct"/>
            <w:vAlign w:val="center"/>
          </w:tcPr>
          <w:p w14:paraId="55D05D7B">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14:paraId="4448E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pct"/>
            <w:vMerge w:val="restart"/>
            <w:vAlign w:val="center"/>
          </w:tcPr>
          <w:p w14:paraId="1E242E28">
            <w:pPr>
              <w:pStyle w:val="61"/>
              <w:spacing w:line="300" w:lineRule="exact"/>
            </w:pPr>
            <w:r>
              <w:rPr>
                <w:rFonts w:hint="eastAsia"/>
              </w:rPr>
              <w:t>环保工程</w:t>
            </w:r>
          </w:p>
        </w:tc>
        <w:tc>
          <w:tcPr>
            <w:tcW w:w="1108" w:type="pct"/>
            <w:gridSpan w:val="2"/>
            <w:vAlign w:val="center"/>
          </w:tcPr>
          <w:p w14:paraId="428EB64E">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废水处理</w:t>
            </w:r>
          </w:p>
        </w:tc>
        <w:tc>
          <w:tcPr>
            <w:tcW w:w="2277" w:type="pct"/>
            <w:vAlign w:val="center"/>
          </w:tcPr>
          <w:p w14:paraId="4AF915D6">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厂内污水处理站（采用“格栅+沉砂集水+水解酸化+厌氧反应+好氧处理+消毒”工艺），</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042" w:type="pct"/>
            <w:vAlign w:val="center"/>
          </w:tcPr>
          <w:p w14:paraId="420546D1">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FF0000"/>
              </w:rPr>
            </w:pPr>
            <w:r>
              <w:rPr>
                <w:rFonts w:hint="eastAsia"/>
                <w:color w:val="000000" w:themeColor="text1"/>
                <w14:textFill>
                  <w14:solidFill>
                    <w14:schemeClr w14:val="tx1"/>
                  </w14:solidFill>
                </w14:textFill>
              </w:rPr>
              <w:t>新建</w:t>
            </w:r>
          </w:p>
        </w:tc>
      </w:tr>
      <w:tr w14:paraId="0E731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1" w:type="pct"/>
            <w:vMerge w:val="continue"/>
            <w:vAlign w:val="center"/>
          </w:tcPr>
          <w:p w14:paraId="6CB646DA">
            <w:pPr>
              <w:pStyle w:val="61"/>
              <w:spacing w:line="300" w:lineRule="exact"/>
            </w:pPr>
          </w:p>
        </w:tc>
        <w:tc>
          <w:tcPr>
            <w:tcW w:w="616" w:type="pct"/>
            <w:vMerge w:val="restart"/>
            <w:vAlign w:val="center"/>
          </w:tcPr>
          <w:p w14:paraId="159FDD2B">
            <w:pPr>
              <w:pStyle w:val="61"/>
              <w:spacing w:line="2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p w14:paraId="080285F1">
            <w:pPr>
              <w:pStyle w:val="61"/>
              <w:spacing w:line="2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处理</w:t>
            </w:r>
          </w:p>
        </w:tc>
        <w:tc>
          <w:tcPr>
            <w:tcW w:w="492" w:type="pct"/>
            <w:vAlign w:val="center"/>
          </w:tcPr>
          <w:p w14:paraId="4187738C">
            <w:pPr>
              <w:pStyle w:val="61"/>
              <w:spacing w:line="2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污水站及鸡粪暂存库臭气</w:t>
            </w:r>
          </w:p>
        </w:tc>
        <w:tc>
          <w:tcPr>
            <w:tcW w:w="2277" w:type="pct"/>
            <w:vAlign w:val="center"/>
          </w:tcPr>
          <w:p w14:paraId="23D7E5DC">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污水站废气经加盖、负压收集后与经负压密闭收集的鸡粪暂存库废气一起经1套生物喷淋除臭装置处理后通过一根15m高排气筒DA00</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排放</w:t>
            </w:r>
          </w:p>
        </w:tc>
        <w:tc>
          <w:tcPr>
            <w:tcW w:w="1042" w:type="pct"/>
            <w:vAlign w:val="center"/>
          </w:tcPr>
          <w:p w14:paraId="317ADC72">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14:paraId="430468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1" w:type="pct"/>
            <w:vMerge w:val="continue"/>
            <w:vAlign w:val="center"/>
          </w:tcPr>
          <w:p w14:paraId="22778313">
            <w:pPr>
              <w:pStyle w:val="61"/>
              <w:spacing w:line="300" w:lineRule="exact"/>
            </w:pPr>
          </w:p>
        </w:tc>
        <w:tc>
          <w:tcPr>
            <w:tcW w:w="616" w:type="pct"/>
            <w:vMerge w:val="continue"/>
            <w:vAlign w:val="center"/>
          </w:tcPr>
          <w:p w14:paraId="6F3F71E8">
            <w:pPr>
              <w:pStyle w:val="61"/>
              <w:spacing w:line="280" w:lineRule="exact"/>
              <w:rPr>
                <w:color w:val="FF0000"/>
              </w:rPr>
            </w:pPr>
          </w:p>
        </w:tc>
        <w:tc>
          <w:tcPr>
            <w:tcW w:w="492" w:type="pct"/>
            <w:vAlign w:val="center"/>
          </w:tcPr>
          <w:p w14:paraId="12BCAF43">
            <w:pPr>
              <w:pStyle w:val="61"/>
              <w:spacing w:line="2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鸡舍臭气</w:t>
            </w:r>
          </w:p>
        </w:tc>
        <w:tc>
          <w:tcPr>
            <w:tcW w:w="2277" w:type="pct"/>
            <w:vAlign w:val="center"/>
          </w:tcPr>
          <w:p w14:paraId="5EC899D1">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外购饲料中已添加新型复合微生物菌剂，</w:t>
            </w:r>
            <w:r>
              <w:rPr>
                <w:rFonts w:hint="eastAsia"/>
                <w:color w:val="000000" w:themeColor="text1"/>
                <w:lang w:val="en-US" w:eastAsia="zh-CN"/>
                <w14:textFill>
                  <w14:solidFill>
                    <w14:schemeClr w14:val="tx1"/>
                  </w14:solidFill>
                </w14:textFill>
              </w:rPr>
              <w:t>鸡舍通风换气口处</w:t>
            </w:r>
            <w:r>
              <w:rPr>
                <w:rFonts w:hint="eastAsia"/>
                <w:color w:val="000000" w:themeColor="text1"/>
                <w14:textFill>
                  <w14:solidFill>
                    <w14:schemeClr w14:val="tx1"/>
                  </w14:solidFill>
                </w14:textFill>
              </w:rPr>
              <w:t>喷洒除臭剂等，</w:t>
            </w:r>
            <w:r>
              <w:rPr>
                <w:color w:val="000000" w:themeColor="text1"/>
                <w14:textFill>
                  <w14:solidFill>
                    <w14:schemeClr w14:val="tx1"/>
                  </w14:solidFill>
                </w14:textFill>
              </w:rPr>
              <w:t>无组织</w:t>
            </w:r>
            <w:r>
              <w:rPr>
                <w:rFonts w:hint="eastAsia"/>
                <w:color w:val="000000" w:themeColor="text1"/>
                <w14:textFill>
                  <w14:solidFill>
                    <w14:schemeClr w14:val="tx1"/>
                  </w14:solidFill>
                </w14:textFill>
              </w:rPr>
              <w:t>排放</w:t>
            </w:r>
          </w:p>
        </w:tc>
        <w:tc>
          <w:tcPr>
            <w:tcW w:w="1042" w:type="pct"/>
            <w:vAlign w:val="center"/>
          </w:tcPr>
          <w:p w14:paraId="3EAAB236">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厂界达标</w:t>
            </w:r>
          </w:p>
        </w:tc>
      </w:tr>
      <w:tr w14:paraId="780FE1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1" w:type="pct"/>
            <w:vMerge w:val="continue"/>
            <w:vAlign w:val="center"/>
          </w:tcPr>
          <w:p w14:paraId="38132D2A">
            <w:pPr>
              <w:pStyle w:val="61"/>
              <w:spacing w:line="300" w:lineRule="exact"/>
            </w:pPr>
          </w:p>
        </w:tc>
        <w:tc>
          <w:tcPr>
            <w:tcW w:w="1108" w:type="pct"/>
            <w:gridSpan w:val="2"/>
            <w:vAlign w:val="center"/>
          </w:tcPr>
          <w:p w14:paraId="60F4DE75">
            <w:pPr>
              <w:pStyle w:val="61"/>
              <w:spacing w:line="2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噪声处理</w:t>
            </w:r>
          </w:p>
        </w:tc>
        <w:tc>
          <w:tcPr>
            <w:tcW w:w="2277" w:type="pct"/>
            <w:vAlign w:val="center"/>
          </w:tcPr>
          <w:p w14:paraId="5EBEB8D5">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选用低噪声设备、合理布局、厂房隔声、绿化降噪等</w:t>
            </w:r>
          </w:p>
        </w:tc>
        <w:tc>
          <w:tcPr>
            <w:tcW w:w="1042" w:type="pct"/>
            <w:vAlign w:val="center"/>
          </w:tcPr>
          <w:p w14:paraId="623FBE5A">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厂界达标</w:t>
            </w:r>
          </w:p>
        </w:tc>
      </w:tr>
      <w:tr w14:paraId="238B4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1" w:type="pct"/>
            <w:vMerge w:val="continue"/>
            <w:vAlign w:val="center"/>
          </w:tcPr>
          <w:p w14:paraId="1F2DEB44">
            <w:pPr>
              <w:pStyle w:val="61"/>
              <w:spacing w:line="300" w:lineRule="exact"/>
            </w:pPr>
          </w:p>
        </w:tc>
        <w:tc>
          <w:tcPr>
            <w:tcW w:w="1108" w:type="pct"/>
            <w:gridSpan w:val="2"/>
            <w:vMerge w:val="restart"/>
            <w:vAlign w:val="center"/>
          </w:tcPr>
          <w:p w14:paraId="14267FE2">
            <w:pPr>
              <w:pStyle w:val="61"/>
              <w:spacing w:line="2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w:t>
            </w:r>
          </w:p>
        </w:tc>
        <w:tc>
          <w:tcPr>
            <w:tcW w:w="2277" w:type="pct"/>
            <w:vAlign w:val="center"/>
          </w:tcPr>
          <w:p w14:paraId="377A53B4">
            <w:pPr>
              <w:pStyle w:val="61"/>
              <w:keepNext w:val="0"/>
              <w:keepLines w:val="0"/>
              <w:pageBreakBefore w:val="0"/>
              <w:widowControl/>
              <w:kinsoku/>
              <w:wordWrap/>
              <w:overflowPunct/>
              <w:topLinePunct w:val="0"/>
              <w:autoSpaceDE/>
              <w:autoSpaceDN/>
              <w:bidi w:val="0"/>
              <w:adjustRightInd/>
              <w:snapToGrid/>
              <w:spacing w:line="280" w:lineRule="exact"/>
              <w:textAlignment w:val="auto"/>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危险废物暂存间</w:t>
            </w:r>
            <w:r>
              <w:rPr>
                <w:rFonts w:hint="eastAsia"/>
                <w:color w:val="000000" w:themeColor="text1"/>
                <w:lang w:eastAsia="zh-CN"/>
                <w14:textFill>
                  <w14:solidFill>
                    <w14:schemeClr w14:val="tx1"/>
                  </w14:solidFill>
                </w14:textFill>
              </w:rPr>
              <w:t>5m</w:t>
            </w:r>
            <w:r>
              <w:rPr>
                <w:rFonts w:hint="eastAsia"/>
                <w:color w:val="000000" w:themeColor="text1"/>
                <w:vertAlign w:val="superscript"/>
                <w:lang w:eastAsia="zh-CN"/>
                <w14:textFill>
                  <w14:solidFill>
                    <w14:schemeClr w14:val="tx1"/>
                  </w14:solidFill>
                </w14:textFill>
              </w:rPr>
              <w:t>2</w:t>
            </w:r>
          </w:p>
        </w:tc>
        <w:tc>
          <w:tcPr>
            <w:tcW w:w="1042" w:type="pct"/>
            <w:vAlign w:val="center"/>
          </w:tcPr>
          <w:p w14:paraId="6B6011DF">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14:paraId="5CD91C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1" w:type="pct"/>
            <w:vMerge w:val="continue"/>
            <w:vAlign w:val="center"/>
          </w:tcPr>
          <w:p w14:paraId="3500BCC9">
            <w:pPr>
              <w:pStyle w:val="61"/>
              <w:spacing w:line="300" w:lineRule="exact"/>
            </w:pPr>
          </w:p>
        </w:tc>
        <w:tc>
          <w:tcPr>
            <w:tcW w:w="1108" w:type="pct"/>
            <w:gridSpan w:val="2"/>
            <w:vMerge w:val="continue"/>
            <w:vAlign w:val="center"/>
          </w:tcPr>
          <w:p w14:paraId="4B3A3244">
            <w:pPr>
              <w:pStyle w:val="61"/>
              <w:spacing w:line="280" w:lineRule="exact"/>
              <w:rPr>
                <w:color w:val="000000" w:themeColor="text1"/>
                <w14:textFill>
                  <w14:solidFill>
                    <w14:schemeClr w14:val="tx1"/>
                  </w14:solidFill>
                </w14:textFill>
              </w:rPr>
            </w:pPr>
          </w:p>
        </w:tc>
        <w:tc>
          <w:tcPr>
            <w:tcW w:w="2277" w:type="pct"/>
            <w:vAlign w:val="center"/>
          </w:tcPr>
          <w:p w14:paraId="24475153">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一般固废暂存间5</w:t>
            </w:r>
            <w:r>
              <w:rPr>
                <w:color w:val="000000" w:themeColor="text1"/>
                <w14:textFill>
                  <w14:solidFill>
                    <w14:schemeClr w14:val="tx1"/>
                  </w14:solidFill>
                </w14:textFill>
              </w:rPr>
              <w:t>0m</w:t>
            </w:r>
            <w:r>
              <w:rPr>
                <w:color w:val="000000" w:themeColor="text1"/>
                <w:vertAlign w:val="superscript"/>
                <w14:textFill>
                  <w14:solidFill>
                    <w14:schemeClr w14:val="tx1"/>
                  </w14:solidFill>
                </w14:textFill>
              </w:rPr>
              <w:t>2</w:t>
            </w:r>
          </w:p>
        </w:tc>
        <w:tc>
          <w:tcPr>
            <w:tcW w:w="1042" w:type="pct"/>
            <w:vAlign w:val="center"/>
          </w:tcPr>
          <w:p w14:paraId="16F666E6">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14:paraId="29C7A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1" w:type="pct"/>
            <w:vMerge w:val="continue"/>
            <w:vAlign w:val="center"/>
          </w:tcPr>
          <w:p w14:paraId="511CB6CA">
            <w:pPr>
              <w:pStyle w:val="61"/>
              <w:spacing w:line="300" w:lineRule="exact"/>
            </w:pPr>
          </w:p>
        </w:tc>
        <w:tc>
          <w:tcPr>
            <w:tcW w:w="1108" w:type="pct"/>
            <w:gridSpan w:val="2"/>
            <w:vAlign w:val="center"/>
          </w:tcPr>
          <w:p w14:paraId="12782186">
            <w:pPr>
              <w:pStyle w:val="61"/>
              <w:spacing w:line="2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地下水</w:t>
            </w:r>
          </w:p>
        </w:tc>
        <w:tc>
          <w:tcPr>
            <w:tcW w:w="2277" w:type="pct"/>
            <w:vAlign w:val="center"/>
          </w:tcPr>
          <w:p w14:paraId="786A0542">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场区地面分区防渗处理</w:t>
            </w:r>
          </w:p>
        </w:tc>
        <w:tc>
          <w:tcPr>
            <w:tcW w:w="1042" w:type="pct"/>
            <w:vAlign w:val="center"/>
          </w:tcPr>
          <w:p w14:paraId="0726B6B6">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14:paraId="40CBF9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1" w:type="pct"/>
            <w:vMerge w:val="continue"/>
            <w:vAlign w:val="center"/>
          </w:tcPr>
          <w:p w14:paraId="24F97002">
            <w:pPr>
              <w:pStyle w:val="61"/>
              <w:spacing w:line="300" w:lineRule="exact"/>
            </w:pPr>
          </w:p>
        </w:tc>
        <w:tc>
          <w:tcPr>
            <w:tcW w:w="1108" w:type="pct"/>
            <w:gridSpan w:val="2"/>
            <w:vAlign w:val="center"/>
          </w:tcPr>
          <w:p w14:paraId="42DFBE5E">
            <w:pPr>
              <w:pStyle w:val="61"/>
              <w:spacing w:line="2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风险防范</w:t>
            </w:r>
          </w:p>
        </w:tc>
        <w:tc>
          <w:tcPr>
            <w:tcW w:w="2277" w:type="pct"/>
            <w:vAlign w:val="center"/>
          </w:tcPr>
          <w:p w14:paraId="22F2335C">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应急事故池15</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p>
        </w:tc>
        <w:tc>
          <w:tcPr>
            <w:tcW w:w="1042" w:type="pct"/>
            <w:vAlign w:val="center"/>
          </w:tcPr>
          <w:p w14:paraId="2E399936">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14:paraId="5CE96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1" w:type="pct"/>
            <w:vMerge w:val="continue"/>
            <w:vAlign w:val="center"/>
          </w:tcPr>
          <w:p w14:paraId="623CDBA1">
            <w:pPr>
              <w:pStyle w:val="61"/>
              <w:spacing w:line="300" w:lineRule="exact"/>
            </w:pPr>
          </w:p>
        </w:tc>
        <w:tc>
          <w:tcPr>
            <w:tcW w:w="1108" w:type="pct"/>
            <w:gridSpan w:val="2"/>
            <w:vAlign w:val="center"/>
          </w:tcPr>
          <w:p w14:paraId="4C75FC4F">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c>
          <w:tcPr>
            <w:tcW w:w="2277" w:type="pct"/>
            <w:vAlign w:val="center"/>
          </w:tcPr>
          <w:p w14:paraId="3B39D225">
            <w:pPr>
              <w:pStyle w:val="61"/>
              <w:keepNext w:val="0"/>
              <w:keepLines w:val="0"/>
              <w:pageBreakBefore w:val="0"/>
              <w:widowControl/>
              <w:kinsoku/>
              <w:wordWrap/>
              <w:overflowPunct/>
              <w:topLinePunct w:val="0"/>
              <w:autoSpaceDE/>
              <w:autoSpaceDN/>
              <w:bidi w:val="0"/>
              <w:adjustRightInd/>
              <w:snapToGrid/>
              <w:spacing w:line="2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初期雨水收集池</w:t>
            </w:r>
            <w:r>
              <w:rPr>
                <w:rFonts w:hint="eastAsia"/>
                <w:color w:val="000000" w:themeColor="text1"/>
                <w:szCs w:val="21"/>
                <w14:textFill>
                  <w14:solidFill>
                    <w14:schemeClr w14:val="tx1"/>
                  </w14:solidFill>
                </w14:textFill>
              </w:rPr>
              <w:t>50</w:t>
            </w:r>
            <w:r>
              <w:rPr>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贮存池</w:t>
            </w:r>
            <w:r>
              <w:rPr>
                <w:rFonts w:hint="eastAsia"/>
                <w:color w:val="000000" w:themeColor="text1"/>
                <w14:textFill>
                  <w14:solidFill>
                    <w14:schemeClr w14:val="tx1"/>
                  </w14:solidFill>
                </w14:textFill>
              </w:rPr>
              <w:t>750 m</w:t>
            </w:r>
            <w:r>
              <w:rPr>
                <w:rFonts w:hint="eastAsia"/>
                <w:color w:val="000000" w:themeColor="text1"/>
                <w:vertAlign w:val="superscript"/>
                <w14:textFill>
                  <w14:solidFill>
                    <w14:schemeClr w14:val="tx1"/>
                  </w14:solidFill>
                </w14:textFill>
              </w:rPr>
              <w:t>3</w:t>
            </w:r>
          </w:p>
        </w:tc>
        <w:tc>
          <w:tcPr>
            <w:tcW w:w="1042" w:type="pct"/>
            <w:vAlign w:val="center"/>
          </w:tcPr>
          <w:p w14:paraId="7F9256AE">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bl>
    <w:p w14:paraId="0402F469">
      <w:pPr>
        <w:pStyle w:val="8"/>
        <w:spacing w:line="480" w:lineRule="exact"/>
      </w:pPr>
      <w:r>
        <w:rPr>
          <w:rFonts w:hint="eastAsia"/>
        </w:rPr>
        <w:t>3.2.2.3主要原辅材料</w:t>
      </w:r>
    </w:p>
    <w:p w14:paraId="1BACF580">
      <w:pPr>
        <w:spacing w:line="480" w:lineRule="exact"/>
        <w:ind w:firstLine="480" w:firstLineChars="200"/>
      </w:pPr>
      <w:r>
        <w:rPr>
          <w:rFonts w:hint="eastAsia"/>
        </w:rPr>
        <w:t>本项目原辅料主要为鸡苗、饲料</w:t>
      </w:r>
      <w:r>
        <w:t>、</w:t>
      </w:r>
      <w:r>
        <w:rPr>
          <w:rFonts w:hint="eastAsia"/>
        </w:rPr>
        <w:t>兽药、消毒剂及除臭剂等，消耗情况见表3.</w:t>
      </w:r>
      <w:r>
        <w:t>2</w:t>
      </w:r>
      <w:r>
        <w:rPr>
          <w:rFonts w:hint="eastAsia"/>
        </w:rPr>
        <w:t>-3。其中饲料为外购成品饲料，不在厂内进行调配。</w:t>
      </w:r>
    </w:p>
    <w:p w14:paraId="48650F51">
      <w:pPr>
        <w:pStyle w:val="31"/>
        <w:spacing w:before="0" w:line="480" w:lineRule="exact"/>
      </w:pPr>
      <w:r>
        <w:rPr>
          <w:rFonts w:hint="eastAsia"/>
        </w:rPr>
        <w:t>表</w:t>
      </w:r>
      <w:r>
        <w:t>3.2-3</w:t>
      </w:r>
      <w:r>
        <w:rPr>
          <w:rFonts w:hint="eastAsia"/>
        </w:rPr>
        <w:t xml:space="preserve"> </w:t>
      </w:r>
      <w:r>
        <w:t xml:space="preserve"> </w:t>
      </w:r>
      <w:r>
        <w:rPr>
          <w:rFonts w:hint="eastAsia"/>
        </w:rPr>
        <w:t>本项目原辅材料消耗情况</w:t>
      </w:r>
    </w:p>
    <w:tbl>
      <w:tblPr>
        <w:tblStyle w:val="4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1074"/>
        <w:gridCol w:w="2400"/>
        <w:gridCol w:w="1309"/>
        <w:gridCol w:w="1322"/>
        <w:gridCol w:w="1105"/>
        <w:gridCol w:w="1285"/>
      </w:tblGrid>
      <w:tr w14:paraId="78B13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3" w:type="pct"/>
            <w:vAlign w:val="center"/>
          </w:tcPr>
          <w:p w14:paraId="6A52FD7D">
            <w:pPr>
              <w:pStyle w:val="61"/>
            </w:pPr>
            <w:r>
              <w:rPr>
                <w:rFonts w:hint="eastAsia"/>
              </w:rPr>
              <w:t>序号</w:t>
            </w:r>
          </w:p>
        </w:tc>
        <w:tc>
          <w:tcPr>
            <w:tcW w:w="578" w:type="pct"/>
            <w:vAlign w:val="center"/>
          </w:tcPr>
          <w:p w14:paraId="7A948C1B">
            <w:pPr>
              <w:pStyle w:val="61"/>
            </w:pPr>
            <w:r>
              <w:rPr>
                <w:rFonts w:hint="eastAsia"/>
              </w:rPr>
              <w:t>名称</w:t>
            </w:r>
          </w:p>
        </w:tc>
        <w:tc>
          <w:tcPr>
            <w:tcW w:w="1292" w:type="pct"/>
            <w:vAlign w:val="center"/>
          </w:tcPr>
          <w:p w14:paraId="6D84856F">
            <w:pPr>
              <w:pStyle w:val="61"/>
            </w:pPr>
            <w:r>
              <w:rPr>
                <w:rFonts w:hint="eastAsia"/>
              </w:rPr>
              <w:t>重要组份、规格、指标</w:t>
            </w:r>
          </w:p>
        </w:tc>
        <w:tc>
          <w:tcPr>
            <w:tcW w:w="705" w:type="pct"/>
            <w:vAlign w:val="center"/>
          </w:tcPr>
          <w:p w14:paraId="2BDCE816">
            <w:pPr>
              <w:pStyle w:val="61"/>
            </w:pPr>
            <w:r>
              <w:rPr>
                <w:rFonts w:hint="eastAsia"/>
              </w:rPr>
              <w:t>消耗量</w:t>
            </w:r>
          </w:p>
        </w:tc>
        <w:tc>
          <w:tcPr>
            <w:tcW w:w="712" w:type="pct"/>
            <w:vAlign w:val="center"/>
          </w:tcPr>
          <w:p w14:paraId="009A9240">
            <w:pPr>
              <w:pStyle w:val="61"/>
            </w:pPr>
            <w:r>
              <w:rPr>
                <w:rFonts w:hint="eastAsia"/>
              </w:rPr>
              <w:t>最大贮存量</w:t>
            </w:r>
          </w:p>
        </w:tc>
        <w:tc>
          <w:tcPr>
            <w:tcW w:w="595" w:type="pct"/>
            <w:vAlign w:val="center"/>
          </w:tcPr>
          <w:p w14:paraId="2C0FA5A8">
            <w:pPr>
              <w:pStyle w:val="61"/>
            </w:pPr>
            <w:r>
              <w:rPr>
                <w:rFonts w:hint="eastAsia"/>
              </w:rPr>
              <w:t>存放地点</w:t>
            </w:r>
          </w:p>
        </w:tc>
        <w:tc>
          <w:tcPr>
            <w:tcW w:w="692" w:type="pct"/>
            <w:vAlign w:val="center"/>
          </w:tcPr>
          <w:p w14:paraId="793DED15">
            <w:pPr>
              <w:pStyle w:val="61"/>
            </w:pPr>
            <w:r>
              <w:rPr>
                <w:rFonts w:hint="eastAsia"/>
              </w:rPr>
              <w:t>来源</w:t>
            </w:r>
          </w:p>
        </w:tc>
      </w:tr>
      <w:tr w14:paraId="24D89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3" w:type="pct"/>
            <w:vAlign w:val="center"/>
          </w:tcPr>
          <w:p w14:paraId="5AFD4801">
            <w:pPr>
              <w:pStyle w:val="61"/>
              <w:spacing w:line="300" w:lineRule="exact"/>
            </w:pPr>
            <w:r>
              <w:rPr>
                <w:rFonts w:hint="eastAsia"/>
              </w:rPr>
              <w:t>1</w:t>
            </w:r>
          </w:p>
        </w:tc>
        <w:tc>
          <w:tcPr>
            <w:tcW w:w="578" w:type="pct"/>
            <w:vAlign w:val="center"/>
          </w:tcPr>
          <w:p w14:paraId="70449F32">
            <w:pPr>
              <w:pStyle w:val="61"/>
              <w:spacing w:line="300" w:lineRule="exact"/>
            </w:pPr>
            <w:r>
              <w:rPr>
                <w:rFonts w:hint="eastAsia"/>
              </w:rPr>
              <w:t>鸡苗</w:t>
            </w:r>
          </w:p>
        </w:tc>
        <w:tc>
          <w:tcPr>
            <w:tcW w:w="1292" w:type="pct"/>
            <w:vAlign w:val="center"/>
          </w:tcPr>
          <w:p w14:paraId="6DA734E6">
            <w:pPr>
              <w:pStyle w:val="61"/>
              <w:spacing w:line="300" w:lineRule="exact"/>
            </w:pPr>
            <w:r>
              <w:rPr>
                <w:rFonts w:hint="eastAsia"/>
              </w:rPr>
              <w:t>/</w:t>
            </w:r>
          </w:p>
        </w:tc>
        <w:tc>
          <w:tcPr>
            <w:tcW w:w="705" w:type="pct"/>
            <w:vAlign w:val="center"/>
          </w:tcPr>
          <w:p w14:paraId="1595787C">
            <w:pPr>
              <w:pStyle w:val="61"/>
              <w:spacing w:line="300" w:lineRule="exact"/>
            </w:pPr>
            <w:r>
              <w:rPr>
                <w:rFonts w:hint="eastAsia"/>
              </w:rPr>
              <w:t>102.5万羽</w:t>
            </w:r>
            <w:r>
              <w:t>/</w:t>
            </w:r>
            <w:r>
              <w:rPr>
                <w:rFonts w:hint="eastAsia"/>
              </w:rPr>
              <w:t>a</w:t>
            </w:r>
          </w:p>
        </w:tc>
        <w:tc>
          <w:tcPr>
            <w:tcW w:w="712" w:type="pct"/>
            <w:vAlign w:val="center"/>
          </w:tcPr>
          <w:p w14:paraId="197953E2">
            <w:pPr>
              <w:pStyle w:val="61"/>
              <w:spacing w:line="300" w:lineRule="exact"/>
            </w:pPr>
            <w:r>
              <w:rPr>
                <w:rFonts w:hint="eastAsia"/>
              </w:rPr>
              <w:t>/</w:t>
            </w:r>
          </w:p>
        </w:tc>
        <w:tc>
          <w:tcPr>
            <w:tcW w:w="595" w:type="pct"/>
            <w:vAlign w:val="center"/>
          </w:tcPr>
          <w:p w14:paraId="7FB7949C">
            <w:pPr>
              <w:pStyle w:val="61"/>
              <w:spacing w:line="300" w:lineRule="exact"/>
            </w:pPr>
            <w:r>
              <w:rPr>
                <w:rFonts w:hint="eastAsia"/>
              </w:rPr>
              <w:t>鸡舍</w:t>
            </w:r>
          </w:p>
        </w:tc>
        <w:tc>
          <w:tcPr>
            <w:tcW w:w="692" w:type="pct"/>
            <w:vAlign w:val="center"/>
          </w:tcPr>
          <w:p w14:paraId="1628D9AF">
            <w:pPr>
              <w:pStyle w:val="61"/>
              <w:spacing w:line="300" w:lineRule="exact"/>
            </w:pPr>
            <w:r>
              <w:rPr>
                <w:rFonts w:hint="eastAsia"/>
              </w:rPr>
              <w:t>外购</w:t>
            </w:r>
          </w:p>
        </w:tc>
      </w:tr>
      <w:tr w14:paraId="1C938F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3" w:type="pct"/>
            <w:vAlign w:val="center"/>
          </w:tcPr>
          <w:p w14:paraId="6FF32878">
            <w:pPr>
              <w:pStyle w:val="61"/>
              <w:spacing w:line="300" w:lineRule="exact"/>
            </w:pPr>
            <w:r>
              <w:rPr>
                <w:rFonts w:hint="eastAsia"/>
              </w:rPr>
              <w:t>2</w:t>
            </w:r>
          </w:p>
        </w:tc>
        <w:tc>
          <w:tcPr>
            <w:tcW w:w="578" w:type="pct"/>
            <w:vAlign w:val="center"/>
          </w:tcPr>
          <w:p w14:paraId="3D872F63">
            <w:pPr>
              <w:pStyle w:val="61"/>
              <w:spacing w:line="300" w:lineRule="exact"/>
            </w:pPr>
            <w:r>
              <w:rPr>
                <w:rFonts w:hint="eastAsia"/>
              </w:rPr>
              <w:t>成品饲料</w:t>
            </w:r>
          </w:p>
        </w:tc>
        <w:tc>
          <w:tcPr>
            <w:tcW w:w="1292" w:type="pct"/>
            <w:vAlign w:val="center"/>
          </w:tcPr>
          <w:p w14:paraId="1662FE4F">
            <w:pPr>
              <w:pStyle w:val="61"/>
              <w:spacing w:line="300" w:lineRule="exact"/>
            </w:pPr>
            <w:r>
              <w:rPr>
                <w:rFonts w:hint="eastAsia"/>
              </w:rPr>
              <w:t>玉米、豆粕、添加剂等</w:t>
            </w:r>
          </w:p>
        </w:tc>
        <w:tc>
          <w:tcPr>
            <w:tcW w:w="705" w:type="pct"/>
            <w:vAlign w:val="center"/>
          </w:tcPr>
          <w:p w14:paraId="656A702D">
            <w:pPr>
              <w:pStyle w:val="61"/>
              <w:spacing w:line="300" w:lineRule="exact"/>
            </w:pPr>
            <w:r>
              <w:rPr>
                <w:rFonts w:hint="eastAsia"/>
              </w:rPr>
              <w:t>420</w:t>
            </w:r>
            <w:r>
              <w:t>0t/a</w:t>
            </w:r>
          </w:p>
        </w:tc>
        <w:tc>
          <w:tcPr>
            <w:tcW w:w="712" w:type="pct"/>
            <w:vAlign w:val="center"/>
          </w:tcPr>
          <w:p w14:paraId="0B7A8BC7">
            <w:pPr>
              <w:pStyle w:val="61"/>
              <w:spacing w:line="300" w:lineRule="exact"/>
            </w:pPr>
            <w:r>
              <w:rPr>
                <w:rFonts w:hint="eastAsia"/>
              </w:rPr>
              <w:t>80</w:t>
            </w:r>
            <w:r>
              <w:t xml:space="preserve"> t</w:t>
            </w:r>
          </w:p>
        </w:tc>
        <w:tc>
          <w:tcPr>
            <w:tcW w:w="595" w:type="pct"/>
            <w:vAlign w:val="center"/>
          </w:tcPr>
          <w:p w14:paraId="3A395D5E">
            <w:pPr>
              <w:pStyle w:val="61"/>
              <w:spacing w:line="300" w:lineRule="exact"/>
            </w:pPr>
            <w:r>
              <w:rPr>
                <w:rFonts w:hint="eastAsia"/>
              </w:rPr>
              <w:t>置于饲料塔中</w:t>
            </w:r>
          </w:p>
        </w:tc>
        <w:tc>
          <w:tcPr>
            <w:tcW w:w="692" w:type="pct"/>
            <w:vAlign w:val="center"/>
          </w:tcPr>
          <w:p w14:paraId="00072626">
            <w:pPr>
              <w:pStyle w:val="61"/>
              <w:spacing w:line="300" w:lineRule="exact"/>
            </w:pPr>
            <w:r>
              <w:rPr>
                <w:rFonts w:hint="eastAsia"/>
              </w:rPr>
              <w:t>外购</w:t>
            </w:r>
          </w:p>
        </w:tc>
      </w:tr>
      <w:tr w14:paraId="47668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3" w:type="pct"/>
            <w:vAlign w:val="center"/>
          </w:tcPr>
          <w:p w14:paraId="0378F660">
            <w:pPr>
              <w:pStyle w:val="61"/>
              <w:spacing w:line="300" w:lineRule="exact"/>
            </w:pPr>
            <w:r>
              <w:rPr>
                <w:rFonts w:hint="eastAsia"/>
              </w:rPr>
              <w:t>3</w:t>
            </w:r>
          </w:p>
        </w:tc>
        <w:tc>
          <w:tcPr>
            <w:tcW w:w="578" w:type="pct"/>
            <w:vAlign w:val="center"/>
          </w:tcPr>
          <w:p w14:paraId="51D17FAE">
            <w:pPr>
              <w:pStyle w:val="61"/>
              <w:spacing w:line="300" w:lineRule="exact"/>
            </w:pPr>
            <w:r>
              <w:rPr>
                <w:rFonts w:hint="eastAsia"/>
              </w:rPr>
              <w:t>兽药</w:t>
            </w:r>
          </w:p>
        </w:tc>
        <w:tc>
          <w:tcPr>
            <w:tcW w:w="1292" w:type="pct"/>
            <w:vAlign w:val="center"/>
          </w:tcPr>
          <w:p w14:paraId="045C2781">
            <w:pPr>
              <w:pStyle w:val="61"/>
              <w:spacing w:line="300" w:lineRule="exact"/>
            </w:pPr>
            <w:r>
              <w:rPr>
                <w:rFonts w:hint="eastAsia"/>
              </w:rPr>
              <w:t>泰乐菌素</w:t>
            </w:r>
            <w:r>
              <w:rPr>
                <w:rFonts w:hint="eastAsia"/>
                <w:spacing w:val="4"/>
                <w:szCs w:val="21"/>
              </w:rPr>
              <w:t>、氟苯尼考、粘杆菌素等</w:t>
            </w:r>
          </w:p>
        </w:tc>
        <w:tc>
          <w:tcPr>
            <w:tcW w:w="705" w:type="pct"/>
            <w:vAlign w:val="center"/>
          </w:tcPr>
          <w:p w14:paraId="7ABD92CE">
            <w:pPr>
              <w:pStyle w:val="61"/>
              <w:spacing w:line="300" w:lineRule="exact"/>
            </w:pPr>
            <w:r>
              <w:rPr>
                <w:rFonts w:hint="eastAsia"/>
              </w:rPr>
              <w:t>1</w:t>
            </w:r>
            <w:r>
              <w:t xml:space="preserve"> t/a</w:t>
            </w:r>
          </w:p>
        </w:tc>
        <w:tc>
          <w:tcPr>
            <w:tcW w:w="712" w:type="pct"/>
            <w:vAlign w:val="center"/>
          </w:tcPr>
          <w:p w14:paraId="6CD83E31">
            <w:pPr>
              <w:pStyle w:val="61"/>
              <w:spacing w:line="300" w:lineRule="exact"/>
            </w:pPr>
            <w:r>
              <w:rPr>
                <w:rFonts w:hint="eastAsia"/>
              </w:rPr>
              <w:t>0.1 t</w:t>
            </w:r>
          </w:p>
        </w:tc>
        <w:tc>
          <w:tcPr>
            <w:tcW w:w="595" w:type="pct"/>
            <w:vAlign w:val="center"/>
          </w:tcPr>
          <w:p w14:paraId="088C20FA">
            <w:pPr>
              <w:pStyle w:val="61"/>
              <w:spacing w:line="300" w:lineRule="exact"/>
            </w:pPr>
            <w:r>
              <w:rPr>
                <w:rFonts w:hint="eastAsia"/>
              </w:rPr>
              <w:t>原料仓库</w:t>
            </w:r>
          </w:p>
        </w:tc>
        <w:tc>
          <w:tcPr>
            <w:tcW w:w="692" w:type="pct"/>
            <w:vAlign w:val="center"/>
          </w:tcPr>
          <w:p w14:paraId="4770CB56">
            <w:pPr>
              <w:pStyle w:val="61"/>
              <w:spacing w:line="300" w:lineRule="exact"/>
            </w:pPr>
            <w:r>
              <w:rPr>
                <w:rFonts w:hint="eastAsia"/>
              </w:rPr>
              <w:t>外购</w:t>
            </w:r>
          </w:p>
        </w:tc>
      </w:tr>
      <w:tr w14:paraId="073744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3" w:type="pct"/>
            <w:vAlign w:val="center"/>
          </w:tcPr>
          <w:p w14:paraId="205B0CE4">
            <w:pPr>
              <w:pStyle w:val="61"/>
              <w:spacing w:line="300" w:lineRule="exact"/>
            </w:pPr>
            <w:r>
              <w:rPr>
                <w:rFonts w:hint="eastAsia"/>
              </w:rPr>
              <w:t>4</w:t>
            </w:r>
          </w:p>
        </w:tc>
        <w:tc>
          <w:tcPr>
            <w:tcW w:w="578" w:type="pct"/>
            <w:vAlign w:val="center"/>
          </w:tcPr>
          <w:p w14:paraId="5EDC5A30">
            <w:pPr>
              <w:pStyle w:val="61"/>
              <w:spacing w:line="300" w:lineRule="exact"/>
            </w:pPr>
            <w:r>
              <w:rPr>
                <w:rFonts w:hint="eastAsia"/>
              </w:rPr>
              <w:t>消毒剂</w:t>
            </w:r>
          </w:p>
        </w:tc>
        <w:tc>
          <w:tcPr>
            <w:tcW w:w="1292" w:type="pct"/>
            <w:vAlign w:val="center"/>
          </w:tcPr>
          <w:p w14:paraId="3A7F35F3">
            <w:pPr>
              <w:pStyle w:val="61"/>
              <w:spacing w:line="300" w:lineRule="exact"/>
            </w:pPr>
            <w:r>
              <w:rPr>
                <w:rFonts w:hint="eastAsia"/>
              </w:rPr>
              <w:t>主要成分为复方戊二醛溶液</w:t>
            </w:r>
            <w:r>
              <w:rPr>
                <w:spacing w:val="4"/>
                <w:szCs w:val="21"/>
              </w:rPr>
              <w:t>、冰醋酸、克毒灵和碘威</w:t>
            </w:r>
            <w:r>
              <w:rPr>
                <w:rFonts w:hint="eastAsia"/>
              </w:rPr>
              <w:t>，</w:t>
            </w:r>
            <w:r>
              <w:t>1L/</w:t>
            </w:r>
            <w:r>
              <w:rPr>
                <w:rFonts w:hint="eastAsia"/>
              </w:rPr>
              <w:t>瓶</w:t>
            </w:r>
          </w:p>
        </w:tc>
        <w:tc>
          <w:tcPr>
            <w:tcW w:w="705" w:type="pct"/>
            <w:vAlign w:val="center"/>
          </w:tcPr>
          <w:p w14:paraId="4A0388F7">
            <w:pPr>
              <w:pStyle w:val="61"/>
              <w:spacing w:line="300" w:lineRule="exact"/>
            </w:pPr>
            <w:r>
              <w:rPr>
                <w:rFonts w:hint="eastAsia"/>
              </w:rPr>
              <w:t>50瓶</w:t>
            </w:r>
            <w:r>
              <w:t>/</w:t>
            </w:r>
            <w:r>
              <w:rPr>
                <w:rFonts w:hint="eastAsia"/>
              </w:rPr>
              <w:t>年</w:t>
            </w:r>
          </w:p>
        </w:tc>
        <w:tc>
          <w:tcPr>
            <w:tcW w:w="712" w:type="pct"/>
            <w:vAlign w:val="center"/>
          </w:tcPr>
          <w:p w14:paraId="19C1A300">
            <w:pPr>
              <w:pStyle w:val="61"/>
              <w:spacing w:line="300" w:lineRule="exact"/>
            </w:pPr>
            <w:r>
              <w:rPr>
                <w:rFonts w:hint="eastAsia"/>
              </w:rPr>
              <w:t>5L</w:t>
            </w:r>
          </w:p>
        </w:tc>
        <w:tc>
          <w:tcPr>
            <w:tcW w:w="595" w:type="pct"/>
            <w:vAlign w:val="center"/>
          </w:tcPr>
          <w:p w14:paraId="7155C239">
            <w:pPr>
              <w:pStyle w:val="61"/>
              <w:spacing w:line="300" w:lineRule="exact"/>
            </w:pPr>
            <w:r>
              <w:rPr>
                <w:rFonts w:hint="eastAsia"/>
              </w:rPr>
              <w:t>原料仓库</w:t>
            </w:r>
          </w:p>
        </w:tc>
        <w:tc>
          <w:tcPr>
            <w:tcW w:w="692" w:type="pct"/>
            <w:vAlign w:val="center"/>
          </w:tcPr>
          <w:p w14:paraId="0D098216">
            <w:pPr>
              <w:pStyle w:val="61"/>
              <w:spacing w:line="300" w:lineRule="exact"/>
            </w:pPr>
            <w:r>
              <w:rPr>
                <w:rFonts w:hint="eastAsia"/>
              </w:rPr>
              <w:t>外购</w:t>
            </w:r>
          </w:p>
        </w:tc>
      </w:tr>
      <w:tr w14:paraId="3D75EF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3" w:type="pct"/>
            <w:vAlign w:val="center"/>
          </w:tcPr>
          <w:p w14:paraId="66F7AC6E">
            <w:pPr>
              <w:pStyle w:val="61"/>
              <w:spacing w:line="300" w:lineRule="exact"/>
            </w:pPr>
            <w:r>
              <w:rPr>
                <w:rFonts w:hint="eastAsia"/>
              </w:rPr>
              <w:t>5</w:t>
            </w:r>
          </w:p>
        </w:tc>
        <w:tc>
          <w:tcPr>
            <w:tcW w:w="578" w:type="pct"/>
            <w:vAlign w:val="center"/>
          </w:tcPr>
          <w:p w14:paraId="5E7A086A">
            <w:pPr>
              <w:pStyle w:val="61"/>
              <w:spacing w:line="300" w:lineRule="exact"/>
            </w:pPr>
            <w:r>
              <w:rPr>
                <w:rFonts w:hint="eastAsia"/>
              </w:rPr>
              <w:t>除臭剂</w:t>
            </w:r>
          </w:p>
        </w:tc>
        <w:tc>
          <w:tcPr>
            <w:tcW w:w="1292" w:type="pct"/>
            <w:vAlign w:val="center"/>
          </w:tcPr>
          <w:p w14:paraId="5D518EAF">
            <w:pPr>
              <w:pStyle w:val="61"/>
              <w:spacing w:line="300" w:lineRule="exact"/>
            </w:pPr>
            <w:r>
              <w:rPr>
                <w:rFonts w:hint="eastAsia"/>
              </w:rPr>
              <w:t>生物除臭剂，25kg/桶</w:t>
            </w:r>
          </w:p>
        </w:tc>
        <w:tc>
          <w:tcPr>
            <w:tcW w:w="705" w:type="pct"/>
            <w:vAlign w:val="center"/>
          </w:tcPr>
          <w:p w14:paraId="5F5CF95F">
            <w:pPr>
              <w:pStyle w:val="61"/>
              <w:spacing w:line="300" w:lineRule="exact"/>
            </w:pPr>
            <w:r>
              <w:rPr>
                <w:rFonts w:hint="eastAsia"/>
                <w:lang w:val="en-US" w:eastAsia="zh-CN"/>
              </w:rPr>
              <w:t>6</w:t>
            </w:r>
            <w:r>
              <w:rPr>
                <w:rFonts w:hint="eastAsia"/>
              </w:rPr>
              <w:t>t/a</w:t>
            </w:r>
          </w:p>
        </w:tc>
        <w:tc>
          <w:tcPr>
            <w:tcW w:w="712" w:type="pct"/>
            <w:vAlign w:val="center"/>
          </w:tcPr>
          <w:p w14:paraId="754046D1">
            <w:pPr>
              <w:pStyle w:val="61"/>
              <w:spacing w:line="300" w:lineRule="exact"/>
            </w:pPr>
            <w:r>
              <w:rPr>
                <w:rFonts w:hint="eastAsia"/>
                <w:lang w:val="en-US" w:eastAsia="zh-CN"/>
              </w:rPr>
              <w:t>0.5</w:t>
            </w:r>
            <w:r>
              <w:rPr>
                <w:rFonts w:hint="eastAsia"/>
              </w:rPr>
              <w:t xml:space="preserve"> t</w:t>
            </w:r>
          </w:p>
        </w:tc>
        <w:tc>
          <w:tcPr>
            <w:tcW w:w="595" w:type="pct"/>
            <w:vAlign w:val="center"/>
          </w:tcPr>
          <w:p w14:paraId="7255D2CA">
            <w:pPr>
              <w:pStyle w:val="61"/>
              <w:spacing w:line="300" w:lineRule="exact"/>
            </w:pPr>
            <w:r>
              <w:rPr>
                <w:rFonts w:hint="eastAsia"/>
              </w:rPr>
              <w:t>原料仓库</w:t>
            </w:r>
          </w:p>
        </w:tc>
        <w:tc>
          <w:tcPr>
            <w:tcW w:w="692" w:type="pct"/>
            <w:vAlign w:val="center"/>
          </w:tcPr>
          <w:p w14:paraId="45386AB2">
            <w:pPr>
              <w:pStyle w:val="61"/>
              <w:spacing w:line="300" w:lineRule="exact"/>
            </w:pPr>
            <w:r>
              <w:rPr>
                <w:rFonts w:hint="eastAsia"/>
              </w:rPr>
              <w:t>外购</w:t>
            </w:r>
          </w:p>
        </w:tc>
      </w:tr>
      <w:tr w14:paraId="31034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3" w:type="pct"/>
            <w:vAlign w:val="center"/>
          </w:tcPr>
          <w:p w14:paraId="7FB5C9BE">
            <w:pPr>
              <w:pStyle w:val="61"/>
              <w:spacing w:line="300" w:lineRule="exact"/>
              <w:rPr>
                <w:rFonts w:hint="eastAsia" w:eastAsia="宋体"/>
                <w:lang w:eastAsia="zh-CN"/>
              </w:rPr>
            </w:pPr>
            <w:r>
              <w:rPr>
                <w:rFonts w:hint="eastAsia"/>
                <w:lang w:val="en-US" w:eastAsia="zh-CN"/>
              </w:rPr>
              <w:t>6</w:t>
            </w:r>
          </w:p>
        </w:tc>
        <w:tc>
          <w:tcPr>
            <w:tcW w:w="578" w:type="pct"/>
            <w:vAlign w:val="center"/>
          </w:tcPr>
          <w:p w14:paraId="184E29ED">
            <w:pPr>
              <w:pStyle w:val="61"/>
              <w:spacing w:line="300" w:lineRule="exact"/>
            </w:pPr>
            <w:r>
              <w:rPr>
                <w:rFonts w:hint="eastAsia"/>
              </w:rPr>
              <w:t>柴油</w:t>
            </w:r>
          </w:p>
        </w:tc>
        <w:tc>
          <w:tcPr>
            <w:tcW w:w="1292" w:type="pct"/>
            <w:vAlign w:val="center"/>
          </w:tcPr>
          <w:p w14:paraId="055AEF28">
            <w:pPr>
              <w:pStyle w:val="61"/>
              <w:spacing w:line="300" w:lineRule="exact"/>
              <w:rPr>
                <w:rFonts w:hAnsi="宋体"/>
                <w:color w:val="000000"/>
                <w:szCs w:val="21"/>
              </w:rPr>
            </w:pPr>
            <w:r>
              <w:rPr>
                <w:rFonts w:hint="eastAsia" w:hAnsi="宋体"/>
                <w:color w:val="000000"/>
                <w:szCs w:val="21"/>
              </w:rPr>
              <w:t>/</w:t>
            </w:r>
          </w:p>
        </w:tc>
        <w:tc>
          <w:tcPr>
            <w:tcW w:w="705" w:type="pct"/>
            <w:vAlign w:val="center"/>
          </w:tcPr>
          <w:p w14:paraId="7A58D8CC">
            <w:pPr>
              <w:pStyle w:val="61"/>
              <w:spacing w:line="300" w:lineRule="exact"/>
            </w:pPr>
            <w:r>
              <w:rPr>
                <w:rFonts w:hint="eastAsia"/>
              </w:rPr>
              <w:t>/</w:t>
            </w:r>
          </w:p>
        </w:tc>
        <w:tc>
          <w:tcPr>
            <w:tcW w:w="712" w:type="pct"/>
            <w:vAlign w:val="center"/>
          </w:tcPr>
          <w:p w14:paraId="26525600">
            <w:pPr>
              <w:pStyle w:val="61"/>
              <w:spacing w:line="300" w:lineRule="exact"/>
            </w:pPr>
            <w:r>
              <w:rPr>
                <w:rFonts w:hint="eastAsia"/>
              </w:rPr>
              <w:t>1吨</w:t>
            </w:r>
          </w:p>
        </w:tc>
        <w:tc>
          <w:tcPr>
            <w:tcW w:w="595" w:type="pct"/>
            <w:vAlign w:val="center"/>
          </w:tcPr>
          <w:p w14:paraId="315CAD9F">
            <w:pPr>
              <w:pStyle w:val="61"/>
              <w:spacing w:line="300" w:lineRule="exact"/>
            </w:pPr>
            <w:r>
              <w:rPr>
                <w:rFonts w:hint="eastAsia"/>
              </w:rPr>
              <w:t>发电机房</w:t>
            </w:r>
          </w:p>
        </w:tc>
        <w:tc>
          <w:tcPr>
            <w:tcW w:w="692" w:type="pct"/>
            <w:vAlign w:val="center"/>
          </w:tcPr>
          <w:p w14:paraId="28F2C560">
            <w:pPr>
              <w:pStyle w:val="61"/>
              <w:spacing w:line="300" w:lineRule="exact"/>
            </w:pPr>
            <w:r>
              <w:rPr>
                <w:rFonts w:hint="eastAsia"/>
              </w:rPr>
              <w:t>外购，备用</w:t>
            </w:r>
          </w:p>
        </w:tc>
      </w:tr>
    </w:tbl>
    <w:p w14:paraId="0E352E7B">
      <w:pPr>
        <w:pStyle w:val="8"/>
        <w:spacing w:line="480" w:lineRule="exact"/>
      </w:pPr>
      <w:r>
        <w:rPr>
          <w:rFonts w:hint="eastAsia"/>
        </w:rPr>
        <w:t>3.2.2.4主要设备</w:t>
      </w:r>
    </w:p>
    <w:p w14:paraId="47201C7B">
      <w:pPr>
        <w:spacing w:line="480" w:lineRule="exact"/>
        <w:ind w:firstLine="480" w:firstLineChars="200"/>
      </w:pPr>
      <w:r>
        <w:rPr>
          <w:rFonts w:hint="eastAsia"/>
        </w:rPr>
        <w:t>本项目主要设备详见表3.</w:t>
      </w:r>
      <w:r>
        <w:t>2</w:t>
      </w:r>
      <w:r>
        <w:rPr>
          <w:rFonts w:hint="eastAsia"/>
        </w:rPr>
        <w:t>-4。</w:t>
      </w:r>
    </w:p>
    <w:p w14:paraId="5E53A3B9">
      <w:pPr>
        <w:pStyle w:val="31"/>
        <w:spacing w:before="0" w:line="480" w:lineRule="exact"/>
      </w:pPr>
      <w:r>
        <w:rPr>
          <w:rFonts w:hint="eastAsia"/>
        </w:rPr>
        <w:t>表</w:t>
      </w:r>
      <w:r>
        <w:t>3.2-4</w:t>
      </w:r>
      <w:r>
        <w:rPr>
          <w:rFonts w:hint="eastAsia"/>
        </w:rPr>
        <w:t xml:space="preserve"> </w:t>
      </w:r>
      <w:r>
        <w:t xml:space="preserve"> </w:t>
      </w:r>
      <w:r>
        <w:rPr>
          <w:rFonts w:hint="eastAsia"/>
        </w:rPr>
        <w:t>主要设备一览表</w:t>
      </w:r>
    </w:p>
    <w:tbl>
      <w:tblPr>
        <w:tblStyle w:val="4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2199"/>
        <w:gridCol w:w="2340"/>
        <w:gridCol w:w="1185"/>
        <w:gridCol w:w="2509"/>
      </w:tblGrid>
      <w:tr w14:paraId="0EA73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564" w:type="pct"/>
            <w:vAlign w:val="center"/>
          </w:tcPr>
          <w:p w14:paraId="2F34F19C">
            <w:pPr>
              <w:pStyle w:val="61"/>
            </w:pPr>
            <w:r>
              <w:rPr>
                <w:rFonts w:hint="eastAsia"/>
              </w:rPr>
              <w:t>序号</w:t>
            </w:r>
          </w:p>
        </w:tc>
        <w:tc>
          <w:tcPr>
            <w:tcW w:w="1184" w:type="pct"/>
            <w:vAlign w:val="center"/>
          </w:tcPr>
          <w:p w14:paraId="7248843C">
            <w:pPr>
              <w:pStyle w:val="61"/>
            </w:pPr>
            <w:r>
              <w:rPr>
                <w:rFonts w:hint="eastAsia"/>
              </w:rPr>
              <w:t>名称</w:t>
            </w:r>
          </w:p>
        </w:tc>
        <w:tc>
          <w:tcPr>
            <w:tcW w:w="1260" w:type="pct"/>
            <w:vAlign w:val="center"/>
          </w:tcPr>
          <w:p w14:paraId="0D335D48">
            <w:pPr>
              <w:pStyle w:val="61"/>
            </w:pPr>
            <w:r>
              <w:rPr>
                <w:rFonts w:hint="eastAsia"/>
              </w:rPr>
              <w:t>规格</w:t>
            </w:r>
            <w:r>
              <w:t>/</w:t>
            </w:r>
            <w:r>
              <w:rPr>
                <w:rFonts w:hint="eastAsia"/>
              </w:rPr>
              <w:t>型号</w:t>
            </w:r>
          </w:p>
        </w:tc>
        <w:tc>
          <w:tcPr>
            <w:tcW w:w="638" w:type="pct"/>
            <w:vAlign w:val="center"/>
          </w:tcPr>
          <w:p w14:paraId="053D16FD">
            <w:pPr>
              <w:pStyle w:val="61"/>
            </w:pPr>
            <w:r>
              <w:rPr>
                <w:rFonts w:hint="eastAsia"/>
              </w:rPr>
              <w:t>数量</w:t>
            </w:r>
          </w:p>
        </w:tc>
        <w:tc>
          <w:tcPr>
            <w:tcW w:w="1351" w:type="pct"/>
            <w:vAlign w:val="center"/>
          </w:tcPr>
          <w:p w14:paraId="4F5A550B">
            <w:pPr>
              <w:pStyle w:val="61"/>
            </w:pPr>
            <w:r>
              <w:rPr>
                <w:rFonts w:hint="eastAsia"/>
              </w:rPr>
              <w:t>备注</w:t>
            </w:r>
          </w:p>
        </w:tc>
      </w:tr>
      <w:tr w14:paraId="744AC7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pct"/>
            <w:vAlign w:val="center"/>
          </w:tcPr>
          <w:p w14:paraId="00B67F98">
            <w:pPr>
              <w:pStyle w:val="61"/>
            </w:pPr>
            <w:r>
              <w:rPr>
                <w:rFonts w:hint="eastAsia"/>
              </w:rPr>
              <w:t>1</w:t>
            </w:r>
          </w:p>
        </w:tc>
        <w:tc>
          <w:tcPr>
            <w:tcW w:w="1184" w:type="pct"/>
            <w:vAlign w:val="center"/>
          </w:tcPr>
          <w:p w14:paraId="3A27E6DF">
            <w:pPr>
              <w:pStyle w:val="61"/>
            </w:pPr>
            <w:r>
              <w:rPr>
                <w:rFonts w:hint="eastAsia"/>
              </w:rPr>
              <w:t>笼具</w:t>
            </w:r>
          </w:p>
        </w:tc>
        <w:tc>
          <w:tcPr>
            <w:tcW w:w="1260" w:type="pct"/>
            <w:vAlign w:val="center"/>
          </w:tcPr>
          <w:p w14:paraId="1D64D60A">
            <w:pPr>
              <w:pStyle w:val="57"/>
            </w:pPr>
            <w:r>
              <w:rPr>
                <w:rFonts w:ascii="Times New Roman" w:hAnsi="Times New Roman" w:eastAsia="宋体"/>
              </w:rPr>
              <w:t>1.25米*1.6米*1.96米</w:t>
            </w:r>
          </w:p>
        </w:tc>
        <w:tc>
          <w:tcPr>
            <w:tcW w:w="638" w:type="pct"/>
            <w:vAlign w:val="center"/>
          </w:tcPr>
          <w:p w14:paraId="3FD4BC22">
            <w:pPr>
              <w:pStyle w:val="61"/>
            </w:pPr>
            <w:r>
              <w:rPr>
                <w:rFonts w:hint="eastAsia"/>
              </w:rPr>
              <w:t>570组</w:t>
            </w:r>
          </w:p>
        </w:tc>
        <w:tc>
          <w:tcPr>
            <w:tcW w:w="1351" w:type="pct"/>
            <w:vAlign w:val="center"/>
          </w:tcPr>
          <w:p w14:paraId="279AF312">
            <w:pPr>
              <w:pStyle w:val="61"/>
            </w:pPr>
            <w:r>
              <w:rPr>
                <w:rFonts w:hint="eastAsia"/>
                <w:lang w:val="en-US" w:eastAsia="zh-CN"/>
              </w:rPr>
              <w:t>三</w:t>
            </w:r>
            <w:r>
              <w:rPr>
                <w:rFonts w:hint="eastAsia"/>
              </w:rPr>
              <w:t>层，</w:t>
            </w:r>
            <w:r>
              <w:rPr>
                <w:rFonts w:hint="eastAsia"/>
                <w:szCs w:val="21"/>
              </w:rPr>
              <w:t>每栋鸡舍57组</w:t>
            </w:r>
          </w:p>
        </w:tc>
      </w:tr>
      <w:tr w14:paraId="02B15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pct"/>
            <w:vAlign w:val="center"/>
          </w:tcPr>
          <w:p w14:paraId="3A97F96E">
            <w:pPr>
              <w:pStyle w:val="61"/>
            </w:pPr>
            <w:r>
              <w:rPr>
                <w:rFonts w:hint="eastAsia"/>
              </w:rPr>
              <w:t>2</w:t>
            </w:r>
          </w:p>
        </w:tc>
        <w:tc>
          <w:tcPr>
            <w:tcW w:w="1184" w:type="pct"/>
            <w:vAlign w:val="center"/>
          </w:tcPr>
          <w:p w14:paraId="062A9E61">
            <w:pPr>
              <w:pStyle w:val="61"/>
            </w:pPr>
            <w:r>
              <w:rPr>
                <w:rFonts w:hint="eastAsia"/>
                <w:szCs w:val="21"/>
              </w:rPr>
              <w:t>自动</w:t>
            </w:r>
            <w:r>
              <w:rPr>
                <w:szCs w:val="21"/>
              </w:rPr>
              <w:t>上料</w:t>
            </w:r>
            <w:r>
              <w:rPr>
                <w:rFonts w:hint="eastAsia"/>
                <w:szCs w:val="21"/>
              </w:rPr>
              <w:t>系统</w:t>
            </w:r>
          </w:p>
        </w:tc>
        <w:tc>
          <w:tcPr>
            <w:tcW w:w="1260" w:type="pct"/>
            <w:vAlign w:val="center"/>
          </w:tcPr>
          <w:p w14:paraId="028B8A00">
            <w:pPr>
              <w:pStyle w:val="61"/>
            </w:pPr>
            <w:r>
              <w:rPr>
                <w:rFonts w:hint="eastAsia"/>
              </w:rPr>
              <w:t>/</w:t>
            </w:r>
          </w:p>
        </w:tc>
        <w:tc>
          <w:tcPr>
            <w:tcW w:w="638" w:type="pct"/>
            <w:vAlign w:val="center"/>
          </w:tcPr>
          <w:p w14:paraId="3A41E36A">
            <w:pPr>
              <w:pStyle w:val="61"/>
            </w:pPr>
            <w:r>
              <w:rPr>
                <w:rFonts w:hint="eastAsia"/>
              </w:rPr>
              <w:t>10套</w:t>
            </w:r>
          </w:p>
        </w:tc>
        <w:tc>
          <w:tcPr>
            <w:tcW w:w="1351" w:type="pct"/>
            <w:vAlign w:val="center"/>
          </w:tcPr>
          <w:p w14:paraId="70E80496">
            <w:pPr>
              <w:pStyle w:val="61"/>
            </w:pPr>
            <w:r>
              <w:rPr>
                <w:rFonts w:hint="eastAsia"/>
                <w:szCs w:val="21"/>
              </w:rPr>
              <w:t>每栋鸡舍一套，</w:t>
            </w:r>
            <w:r>
              <w:rPr>
                <w:rFonts w:hint="eastAsia"/>
                <w:color w:val="000000" w:themeColor="text1"/>
                <w14:textFill>
                  <w14:solidFill>
                    <w14:schemeClr w14:val="tx1"/>
                  </w14:solidFill>
                </w14:textFill>
              </w:rPr>
              <w:t>每套配一个10m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饲料塔</w:t>
            </w:r>
          </w:p>
        </w:tc>
      </w:tr>
      <w:tr w14:paraId="77407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pct"/>
            <w:vAlign w:val="center"/>
          </w:tcPr>
          <w:p w14:paraId="14F31FCC">
            <w:pPr>
              <w:pStyle w:val="61"/>
            </w:pPr>
            <w:r>
              <w:rPr>
                <w:rFonts w:hint="eastAsia"/>
              </w:rPr>
              <w:t>3</w:t>
            </w:r>
          </w:p>
        </w:tc>
        <w:tc>
          <w:tcPr>
            <w:tcW w:w="1184" w:type="pct"/>
            <w:vAlign w:val="center"/>
          </w:tcPr>
          <w:p w14:paraId="0BF3E50D">
            <w:pPr>
              <w:pStyle w:val="61"/>
            </w:pPr>
            <w:r>
              <w:rPr>
                <w:rFonts w:hint="eastAsia"/>
              </w:rPr>
              <w:t>清粪设备</w:t>
            </w:r>
          </w:p>
        </w:tc>
        <w:tc>
          <w:tcPr>
            <w:tcW w:w="1260" w:type="pct"/>
            <w:vAlign w:val="center"/>
          </w:tcPr>
          <w:p w14:paraId="79CC17FD">
            <w:pPr>
              <w:pStyle w:val="61"/>
            </w:pPr>
            <w:r>
              <w:rPr>
                <w:rFonts w:hint="eastAsia"/>
              </w:rPr>
              <w:t>/</w:t>
            </w:r>
          </w:p>
        </w:tc>
        <w:tc>
          <w:tcPr>
            <w:tcW w:w="638" w:type="pct"/>
            <w:vAlign w:val="center"/>
          </w:tcPr>
          <w:p w14:paraId="591C5027">
            <w:pPr>
              <w:pStyle w:val="61"/>
            </w:pPr>
            <w:r>
              <w:rPr>
                <w:rFonts w:hint="eastAsia"/>
              </w:rPr>
              <w:t>10套</w:t>
            </w:r>
          </w:p>
        </w:tc>
        <w:tc>
          <w:tcPr>
            <w:tcW w:w="1351" w:type="pct"/>
            <w:vAlign w:val="center"/>
          </w:tcPr>
          <w:p w14:paraId="6EE0BEF4">
            <w:pPr>
              <w:pStyle w:val="61"/>
            </w:pPr>
            <w:r>
              <w:rPr>
                <w:rFonts w:hint="eastAsia"/>
                <w:szCs w:val="21"/>
              </w:rPr>
              <w:t>每栋鸡舍1套，</w:t>
            </w:r>
            <w:r>
              <w:rPr>
                <w:rFonts w:hint="eastAsia" w:ascii="宋体" w:hAnsi="宋体" w:cs="宋体"/>
                <w:color w:val="000000"/>
                <w:szCs w:val="21"/>
                <w:lang w:bidi="ar"/>
              </w:rPr>
              <w:t>带式清粪机，自动清粪</w:t>
            </w:r>
          </w:p>
        </w:tc>
      </w:tr>
      <w:tr w14:paraId="068F5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pct"/>
            <w:vAlign w:val="center"/>
          </w:tcPr>
          <w:p w14:paraId="72378B2D">
            <w:pPr>
              <w:pStyle w:val="61"/>
              <w:rPr>
                <w:rFonts w:hint="eastAsia" w:eastAsia="宋体"/>
                <w:lang w:val="en-US" w:eastAsia="zh-CN"/>
              </w:rPr>
            </w:pPr>
            <w:r>
              <w:rPr>
                <w:rFonts w:hint="eastAsia"/>
                <w:lang w:val="en-US" w:eastAsia="zh-CN"/>
              </w:rPr>
              <w:t>4</w:t>
            </w:r>
          </w:p>
        </w:tc>
        <w:tc>
          <w:tcPr>
            <w:tcW w:w="1184" w:type="pct"/>
            <w:vAlign w:val="center"/>
          </w:tcPr>
          <w:p w14:paraId="6213EF0F">
            <w:pPr>
              <w:pStyle w:val="6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电热水锅炉</w:t>
            </w:r>
          </w:p>
        </w:tc>
        <w:tc>
          <w:tcPr>
            <w:tcW w:w="1260" w:type="pct"/>
            <w:vAlign w:val="center"/>
          </w:tcPr>
          <w:p w14:paraId="68422731">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4t/h</w:t>
            </w:r>
          </w:p>
        </w:tc>
        <w:tc>
          <w:tcPr>
            <w:tcW w:w="638" w:type="pct"/>
            <w:vAlign w:val="center"/>
          </w:tcPr>
          <w:p w14:paraId="4A8FB02D">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1台</w:t>
            </w:r>
          </w:p>
        </w:tc>
        <w:tc>
          <w:tcPr>
            <w:tcW w:w="1351" w:type="pct"/>
            <w:vAlign w:val="center"/>
          </w:tcPr>
          <w:p w14:paraId="09AF86D5">
            <w:pPr>
              <w:pStyle w:val="61"/>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用于鸡舍</w:t>
            </w:r>
            <w:r>
              <w:rPr>
                <w:rFonts w:hint="eastAsia"/>
                <w:color w:val="000000" w:themeColor="text1"/>
                <w:szCs w:val="21"/>
                <w:lang w:val="en-US" w:eastAsia="zh-CN"/>
                <w14:textFill>
                  <w14:solidFill>
                    <w14:schemeClr w14:val="tx1"/>
                  </w14:solidFill>
                </w14:textFill>
              </w:rPr>
              <w:t>冬季</w:t>
            </w:r>
            <w:r>
              <w:rPr>
                <w:rFonts w:hint="eastAsia"/>
                <w:color w:val="000000" w:themeColor="text1"/>
                <w:szCs w:val="21"/>
                <w14:textFill>
                  <w14:solidFill>
                    <w14:schemeClr w14:val="tx1"/>
                  </w14:solidFill>
                </w14:textFill>
              </w:rPr>
              <w:t>供热</w:t>
            </w:r>
          </w:p>
        </w:tc>
      </w:tr>
      <w:tr w14:paraId="262E9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pct"/>
            <w:vAlign w:val="center"/>
          </w:tcPr>
          <w:p w14:paraId="5B129C06">
            <w:pPr>
              <w:pStyle w:val="61"/>
              <w:rPr>
                <w:rFonts w:hint="eastAsia" w:eastAsia="宋体"/>
                <w:lang w:val="en-US" w:eastAsia="zh-CN"/>
              </w:rPr>
            </w:pPr>
            <w:r>
              <w:rPr>
                <w:rFonts w:hint="eastAsia"/>
                <w:lang w:val="en-US" w:eastAsia="zh-CN"/>
              </w:rPr>
              <w:t>5</w:t>
            </w:r>
          </w:p>
        </w:tc>
        <w:tc>
          <w:tcPr>
            <w:tcW w:w="1184" w:type="pct"/>
            <w:vAlign w:val="center"/>
          </w:tcPr>
          <w:p w14:paraId="25F8E18E">
            <w:pPr>
              <w:pStyle w:val="61"/>
            </w:pPr>
            <w:r>
              <w:rPr>
                <w:rFonts w:hint="eastAsia"/>
              </w:rPr>
              <w:t>消毒机</w:t>
            </w:r>
          </w:p>
        </w:tc>
        <w:tc>
          <w:tcPr>
            <w:tcW w:w="1260" w:type="pct"/>
            <w:vAlign w:val="center"/>
          </w:tcPr>
          <w:p w14:paraId="75C6DF8D">
            <w:pPr>
              <w:pStyle w:val="61"/>
            </w:pPr>
            <w:r>
              <w:rPr>
                <w:rFonts w:hint="eastAsia"/>
              </w:rPr>
              <w:t>/</w:t>
            </w:r>
          </w:p>
        </w:tc>
        <w:tc>
          <w:tcPr>
            <w:tcW w:w="638" w:type="pct"/>
            <w:vAlign w:val="center"/>
          </w:tcPr>
          <w:p w14:paraId="34F7C4F2">
            <w:pPr>
              <w:pStyle w:val="61"/>
            </w:pPr>
            <w:r>
              <w:rPr>
                <w:rFonts w:hint="eastAsia"/>
              </w:rPr>
              <w:t>1台</w:t>
            </w:r>
          </w:p>
        </w:tc>
        <w:tc>
          <w:tcPr>
            <w:tcW w:w="1351" w:type="pct"/>
            <w:vAlign w:val="center"/>
          </w:tcPr>
          <w:p w14:paraId="180D5E52">
            <w:pPr>
              <w:pStyle w:val="61"/>
            </w:pPr>
            <w:r>
              <w:rPr>
                <w:rFonts w:hint="eastAsia"/>
                <w:szCs w:val="21"/>
              </w:rPr>
              <w:t>用于鸡舍消毒</w:t>
            </w:r>
          </w:p>
        </w:tc>
      </w:tr>
      <w:tr w14:paraId="1489CB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pct"/>
            <w:vAlign w:val="center"/>
          </w:tcPr>
          <w:p w14:paraId="7AB25C33">
            <w:pPr>
              <w:pStyle w:val="61"/>
              <w:rPr>
                <w:rFonts w:hint="eastAsia" w:eastAsia="宋体"/>
                <w:lang w:val="en-US" w:eastAsia="zh-CN"/>
              </w:rPr>
            </w:pPr>
            <w:r>
              <w:rPr>
                <w:rFonts w:hint="eastAsia"/>
                <w:lang w:val="en-US" w:eastAsia="zh-CN"/>
              </w:rPr>
              <w:t>6</w:t>
            </w:r>
          </w:p>
        </w:tc>
        <w:tc>
          <w:tcPr>
            <w:tcW w:w="1184" w:type="pct"/>
            <w:vAlign w:val="center"/>
          </w:tcPr>
          <w:p w14:paraId="01447076">
            <w:pPr>
              <w:pStyle w:val="61"/>
            </w:pPr>
            <w:r>
              <w:rPr>
                <w:rFonts w:hint="eastAsia"/>
              </w:rPr>
              <w:t>冰柜</w:t>
            </w:r>
          </w:p>
        </w:tc>
        <w:tc>
          <w:tcPr>
            <w:tcW w:w="1260" w:type="pct"/>
            <w:vAlign w:val="center"/>
          </w:tcPr>
          <w:p w14:paraId="1FE5E5F0">
            <w:pPr>
              <w:pStyle w:val="61"/>
            </w:pPr>
            <w:r>
              <w:rPr>
                <w:rFonts w:hint="eastAsia"/>
              </w:rPr>
              <w:t>/</w:t>
            </w:r>
          </w:p>
        </w:tc>
        <w:tc>
          <w:tcPr>
            <w:tcW w:w="638" w:type="pct"/>
            <w:vAlign w:val="center"/>
          </w:tcPr>
          <w:p w14:paraId="0B7304C3">
            <w:pPr>
              <w:pStyle w:val="61"/>
            </w:pPr>
            <w:r>
              <w:rPr>
                <w:rFonts w:hint="eastAsia"/>
              </w:rPr>
              <w:t>1台</w:t>
            </w:r>
          </w:p>
        </w:tc>
        <w:tc>
          <w:tcPr>
            <w:tcW w:w="1351" w:type="pct"/>
            <w:vAlign w:val="center"/>
          </w:tcPr>
          <w:p w14:paraId="4FBB04FD">
            <w:pPr>
              <w:pStyle w:val="61"/>
            </w:pPr>
            <w:r>
              <w:rPr>
                <w:rFonts w:hint="eastAsia"/>
                <w:szCs w:val="21"/>
              </w:rPr>
              <w:t>用于临时暂存病死鸡</w:t>
            </w:r>
          </w:p>
        </w:tc>
      </w:tr>
      <w:tr w14:paraId="67A4CB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pct"/>
            <w:vAlign w:val="center"/>
          </w:tcPr>
          <w:p w14:paraId="63DDF4A1">
            <w:pPr>
              <w:pStyle w:val="61"/>
              <w:rPr>
                <w:rFonts w:hint="eastAsia" w:eastAsia="宋体"/>
                <w:lang w:val="en-US" w:eastAsia="zh-CN"/>
              </w:rPr>
            </w:pPr>
            <w:r>
              <w:rPr>
                <w:rFonts w:hint="eastAsia"/>
                <w:lang w:val="en-US" w:eastAsia="zh-CN"/>
              </w:rPr>
              <w:t>7</w:t>
            </w:r>
          </w:p>
        </w:tc>
        <w:tc>
          <w:tcPr>
            <w:tcW w:w="1184" w:type="pct"/>
            <w:vAlign w:val="center"/>
          </w:tcPr>
          <w:p w14:paraId="1AABFD7E">
            <w:pPr>
              <w:pStyle w:val="61"/>
            </w:pPr>
            <w:r>
              <w:rPr>
                <w:rFonts w:hint="eastAsia"/>
              </w:rPr>
              <w:t>拉粪车</w:t>
            </w:r>
          </w:p>
        </w:tc>
        <w:tc>
          <w:tcPr>
            <w:tcW w:w="1260" w:type="pct"/>
            <w:vAlign w:val="center"/>
          </w:tcPr>
          <w:p w14:paraId="5ABAE962">
            <w:pPr>
              <w:pStyle w:val="61"/>
            </w:pPr>
            <w:r>
              <w:rPr>
                <w:rFonts w:hint="eastAsia"/>
              </w:rPr>
              <w:t>/</w:t>
            </w:r>
          </w:p>
        </w:tc>
        <w:tc>
          <w:tcPr>
            <w:tcW w:w="638" w:type="pct"/>
            <w:vAlign w:val="center"/>
          </w:tcPr>
          <w:p w14:paraId="709647E9">
            <w:pPr>
              <w:pStyle w:val="61"/>
            </w:pPr>
            <w:r>
              <w:rPr>
                <w:rFonts w:hint="eastAsia"/>
              </w:rPr>
              <w:t>2台</w:t>
            </w:r>
          </w:p>
        </w:tc>
        <w:tc>
          <w:tcPr>
            <w:tcW w:w="1351" w:type="pct"/>
            <w:vAlign w:val="center"/>
          </w:tcPr>
          <w:p w14:paraId="2B5126E0">
            <w:pPr>
              <w:pStyle w:val="61"/>
            </w:pPr>
            <w:r>
              <w:rPr>
                <w:rFonts w:hint="eastAsia"/>
                <w:szCs w:val="21"/>
              </w:rPr>
              <w:t>用于鸡粪转运</w:t>
            </w:r>
          </w:p>
        </w:tc>
      </w:tr>
      <w:tr w14:paraId="2BE337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pct"/>
            <w:vAlign w:val="center"/>
          </w:tcPr>
          <w:p w14:paraId="29933381">
            <w:pPr>
              <w:pStyle w:val="61"/>
              <w:rPr>
                <w:rFonts w:hint="eastAsia" w:eastAsia="宋体"/>
                <w:lang w:val="en-US" w:eastAsia="zh-CN"/>
              </w:rPr>
            </w:pPr>
            <w:r>
              <w:rPr>
                <w:rFonts w:hint="eastAsia"/>
                <w:lang w:val="en-US" w:eastAsia="zh-CN"/>
              </w:rPr>
              <w:t>8</w:t>
            </w:r>
          </w:p>
        </w:tc>
        <w:tc>
          <w:tcPr>
            <w:tcW w:w="1184" w:type="pct"/>
            <w:vAlign w:val="center"/>
          </w:tcPr>
          <w:p w14:paraId="05520397">
            <w:pPr>
              <w:pStyle w:val="61"/>
            </w:pPr>
            <w:r>
              <w:rPr>
                <w:rFonts w:hint="eastAsia"/>
              </w:rPr>
              <w:t>铲车</w:t>
            </w:r>
          </w:p>
        </w:tc>
        <w:tc>
          <w:tcPr>
            <w:tcW w:w="1260" w:type="pct"/>
            <w:vAlign w:val="center"/>
          </w:tcPr>
          <w:p w14:paraId="3DE907AE">
            <w:pPr>
              <w:pStyle w:val="61"/>
            </w:pPr>
            <w:r>
              <w:rPr>
                <w:rFonts w:hint="eastAsia"/>
              </w:rPr>
              <w:t>/</w:t>
            </w:r>
          </w:p>
        </w:tc>
        <w:tc>
          <w:tcPr>
            <w:tcW w:w="638" w:type="pct"/>
            <w:vAlign w:val="center"/>
          </w:tcPr>
          <w:p w14:paraId="0A5EDFC5">
            <w:pPr>
              <w:pStyle w:val="61"/>
            </w:pPr>
            <w:r>
              <w:rPr>
                <w:rFonts w:hint="eastAsia"/>
              </w:rPr>
              <w:t>1台</w:t>
            </w:r>
          </w:p>
        </w:tc>
        <w:tc>
          <w:tcPr>
            <w:tcW w:w="1351" w:type="pct"/>
            <w:vAlign w:val="center"/>
          </w:tcPr>
          <w:p w14:paraId="4918672F">
            <w:pPr>
              <w:pStyle w:val="61"/>
              <w:rPr>
                <w:szCs w:val="21"/>
              </w:rPr>
            </w:pPr>
            <w:r>
              <w:rPr>
                <w:rFonts w:hint="eastAsia"/>
                <w:szCs w:val="21"/>
              </w:rPr>
              <w:t>物料转运</w:t>
            </w:r>
          </w:p>
        </w:tc>
      </w:tr>
      <w:tr w14:paraId="2A9D51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pct"/>
            <w:vAlign w:val="center"/>
          </w:tcPr>
          <w:p w14:paraId="1AABF9C2">
            <w:pPr>
              <w:pStyle w:val="61"/>
              <w:rPr>
                <w:rFonts w:hint="eastAsia" w:eastAsia="宋体"/>
                <w:lang w:val="en-US" w:eastAsia="zh-CN"/>
              </w:rPr>
            </w:pPr>
            <w:r>
              <w:rPr>
                <w:rFonts w:hint="eastAsia"/>
                <w:lang w:val="en-US" w:eastAsia="zh-CN"/>
              </w:rPr>
              <w:t>9</w:t>
            </w:r>
          </w:p>
        </w:tc>
        <w:tc>
          <w:tcPr>
            <w:tcW w:w="1184" w:type="pct"/>
            <w:vAlign w:val="center"/>
          </w:tcPr>
          <w:p w14:paraId="24073C25">
            <w:pPr>
              <w:pStyle w:val="61"/>
            </w:pPr>
            <w:r>
              <w:rPr>
                <w:rFonts w:hint="eastAsia"/>
              </w:rPr>
              <w:t>柴油发电机</w:t>
            </w:r>
          </w:p>
        </w:tc>
        <w:tc>
          <w:tcPr>
            <w:tcW w:w="1260" w:type="pct"/>
            <w:vAlign w:val="center"/>
          </w:tcPr>
          <w:p w14:paraId="6CD447D4">
            <w:pPr>
              <w:pStyle w:val="61"/>
            </w:pPr>
            <w:r>
              <w:t>/</w:t>
            </w:r>
          </w:p>
        </w:tc>
        <w:tc>
          <w:tcPr>
            <w:tcW w:w="638" w:type="pct"/>
            <w:vAlign w:val="center"/>
          </w:tcPr>
          <w:p w14:paraId="7C4E0991">
            <w:pPr>
              <w:pStyle w:val="61"/>
            </w:pPr>
            <w:r>
              <w:rPr>
                <w:rFonts w:hint="eastAsia"/>
              </w:rPr>
              <w:t>1套</w:t>
            </w:r>
          </w:p>
        </w:tc>
        <w:tc>
          <w:tcPr>
            <w:tcW w:w="1351" w:type="pct"/>
            <w:vAlign w:val="center"/>
          </w:tcPr>
          <w:p w14:paraId="5164DF09">
            <w:pPr>
              <w:pStyle w:val="61"/>
            </w:pPr>
            <w:r>
              <w:rPr>
                <w:rFonts w:hint="eastAsia"/>
              </w:rPr>
              <w:t>停电备用</w:t>
            </w:r>
          </w:p>
        </w:tc>
      </w:tr>
    </w:tbl>
    <w:p w14:paraId="1B4BFB4D">
      <w:pPr>
        <w:pStyle w:val="4"/>
        <w:spacing w:after="0" w:line="480" w:lineRule="exact"/>
        <w:jc w:val="both"/>
      </w:pPr>
      <w:bookmarkStart w:id="34" w:name="_Toc28376"/>
      <w:r>
        <w:rPr>
          <w:rFonts w:hint="eastAsia"/>
        </w:rPr>
        <w:t>3.</w:t>
      </w:r>
      <w:r>
        <w:t>3</w:t>
      </w:r>
      <w:r>
        <w:rPr>
          <w:rFonts w:hint="eastAsia"/>
        </w:rPr>
        <w:t xml:space="preserve"> 公用及贮运工程</w:t>
      </w:r>
      <w:bookmarkEnd w:id="34"/>
    </w:p>
    <w:p w14:paraId="3873504C">
      <w:pPr>
        <w:pStyle w:val="7"/>
        <w:spacing w:line="480" w:lineRule="exact"/>
      </w:pPr>
      <w:r>
        <w:rPr>
          <w:rFonts w:hint="eastAsia"/>
        </w:rPr>
        <w:t>3.</w:t>
      </w:r>
      <w:r>
        <w:t>3</w:t>
      </w:r>
      <w:r>
        <w:rPr>
          <w:rFonts w:hint="eastAsia"/>
        </w:rPr>
        <w:t>.1 供水</w:t>
      </w:r>
    </w:p>
    <w:p w14:paraId="0E6FF88E">
      <w:pPr>
        <w:spacing w:line="480" w:lineRule="exact"/>
        <w:ind w:firstLine="480" w:firstLineChars="200"/>
      </w:pPr>
      <w:r>
        <w:rPr>
          <w:rFonts w:hint="eastAsia"/>
        </w:rPr>
        <w:t>项目用水主要为员工生活用水、鸡饮用水、鸡笼和鸡舍冲洗用水、夏季鸡舍降温循环水、消毒液稀释用水、除臭剂稀释用水、生</w:t>
      </w:r>
      <w:r>
        <w:rPr>
          <w:rFonts w:hint="eastAsia"/>
          <w:color w:val="000000" w:themeColor="text1"/>
          <w14:textFill>
            <w14:solidFill>
              <w14:schemeClr w14:val="tx1"/>
            </w14:solidFill>
          </w14:textFill>
        </w:rPr>
        <w:t>物喷淋除臭系统用水和</w:t>
      </w:r>
      <w:r>
        <w:rPr>
          <w:rFonts w:hint="eastAsia"/>
          <w:color w:val="000000" w:themeColor="text1"/>
          <w:lang w:val="en-US" w:eastAsia="zh-CN"/>
          <w14:textFill>
            <w14:solidFill>
              <w14:schemeClr w14:val="tx1"/>
            </w14:solidFill>
          </w14:textFill>
        </w:rPr>
        <w:t>电热水锅炉</w:t>
      </w:r>
      <w:r>
        <w:rPr>
          <w:rFonts w:hint="eastAsia"/>
          <w:color w:val="000000" w:themeColor="text1"/>
          <w14:textFill>
            <w14:solidFill>
              <w14:schemeClr w14:val="tx1"/>
            </w14:solidFill>
          </w14:textFill>
        </w:rPr>
        <w:t>供热</w:t>
      </w:r>
      <w:r>
        <w:rPr>
          <w:color w:val="000000" w:themeColor="text1"/>
          <w14:textFill>
            <w14:solidFill>
              <w14:schemeClr w14:val="tx1"/>
            </w14:solidFill>
          </w14:textFill>
        </w:rPr>
        <w:t>补充</w:t>
      </w:r>
      <w:r>
        <w:rPr>
          <w:rFonts w:hint="eastAsia"/>
          <w:color w:val="000000" w:themeColor="text1"/>
          <w14:textFill>
            <w14:solidFill>
              <w14:schemeClr w14:val="tx1"/>
            </w14:solidFill>
          </w14:textFill>
        </w:rPr>
        <w:t>用水等。</w:t>
      </w:r>
      <w:r>
        <w:rPr>
          <w:color w:val="000000" w:themeColor="text1"/>
          <w14:textFill>
            <w14:solidFill>
              <w14:schemeClr w14:val="tx1"/>
            </w14:solidFill>
          </w14:textFill>
        </w:rPr>
        <w:t>项目</w:t>
      </w:r>
      <w:r>
        <w:rPr>
          <w:rFonts w:hAnsi="宋体"/>
          <w:color w:val="000000" w:themeColor="text1"/>
          <w14:textFill>
            <w14:solidFill>
              <w14:schemeClr w14:val="tx1"/>
            </w14:solidFill>
          </w14:textFill>
        </w:rPr>
        <w:t>新鲜水用量约</w:t>
      </w:r>
      <w:r>
        <w:rPr>
          <w:rFonts w:hint="eastAsia" w:hAnsi="宋体"/>
          <w:color w:val="000000" w:themeColor="text1"/>
          <w:lang w:eastAsia="zh-CN"/>
          <w14:textFill>
            <w14:solidFill>
              <w14:schemeClr w14:val="tx1"/>
            </w14:solidFill>
          </w14:textFill>
        </w:rPr>
        <w:t>7986</w:t>
      </w:r>
      <w:r>
        <w:rPr>
          <w:rFonts w:hAnsi="宋体"/>
          <w:color w:val="000000" w:themeColor="text1"/>
          <w14:textFill>
            <w14:solidFill>
              <w14:schemeClr w14:val="tx1"/>
            </w14:solidFill>
          </w14:textFill>
        </w:rPr>
        <w:t>t/a，</w:t>
      </w:r>
      <w:r>
        <w:rPr>
          <w:rFonts w:hint="eastAsia"/>
          <w:color w:val="000000" w:themeColor="text1"/>
          <w14:textFill>
            <w14:solidFill>
              <w14:schemeClr w14:val="tx1"/>
            </w14:solidFill>
          </w14:textFill>
        </w:rPr>
        <w:t>由区域</w:t>
      </w:r>
      <w:r>
        <w:rPr>
          <w:color w:val="000000" w:themeColor="text1"/>
          <w14:textFill>
            <w14:solidFill>
              <w14:schemeClr w14:val="tx1"/>
            </w14:solidFill>
          </w14:textFill>
        </w:rPr>
        <w:t>自来水管网</w:t>
      </w:r>
      <w:r>
        <w:rPr>
          <w:rFonts w:hint="eastAsia"/>
          <w:color w:val="000000" w:themeColor="text1"/>
          <w14:textFill>
            <w14:solidFill>
              <w14:schemeClr w14:val="tx1"/>
            </w14:solidFill>
          </w14:textFill>
        </w:rPr>
        <w:t>供给</w:t>
      </w:r>
      <w:r>
        <w:rPr>
          <w:color w:val="000000" w:themeColor="text1"/>
          <w14:textFill>
            <w14:solidFill>
              <w14:schemeClr w14:val="tx1"/>
            </w14:solidFill>
          </w14:textFill>
        </w:rPr>
        <w:t>，可以满足本项目用水需求。</w:t>
      </w:r>
    </w:p>
    <w:p w14:paraId="0D895EC7">
      <w:pPr>
        <w:pStyle w:val="7"/>
        <w:spacing w:line="480" w:lineRule="exact"/>
      </w:pPr>
      <w:r>
        <w:rPr>
          <w:rFonts w:hint="eastAsia"/>
        </w:rPr>
        <w:t>3</w:t>
      </w:r>
      <w:r>
        <w:t xml:space="preserve">.3.2 </w:t>
      </w:r>
      <w:r>
        <w:rPr>
          <w:rFonts w:hint="eastAsia"/>
        </w:rPr>
        <w:t>排水</w:t>
      </w:r>
    </w:p>
    <w:p w14:paraId="47B68BFB">
      <w:pPr>
        <w:adjustRightInd w:val="0"/>
        <w:snapToGrid w:val="0"/>
        <w:spacing w:line="480" w:lineRule="exact"/>
        <w:ind w:firstLine="480" w:firstLineChars="200"/>
        <w:rPr>
          <w:color w:val="000000"/>
        </w:rPr>
      </w:pPr>
      <w:r>
        <w:rPr>
          <w:rFonts w:hAnsi="宋体"/>
          <w:color w:val="000000"/>
        </w:rPr>
        <w:t>本工程采用雨污分流、清污分流排水系统，厂区内雨水经雨水管网收集后排入</w:t>
      </w:r>
      <w:r>
        <w:rPr>
          <w:rFonts w:hint="eastAsia" w:hAnsi="宋体"/>
          <w:color w:val="000000"/>
        </w:rPr>
        <w:t>北侧十一斗渠，项目排放的雨水执行</w:t>
      </w:r>
      <w:r>
        <w:rPr>
          <w:rFonts w:hAnsi="宋体"/>
          <w:color w:val="000000"/>
          <w:szCs w:val="24"/>
        </w:rPr>
        <w:t>《地表水环境质量标准》（</w:t>
      </w:r>
      <w:r>
        <w:rPr>
          <w:color w:val="000000"/>
          <w:szCs w:val="24"/>
        </w:rPr>
        <w:t>GB3838</w:t>
      </w:r>
      <w:r>
        <w:rPr>
          <w:rFonts w:hint="eastAsia"/>
          <w:color w:val="000000"/>
          <w:szCs w:val="24"/>
        </w:rPr>
        <w:t>-</w:t>
      </w:r>
      <w:r>
        <w:rPr>
          <w:color w:val="000000"/>
          <w:szCs w:val="24"/>
        </w:rPr>
        <w:t>2002</w:t>
      </w:r>
      <w:r>
        <w:rPr>
          <w:rFonts w:hAnsi="宋体"/>
          <w:color w:val="000000"/>
          <w:szCs w:val="24"/>
        </w:rPr>
        <w:t>）</w:t>
      </w:r>
      <w:r>
        <w:rPr>
          <w:color w:val="000000"/>
          <w:szCs w:val="24"/>
        </w:rPr>
        <w:t>III</w:t>
      </w:r>
      <w:r>
        <w:rPr>
          <w:rFonts w:hAnsi="宋体"/>
          <w:color w:val="000000"/>
          <w:szCs w:val="24"/>
        </w:rPr>
        <w:t>类标准</w:t>
      </w:r>
      <w:r>
        <w:rPr>
          <w:rFonts w:hint="eastAsia" w:hAnsi="宋体"/>
          <w:color w:val="000000"/>
        </w:rPr>
        <w:t>。养殖废水、废气喷淋废水</w:t>
      </w:r>
      <w:r>
        <w:rPr>
          <w:rFonts w:hAnsi="宋体"/>
          <w:color w:val="000000"/>
        </w:rPr>
        <w:t>及</w:t>
      </w:r>
      <w:r>
        <w:rPr>
          <w:rFonts w:hint="eastAsia" w:hAnsi="宋体"/>
          <w:color w:val="000000"/>
        </w:rPr>
        <w:t>经化粪池处理的</w:t>
      </w:r>
      <w:r>
        <w:rPr>
          <w:rFonts w:hAnsi="宋体"/>
          <w:color w:val="000000"/>
        </w:rPr>
        <w:t>生活污水</w:t>
      </w:r>
      <w:r>
        <w:rPr>
          <w:rFonts w:hint="eastAsia" w:hAnsi="宋体"/>
          <w:color w:val="000000"/>
        </w:rPr>
        <w:t>一起</w:t>
      </w:r>
      <w:r>
        <w:rPr>
          <w:rFonts w:hAnsi="宋体"/>
          <w:color w:val="000000"/>
        </w:rPr>
        <w:t>经</w:t>
      </w:r>
      <w:r>
        <w:rPr>
          <w:rFonts w:hint="eastAsia" w:hAnsi="宋体"/>
          <w:color w:val="000000"/>
        </w:rPr>
        <w:t>厂</w:t>
      </w:r>
      <w:r>
        <w:rPr>
          <w:rFonts w:hAnsi="宋体"/>
          <w:color w:val="000000"/>
        </w:rPr>
        <w:t>内污水管网汇总后进</w:t>
      </w:r>
      <w:r>
        <w:rPr>
          <w:rFonts w:hint="eastAsia" w:hAnsi="宋体"/>
          <w:color w:val="000000"/>
        </w:rPr>
        <w:t>入厂区</w:t>
      </w:r>
      <w:r>
        <w:rPr>
          <w:rFonts w:hAnsi="宋体"/>
          <w:color w:val="000000"/>
        </w:rPr>
        <w:t>污水处理</w:t>
      </w:r>
      <w:r>
        <w:rPr>
          <w:rFonts w:hint="eastAsia" w:hAnsi="宋体"/>
          <w:color w:val="000000"/>
        </w:rPr>
        <w:t>站</w:t>
      </w:r>
      <w:r>
        <w:rPr>
          <w:rFonts w:hAnsi="宋体"/>
          <w:color w:val="000000"/>
        </w:rPr>
        <w:t>，处理</w:t>
      </w:r>
      <w:r>
        <w:rPr>
          <w:rFonts w:hAnsi="宋体"/>
          <w:color w:val="000000" w:themeColor="text1"/>
          <w14:textFill>
            <w14:solidFill>
              <w14:schemeClr w14:val="tx1"/>
            </w14:solidFill>
          </w14:textFill>
        </w:rPr>
        <w:t>达标后</w:t>
      </w:r>
      <w:r>
        <w:rPr>
          <w:rFonts w:hint="eastAsia" w:hAnsi="宋体"/>
          <w:color w:val="000000" w:themeColor="text1"/>
          <w:szCs w:val="24"/>
          <w14:textFill>
            <w14:solidFill>
              <w14:schemeClr w14:val="tx1"/>
            </w14:solidFill>
          </w14:textFill>
        </w:rPr>
        <w:t>通过</w:t>
      </w:r>
      <w:r>
        <w:rPr>
          <w:rFonts w:hint="eastAsia" w:hAnsi="宋体"/>
          <w:color w:val="000000" w:themeColor="text1"/>
          <w:szCs w:val="24"/>
          <w:lang w:val="en-US" w:eastAsia="zh-CN"/>
          <w14:textFill>
            <w14:solidFill>
              <w14:schemeClr w14:val="tx1"/>
            </w14:solidFill>
          </w14:textFill>
        </w:rPr>
        <w:t>管道输送</w:t>
      </w:r>
      <w:r>
        <w:rPr>
          <w:rFonts w:hint="eastAsia" w:hAnsi="宋体"/>
          <w:color w:val="000000" w:themeColor="text1"/>
          <w:szCs w:val="24"/>
          <w14:textFill>
            <w14:solidFill>
              <w14:schemeClr w14:val="tx1"/>
            </w14:solidFill>
          </w14:textFill>
        </w:rPr>
        <w:t>至项目</w:t>
      </w:r>
      <w:r>
        <w:rPr>
          <w:rFonts w:hAnsi="宋体"/>
          <w:color w:val="000000" w:themeColor="text1"/>
          <w:szCs w:val="24"/>
          <w14:textFill>
            <w14:solidFill>
              <w14:schemeClr w14:val="tx1"/>
            </w14:solidFill>
          </w14:textFill>
        </w:rPr>
        <w:t>配套农田</w:t>
      </w:r>
      <w:r>
        <w:rPr>
          <w:rFonts w:hint="eastAsia" w:hAnsi="宋体"/>
          <w:color w:val="000000" w:themeColor="text1"/>
          <w:szCs w:val="24"/>
          <w14:textFill>
            <w14:solidFill>
              <w14:schemeClr w14:val="tx1"/>
            </w14:solidFill>
          </w14:textFill>
        </w:rPr>
        <w:t>作为</w:t>
      </w:r>
      <w:r>
        <w:rPr>
          <w:rFonts w:hAnsi="宋体"/>
          <w:color w:val="000000" w:themeColor="text1"/>
          <w:szCs w:val="24"/>
          <w14:textFill>
            <w14:solidFill>
              <w14:schemeClr w14:val="tx1"/>
            </w14:solidFill>
          </w14:textFill>
        </w:rPr>
        <w:t>灌溉</w:t>
      </w:r>
      <w:r>
        <w:rPr>
          <w:rFonts w:hint="eastAsia" w:hAnsi="宋体"/>
          <w:color w:val="000000" w:themeColor="text1"/>
          <w:szCs w:val="24"/>
          <w14:textFill>
            <w14:solidFill>
              <w14:schemeClr w14:val="tx1"/>
            </w14:solidFill>
          </w14:textFill>
        </w:rPr>
        <w:t>用水，尾水</w:t>
      </w:r>
      <w:r>
        <w:rPr>
          <w:rFonts w:hint="eastAsia" w:hAnsi="宋体"/>
          <w:color w:val="000000" w:themeColor="text1"/>
          <w:kern w:val="0"/>
          <w:szCs w:val="24"/>
          <w14:textFill>
            <w14:solidFill>
              <w14:schemeClr w14:val="tx1"/>
            </w14:solidFill>
          </w14:textFill>
        </w:rPr>
        <w:t>灌溉农田时应采用管道滴灌，不得漫灌，也不得形成地表径流排入周边水体</w:t>
      </w:r>
      <w:r>
        <w:rPr>
          <w:rFonts w:hAnsi="宋体"/>
          <w:color w:val="000000" w:themeColor="text1"/>
          <w14:textFill>
            <w14:solidFill>
              <w14:schemeClr w14:val="tx1"/>
            </w14:solidFill>
          </w14:textFill>
        </w:rPr>
        <w:t>。</w:t>
      </w:r>
    </w:p>
    <w:p w14:paraId="383F0EA7">
      <w:pPr>
        <w:pStyle w:val="7"/>
        <w:spacing w:line="480" w:lineRule="exact"/>
      </w:pPr>
      <w:r>
        <w:rPr>
          <w:rFonts w:hint="eastAsia"/>
        </w:rPr>
        <w:t>3</w:t>
      </w:r>
      <w:r>
        <w:t xml:space="preserve">.3.3 </w:t>
      </w:r>
      <w:r>
        <w:rPr>
          <w:rFonts w:hint="eastAsia"/>
        </w:rPr>
        <w:t>供电</w:t>
      </w:r>
    </w:p>
    <w:p w14:paraId="4536236F">
      <w:pPr>
        <w:spacing w:line="480" w:lineRule="exact"/>
        <w:ind w:firstLine="480" w:firstLineChars="200"/>
      </w:pPr>
      <w:r>
        <w:rPr>
          <w:rFonts w:hint="eastAsia"/>
        </w:rPr>
        <w:t>本项目各生产设备和员工生活用电均由穿城镇变电所供应。</w:t>
      </w:r>
      <w:r>
        <w:t>该电源符合国家标准《供配电系统设计规范》（GB50052-2009）的规定，电缆专线架空引入。全场常用电有供料、抽水、照明、鸡舍通风、</w:t>
      </w:r>
      <w:r>
        <w:rPr>
          <w:rFonts w:hint="eastAsia"/>
        </w:rPr>
        <w:t>鸡粪</w:t>
      </w:r>
      <w:r>
        <w:t>清理</w:t>
      </w:r>
      <w:r>
        <w:rPr>
          <w:rFonts w:hint="eastAsia"/>
          <w:lang w:eastAsia="zh-CN"/>
        </w:rPr>
        <w:t>、</w:t>
      </w:r>
      <w:r>
        <w:rPr>
          <w:rFonts w:hint="eastAsia"/>
          <w:lang w:val="en-US" w:eastAsia="zh-CN"/>
        </w:rPr>
        <w:t>锅炉</w:t>
      </w:r>
      <w:r>
        <w:t>等，全年用量约</w:t>
      </w:r>
      <w:r>
        <w:rPr>
          <w:rFonts w:hint="eastAsia"/>
        </w:rPr>
        <w:t>85.11</w:t>
      </w:r>
      <w:r>
        <w:t>万kWh/a。</w:t>
      </w:r>
    </w:p>
    <w:p w14:paraId="5B0AA31F">
      <w:pPr>
        <w:pStyle w:val="7"/>
        <w:spacing w:line="480" w:lineRule="exact"/>
      </w:pPr>
      <w:r>
        <w:rPr>
          <w:rFonts w:hint="eastAsia"/>
        </w:rPr>
        <w:t>3</w:t>
      </w:r>
      <w:r>
        <w:t xml:space="preserve">.3.4 </w:t>
      </w:r>
      <w:r>
        <w:rPr>
          <w:rFonts w:hint="eastAsia"/>
        </w:rPr>
        <w:t>通风、降温及供热</w:t>
      </w:r>
    </w:p>
    <w:p w14:paraId="781AC44D">
      <w:pPr>
        <w:spacing w:line="480" w:lineRule="exact"/>
        <w:ind w:firstLine="480" w:firstLineChars="200"/>
      </w:pPr>
      <w:r>
        <w:rPr>
          <w:rFonts w:hint="eastAsia"/>
        </w:rPr>
        <w:t>（1）供热及保温系统</w:t>
      </w:r>
    </w:p>
    <w:p w14:paraId="4627EF32">
      <w:pPr>
        <w:spacing w:line="480" w:lineRule="exact"/>
        <w:ind w:firstLine="482"/>
      </w:pPr>
      <w:r>
        <w:rPr>
          <w:rFonts w:hint="eastAsia" w:ascii="Times New Roman" w:hAnsi="Times New Roman" w:eastAsia="宋体" w:cs="Times New Roman"/>
          <w:szCs w:val="24"/>
        </w:rPr>
        <w:t>冬季</w:t>
      </w:r>
      <w:r>
        <w:rPr>
          <w:rFonts w:ascii="Times New Roman" w:hAnsi="Times New Roman" w:eastAsia="宋体" w:cs="Times New Roman"/>
          <w:szCs w:val="24"/>
        </w:rPr>
        <w:t>鸡舍在</w:t>
      </w:r>
      <w:r>
        <w:rPr>
          <w:rFonts w:ascii="Times New Roman" w:hAnsi="Times New Roman" w:eastAsia="宋体" w:cs="Times New Roman"/>
          <w:color w:val="000000" w:themeColor="text1"/>
          <w:szCs w:val="24"/>
          <w14:textFill>
            <w14:solidFill>
              <w14:schemeClr w14:val="tx1"/>
            </w14:solidFill>
          </w14:textFill>
        </w:rPr>
        <w:t>育雏期间采用</w:t>
      </w:r>
      <w:r>
        <w:rPr>
          <w:rFonts w:hint="eastAsia" w:ascii="Times New Roman" w:hAnsi="Times New Roman" w:eastAsia="宋体" w:cs="Times New Roman"/>
          <w:color w:val="000000" w:themeColor="text1"/>
          <w:szCs w:val="24"/>
          <w:lang w:val="en-US" w:eastAsia="zh-CN"/>
          <w14:textFill>
            <w14:solidFill>
              <w14:schemeClr w14:val="tx1"/>
            </w14:solidFill>
          </w14:textFill>
        </w:rPr>
        <w:t>电热水锅炉</w:t>
      </w:r>
      <w:r>
        <w:rPr>
          <w:rFonts w:ascii="Times New Roman" w:hAnsi="Times New Roman" w:eastAsia="宋体" w:cs="Times New Roman"/>
          <w:color w:val="000000" w:themeColor="text1"/>
          <w:szCs w:val="24"/>
          <w14:textFill>
            <w14:solidFill>
              <w14:schemeClr w14:val="tx1"/>
            </w14:solidFill>
          </w14:textFill>
        </w:rPr>
        <w:t>提供热源，温度保持36-37℃</w:t>
      </w:r>
      <w:r>
        <w:rPr>
          <w:rFonts w:hint="eastAsia" w:ascii="Times New Roman" w:hAnsi="Times New Roman" w:eastAsia="宋体" w:cs="Times New Roman"/>
          <w:color w:val="000000" w:themeColor="text1"/>
          <w:szCs w:val="24"/>
          <w14:textFill>
            <w14:solidFill>
              <w14:schemeClr w14:val="tx1"/>
            </w14:solidFill>
          </w14:textFill>
        </w:rPr>
        <w:t>，全年供热时间约90天。</w:t>
      </w:r>
      <w:r>
        <w:rPr>
          <w:rFonts w:hint="eastAsia" w:ascii="Times New Roman" w:hAnsi="Times New Roman" w:eastAsia="宋体" w:cs="Times New Roman"/>
          <w:szCs w:val="24"/>
        </w:rPr>
        <w:t>项目</w:t>
      </w:r>
      <w:r>
        <w:rPr>
          <w:rFonts w:ascii="Times New Roman" w:hAnsi="Times New Roman" w:eastAsia="宋体" w:cs="Times New Roman"/>
        </w:rPr>
        <w:t>鸡舍采用单元式建筑，缩小空间有利于保温；在鸡舍的外围护结构中，失热最多的是屋顶，铺设在天棚上的保温材料热阻值要高，且要达到足够的厚度并压紧压实；墙壁的失热仅次于屋顶，用空心砖或加气混凝土块代替普通红砖，或在墙体内夹一层泡沫塑料等隔热材料，可提高鸡舍的防寒保温能力。</w:t>
      </w:r>
    </w:p>
    <w:p w14:paraId="00B79FF1">
      <w:pPr>
        <w:spacing w:line="480" w:lineRule="exact"/>
        <w:ind w:firstLine="480" w:firstLineChars="200"/>
      </w:pPr>
      <w:r>
        <w:rPr>
          <w:rFonts w:hint="eastAsia"/>
        </w:rPr>
        <w:t>加强冬季防寒管理。入冬前做好封窗、窗外敷加透光性能好的塑料膜、门上挂防寒毡等；通风换气时尽量降低气流速度；防止舍内潮湿；适当加大饲养密度。</w:t>
      </w:r>
    </w:p>
    <w:p w14:paraId="09F2A057">
      <w:pPr>
        <w:spacing w:line="480" w:lineRule="exact"/>
        <w:ind w:firstLine="480" w:firstLineChars="200"/>
      </w:pPr>
      <w:r>
        <w:rPr>
          <w:rFonts w:hint="eastAsia"/>
        </w:rPr>
        <w:t>（2）降温</w:t>
      </w:r>
    </w:p>
    <w:p w14:paraId="59E964FB">
      <w:pPr>
        <w:spacing w:line="480" w:lineRule="exact"/>
        <w:ind w:firstLine="480" w:firstLineChars="200"/>
      </w:pPr>
      <w:r>
        <w:rPr>
          <w:rFonts w:hint="eastAsia"/>
        </w:rPr>
        <w:t>保持鸡舍通风良好：打开门窗加强空气对流。在鸡舍墙壁预留通风孔，加速舍内气流的速度，带走鸡体表热量。当气温高于29</w:t>
      </w:r>
      <w:r>
        <w:rPr>
          <w:rFonts w:hint="eastAsia" w:ascii="宋体" w:hAnsi="宋体" w:eastAsia="宋体" w:cs="宋体"/>
          <w:lang w:eastAsia="ja-JP"/>
        </w:rPr>
        <w:t>℃</w:t>
      </w:r>
      <w:r>
        <w:rPr>
          <w:rFonts w:hint="eastAsia"/>
        </w:rPr>
        <w:t>，湿度在50%以上时，从早晨5点到夜间1点需要开启通风降温，夜间鸡体温和气温的差异相对较大，可以缩短送风时间。</w:t>
      </w:r>
    </w:p>
    <w:p w14:paraId="4E9152D0">
      <w:pPr>
        <w:spacing w:line="480" w:lineRule="exact"/>
        <w:ind w:firstLine="480" w:firstLineChars="200"/>
      </w:pPr>
      <w:r>
        <w:rPr>
          <w:rFonts w:hint="eastAsia"/>
        </w:rPr>
        <w:t>在鸡舍墙壁安装降温水帘，定时或不定时的为鸡舍直接降温。当鸡舍内温度达到33℃时，就需要开启降温水帘，降温水帘能使鸡舍内的温度迅速在10分钟内下降，降温环保效果佳。降温水帘通常在夏季6</w:t>
      </w:r>
      <w:r>
        <w:t>~</w:t>
      </w:r>
      <w:r>
        <w:rPr>
          <w:rFonts w:hint="eastAsia"/>
        </w:rPr>
        <w:t>9月使用。</w:t>
      </w:r>
    </w:p>
    <w:p w14:paraId="36D32748">
      <w:pPr>
        <w:spacing w:line="480" w:lineRule="exact"/>
        <w:ind w:firstLine="480" w:firstLineChars="200"/>
      </w:pPr>
      <w:r>
        <w:rPr>
          <w:rFonts w:hint="eastAsia"/>
        </w:rPr>
        <w:t>（3）通风</w:t>
      </w:r>
    </w:p>
    <w:p w14:paraId="1B4F22EC">
      <w:pPr>
        <w:spacing w:line="480" w:lineRule="exact"/>
        <w:ind w:firstLine="480" w:firstLineChars="200"/>
      </w:pPr>
      <w:r>
        <w:rPr>
          <w:rFonts w:hint="eastAsia"/>
        </w:rPr>
        <w:t>项目鸡舍都采用机械通风，在每栋鸡舍安装通风机。在冬季关闭窗户或用塑料布密闭窗户，这样便不利于舍内空气的流通，有害气体滞留于舍内，本项目采用机械负压通风的方式来解决，在每个鸡舍单元的门框上方、屋顶下30cm处安装小功率排气扇，对面墙角预置进风口，进行负压通风，把鸡舍内气体排出舍外，让舍外的新鲜空气进入舍内，降低舍内有害气体的含量。</w:t>
      </w:r>
    </w:p>
    <w:p w14:paraId="79C7D7EB">
      <w:pPr>
        <w:pStyle w:val="7"/>
        <w:spacing w:line="480" w:lineRule="exact"/>
      </w:pPr>
      <w:r>
        <w:rPr>
          <w:rFonts w:hint="eastAsia"/>
        </w:rPr>
        <w:t>3</w:t>
      </w:r>
      <w:r>
        <w:t xml:space="preserve">.3.5 </w:t>
      </w:r>
      <w:r>
        <w:rPr>
          <w:rFonts w:hint="eastAsia"/>
        </w:rPr>
        <w:t>存储</w:t>
      </w:r>
    </w:p>
    <w:p w14:paraId="2ECEEC8C">
      <w:pPr>
        <w:spacing w:line="480" w:lineRule="exact"/>
        <w:ind w:firstLine="480" w:firstLineChars="200"/>
      </w:pPr>
      <w:r>
        <w:rPr>
          <w:rFonts w:hint="eastAsia"/>
        </w:rPr>
        <w:t>项目需要存储的物料为饲料、兽药、消毒剂、除臭剂、柴油等。</w:t>
      </w:r>
      <w:r>
        <w:rPr>
          <w:rFonts w:ascii="Times New Roman" w:hAnsi="Times New Roman" w:eastAsia="宋体" w:cs="Times New Roman"/>
          <w:szCs w:val="24"/>
        </w:rPr>
        <w:t>饲料一部分储存在鸡舍旁料塔中，另一部分存储在项目</w:t>
      </w:r>
      <w:r>
        <w:rPr>
          <w:rFonts w:hint="eastAsia" w:ascii="Times New Roman" w:hAnsi="Times New Roman" w:eastAsia="宋体" w:cs="Times New Roman"/>
          <w:szCs w:val="24"/>
        </w:rPr>
        <w:t>原料仓库内</w:t>
      </w:r>
      <w:r>
        <w:rPr>
          <w:rFonts w:hint="eastAsia"/>
        </w:rPr>
        <w:t>；兽药、消毒剂、除臭剂存储在项目原料仓库，柴油存储在项目发电机房内。</w:t>
      </w:r>
    </w:p>
    <w:p w14:paraId="2B2EDA38">
      <w:pPr>
        <w:spacing w:line="480" w:lineRule="exact"/>
        <w:ind w:firstLine="482"/>
        <w:rPr>
          <w:rFonts w:ascii="Times New Roman" w:hAnsi="Times New Roman" w:eastAsia="宋体" w:cs="Times New Roman"/>
        </w:rPr>
      </w:pPr>
      <w:r>
        <w:rPr>
          <w:rFonts w:ascii="Times New Roman" w:hAnsi="Times New Roman" w:eastAsia="宋体" w:cs="Times New Roman"/>
          <w:szCs w:val="24"/>
        </w:rPr>
        <w:t>本项目</w:t>
      </w:r>
      <w:r>
        <w:rPr>
          <w:rFonts w:hint="eastAsia" w:ascii="Times New Roman" w:hAnsi="Times New Roman" w:eastAsia="宋体" w:cs="Times New Roman"/>
          <w:szCs w:val="24"/>
        </w:rPr>
        <w:t>养殖过程</w:t>
      </w:r>
      <w:r>
        <w:rPr>
          <w:rFonts w:ascii="Times New Roman" w:hAnsi="Times New Roman" w:eastAsia="宋体" w:cs="Times New Roman"/>
          <w:szCs w:val="24"/>
        </w:rPr>
        <w:t>产生的鸡粪存储在</w:t>
      </w:r>
      <w:r>
        <w:rPr>
          <w:rFonts w:hint="eastAsia" w:ascii="Times New Roman" w:hAnsi="Times New Roman" w:eastAsia="宋体" w:cs="Times New Roman"/>
          <w:szCs w:val="24"/>
        </w:rPr>
        <w:t>鸡粪暂存库</w:t>
      </w:r>
      <w:r>
        <w:rPr>
          <w:rFonts w:ascii="Times New Roman" w:hAnsi="Times New Roman" w:eastAsia="宋体" w:cs="Times New Roman"/>
          <w:szCs w:val="24"/>
        </w:rPr>
        <w:t>，项目采用干清粪工艺，日</w:t>
      </w:r>
      <w:r>
        <w:rPr>
          <w:rFonts w:hint="eastAsia" w:ascii="Times New Roman" w:hAnsi="Times New Roman" w:eastAsia="宋体" w:cs="Times New Roman"/>
          <w:szCs w:val="24"/>
        </w:rPr>
        <w:t>产</w:t>
      </w:r>
      <w:r>
        <w:rPr>
          <w:rFonts w:ascii="Times New Roman" w:hAnsi="Times New Roman" w:eastAsia="宋体" w:cs="Times New Roman"/>
          <w:szCs w:val="24"/>
        </w:rPr>
        <w:t>日清。建设项目鸡场意外死亡和生病死的鸡尸体委托</w:t>
      </w:r>
      <w:r>
        <w:rPr>
          <w:rFonts w:hint="eastAsia" w:ascii="Times New Roman" w:hAnsi="Times New Roman" w:eastAsia="宋体" w:cs="Times New Roman"/>
          <w:szCs w:val="24"/>
        </w:rPr>
        <w:t>泗阳北斗星动物无害化处理有限公司</w:t>
      </w:r>
      <w:r>
        <w:rPr>
          <w:rFonts w:ascii="Times New Roman" w:hAnsi="Times New Roman" w:eastAsia="宋体" w:cs="Times New Roman"/>
          <w:szCs w:val="24"/>
        </w:rPr>
        <w:t>进行无害化处置，一旦出现病死鸡情况，厂区</w:t>
      </w:r>
      <w:r>
        <w:rPr>
          <w:rFonts w:hint="eastAsia" w:ascii="Times New Roman" w:hAnsi="Times New Roman" w:eastAsia="宋体" w:cs="Times New Roman"/>
          <w:szCs w:val="24"/>
        </w:rPr>
        <w:t>立</w:t>
      </w:r>
      <w:r>
        <w:rPr>
          <w:rFonts w:ascii="Times New Roman" w:hAnsi="Times New Roman" w:eastAsia="宋体" w:cs="Times New Roman"/>
          <w:szCs w:val="24"/>
        </w:rPr>
        <w:t>即进行全场消毒，清理病死鸡送至无害化处置单位进行处理，如遇特殊情况无法出场，则</w:t>
      </w:r>
      <w:r>
        <w:rPr>
          <w:rFonts w:hint="eastAsia" w:ascii="Times New Roman" w:hAnsi="Times New Roman" w:eastAsia="宋体" w:cs="Times New Roman"/>
          <w:szCs w:val="24"/>
        </w:rPr>
        <w:t>置</w:t>
      </w:r>
      <w:r>
        <w:rPr>
          <w:rFonts w:ascii="Times New Roman" w:hAnsi="Times New Roman" w:eastAsia="宋体" w:cs="Times New Roman"/>
          <w:szCs w:val="24"/>
        </w:rPr>
        <w:t>于</w:t>
      </w:r>
      <w:r>
        <w:rPr>
          <w:rFonts w:hint="eastAsia" w:ascii="Times New Roman" w:hAnsi="Times New Roman" w:eastAsia="宋体" w:cs="Times New Roman"/>
          <w:szCs w:val="24"/>
        </w:rPr>
        <w:t>固废间</w:t>
      </w:r>
      <w:r>
        <w:rPr>
          <w:rFonts w:ascii="Times New Roman" w:hAnsi="Times New Roman" w:eastAsia="宋体" w:cs="Times New Roman"/>
          <w:szCs w:val="24"/>
        </w:rPr>
        <w:t>的</w:t>
      </w:r>
      <w:r>
        <w:rPr>
          <w:rFonts w:hint="eastAsia" w:ascii="Times New Roman" w:hAnsi="Times New Roman" w:eastAsia="宋体" w:cs="Times New Roman"/>
          <w:szCs w:val="24"/>
        </w:rPr>
        <w:t>冰柜</w:t>
      </w:r>
      <w:r>
        <w:rPr>
          <w:rFonts w:ascii="Times New Roman" w:hAnsi="Times New Roman" w:eastAsia="宋体" w:cs="Times New Roman"/>
          <w:szCs w:val="24"/>
        </w:rPr>
        <w:t>中</w:t>
      </w:r>
      <w:r>
        <w:rPr>
          <w:rFonts w:hint="eastAsia" w:ascii="Times New Roman" w:hAnsi="Times New Roman" w:eastAsia="宋体" w:cs="Times New Roman"/>
          <w:szCs w:val="24"/>
        </w:rPr>
        <w:t>暂存</w:t>
      </w:r>
      <w:r>
        <w:rPr>
          <w:rFonts w:ascii="Times New Roman" w:hAnsi="Times New Roman" w:eastAsia="宋体" w:cs="Times New Roman"/>
          <w:szCs w:val="24"/>
        </w:rPr>
        <w:t>，而后再运送至</w:t>
      </w:r>
      <w:r>
        <w:rPr>
          <w:rFonts w:hint="eastAsia" w:ascii="Times New Roman" w:hAnsi="Times New Roman" w:eastAsia="宋体" w:cs="Times New Roman"/>
          <w:szCs w:val="24"/>
        </w:rPr>
        <w:t>泗阳北斗星动物无害化处理有限公司</w:t>
      </w:r>
      <w:r>
        <w:rPr>
          <w:rFonts w:ascii="Times New Roman" w:hAnsi="Times New Roman" w:eastAsia="宋体" w:cs="Times New Roman"/>
          <w:szCs w:val="24"/>
        </w:rPr>
        <w:t>进行无害化处置。</w:t>
      </w:r>
    </w:p>
    <w:p w14:paraId="2CD459A9">
      <w:pPr>
        <w:pStyle w:val="7"/>
        <w:spacing w:line="480" w:lineRule="exact"/>
      </w:pPr>
      <w:r>
        <w:rPr>
          <w:rFonts w:hint="eastAsia"/>
        </w:rPr>
        <w:t>3</w:t>
      </w:r>
      <w:r>
        <w:t xml:space="preserve">.3.6 </w:t>
      </w:r>
      <w:r>
        <w:rPr>
          <w:rFonts w:hint="eastAsia"/>
        </w:rPr>
        <w:t>运输</w:t>
      </w:r>
    </w:p>
    <w:p w14:paraId="0F60A7C2">
      <w:pPr>
        <w:spacing w:line="480" w:lineRule="exact"/>
        <w:ind w:firstLine="480" w:firstLineChars="200"/>
      </w:pPr>
      <w:r>
        <w:rPr>
          <w:rFonts w:hint="eastAsia"/>
        </w:rPr>
        <w:t>厂外运输：</w:t>
      </w:r>
      <w:r>
        <w:t>厂外运输主要为项目消耗的饲料</w:t>
      </w:r>
      <w:r>
        <w:rPr>
          <w:rFonts w:hint="eastAsia"/>
        </w:rPr>
        <w:t>、鸡苗、</w:t>
      </w:r>
      <w:r>
        <w:t>外售的肉鸡</w:t>
      </w:r>
      <w:r>
        <w:rPr>
          <w:rFonts w:hint="eastAsia"/>
        </w:rPr>
        <w:t>、鸡粪及处理达标的尾水，</w:t>
      </w:r>
      <w:r>
        <w:t>采用公路运输。</w:t>
      </w:r>
    </w:p>
    <w:p w14:paraId="013C4318">
      <w:pPr>
        <w:spacing w:line="480" w:lineRule="exact"/>
        <w:ind w:firstLine="482"/>
        <w:rPr>
          <w:rFonts w:eastAsia="宋体"/>
        </w:rPr>
      </w:pPr>
      <w:r>
        <w:t>厂内运输：厂内运输主要由各仓库到鸡舍，另外还有将鸡粪运至</w:t>
      </w:r>
      <w:r>
        <w:rPr>
          <w:rFonts w:hint="eastAsia"/>
        </w:rPr>
        <w:t>鸡粪暂存库，</w:t>
      </w:r>
      <w:r>
        <w:t>其特点是短距离、次数频繁，且多处于狭小的空间内，主要采用</w:t>
      </w:r>
      <w:r>
        <w:rPr>
          <w:rFonts w:hint="eastAsia"/>
        </w:rPr>
        <w:t>铲车、拉粪车</w:t>
      </w:r>
      <w:r>
        <w:t>和人工搬运方式</w:t>
      </w:r>
      <w:r>
        <w:rPr>
          <w:rFonts w:hint="eastAsia"/>
        </w:rPr>
        <w:t>。</w:t>
      </w:r>
    </w:p>
    <w:p w14:paraId="53FDC2FC">
      <w:pPr>
        <w:spacing w:line="480" w:lineRule="exact"/>
        <w:ind w:firstLine="482"/>
      </w:pPr>
      <w:r>
        <w:t>项目设置1个出入口，位于厂区</w:t>
      </w:r>
      <w:r>
        <w:rPr>
          <w:rFonts w:hint="eastAsia"/>
        </w:rPr>
        <w:t>南</w:t>
      </w:r>
      <w:r>
        <w:t>侧。出入口靠近乡村公路，交通方便。同时远离主干道，便于防疫工作的开展。</w:t>
      </w:r>
    </w:p>
    <w:p w14:paraId="398E737B">
      <w:pPr>
        <w:spacing w:line="480" w:lineRule="exact"/>
        <w:ind w:firstLine="482"/>
      </w:pPr>
      <w:r>
        <w:t>项目生产区道路设计车行环线及人行通道连接</w:t>
      </w:r>
      <w:r>
        <w:rPr>
          <w:rFonts w:hint="eastAsia"/>
        </w:rPr>
        <w:t>鸡</w:t>
      </w:r>
      <w:r>
        <w:t>舍，做到人流、物流分开，净污分流，防止交叉污染，并严格限制进厂车辆，有效防范疫情；</w:t>
      </w:r>
      <w:r>
        <w:rPr>
          <w:rFonts w:hint="eastAsia"/>
        </w:rPr>
        <w:t>厂区</w:t>
      </w:r>
      <w:r>
        <w:t>内道路采用水泥混凝土路面。</w:t>
      </w:r>
    </w:p>
    <w:p w14:paraId="5A664D1B">
      <w:pPr>
        <w:pStyle w:val="7"/>
        <w:spacing w:line="480" w:lineRule="exact"/>
      </w:pPr>
      <w:r>
        <w:rPr>
          <w:rFonts w:hint="eastAsia"/>
        </w:rPr>
        <w:t>3</w:t>
      </w:r>
      <w:r>
        <w:t xml:space="preserve">.3.7 </w:t>
      </w:r>
      <w:r>
        <w:rPr>
          <w:rFonts w:hint="eastAsia"/>
        </w:rPr>
        <w:t>鸡舍清粪方式</w:t>
      </w:r>
    </w:p>
    <w:p w14:paraId="00B57AE1">
      <w:pPr>
        <w:pageBreakBefore w:val="0"/>
        <w:widowControl w:val="0"/>
        <w:kinsoku/>
        <w:wordWrap/>
        <w:overflowPunct/>
        <w:topLinePunct w:val="0"/>
        <w:autoSpaceDE/>
        <w:autoSpaceDN/>
        <w:bidi w:val="0"/>
        <w:adjustRightInd/>
        <w:snapToGrid/>
        <w:spacing w:line="460" w:lineRule="exact"/>
        <w:ind w:firstLine="480" w:firstLineChars="200"/>
        <w:textAlignment w:val="auto"/>
      </w:pPr>
      <w:r>
        <w:t>项目鸡舍清粪方式为带式清粪机，主要由主动辊、被动辊、托辊和输送带组成。每</w:t>
      </w:r>
      <w:r>
        <w:rPr>
          <w:rFonts w:hint="eastAsia"/>
        </w:rPr>
        <w:t>个</w:t>
      </w:r>
      <w:r>
        <w:t>鸡笼下面安装一条输送带，鸡粪直接落到输送带上，定期启动输送带，将鸡粪送到鸡笼的一端，由刮板将鸡粪刮下，落入横向螺旋清粪机，</w:t>
      </w:r>
      <w:r>
        <w:rPr>
          <w:rFonts w:hint="eastAsia"/>
        </w:rPr>
        <w:t>后通过拉粪车运送至鸡粪暂存库</w:t>
      </w:r>
      <w:r>
        <w:t>。</w:t>
      </w:r>
    </w:p>
    <w:p w14:paraId="56FCDA8A">
      <w:pPr>
        <w:pStyle w:val="7"/>
        <w:pageBreakBefore w:val="0"/>
        <w:widowControl w:val="0"/>
        <w:kinsoku/>
        <w:wordWrap/>
        <w:overflowPunct/>
        <w:topLinePunct w:val="0"/>
        <w:autoSpaceDE/>
        <w:autoSpaceDN/>
        <w:bidi w:val="0"/>
        <w:adjustRightInd/>
        <w:snapToGrid/>
        <w:spacing w:line="460" w:lineRule="exact"/>
        <w:textAlignment w:val="auto"/>
      </w:pPr>
      <w:r>
        <w:rPr>
          <w:rFonts w:hint="eastAsia"/>
        </w:rPr>
        <w:t>3</w:t>
      </w:r>
      <w:r>
        <w:t xml:space="preserve">.3.8 </w:t>
      </w:r>
      <w:r>
        <w:rPr>
          <w:rFonts w:hint="eastAsia"/>
        </w:rPr>
        <w:t>防疫与消毒</w:t>
      </w:r>
    </w:p>
    <w:p w14:paraId="623B0E60">
      <w:pPr>
        <w:pageBreakBefore w:val="0"/>
        <w:widowControl w:val="0"/>
        <w:kinsoku/>
        <w:wordWrap/>
        <w:overflowPunct/>
        <w:topLinePunct w:val="0"/>
        <w:autoSpaceDE/>
        <w:autoSpaceDN/>
        <w:bidi w:val="0"/>
        <w:adjustRightInd/>
        <w:snapToGrid/>
        <w:spacing w:line="460" w:lineRule="exact"/>
        <w:ind w:firstLine="420"/>
        <w:textAlignment w:val="auto"/>
        <w:outlineLvl w:val="1"/>
      </w:pPr>
      <w:bookmarkStart w:id="35" w:name="_Toc13534"/>
      <w:bookmarkStart w:id="36" w:name="_Toc21477"/>
      <w:bookmarkStart w:id="37" w:name="_Toc26993"/>
      <w:bookmarkStart w:id="38" w:name="_Toc22748"/>
      <w:bookmarkStart w:id="39" w:name="_Toc7046"/>
      <w:r>
        <w:t>（1）防疫措施</w:t>
      </w:r>
      <w:bookmarkEnd w:id="35"/>
      <w:bookmarkEnd w:id="36"/>
      <w:bookmarkEnd w:id="37"/>
      <w:bookmarkEnd w:id="38"/>
      <w:bookmarkEnd w:id="39"/>
    </w:p>
    <w:p w14:paraId="4C87C86C">
      <w:pPr>
        <w:pageBreakBefore w:val="0"/>
        <w:widowControl w:val="0"/>
        <w:kinsoku/>
        <w:wordWrap/>
        <w:overflowPunct/>
        <w:topLinePunct w:val="0"/>
        <w:autoSpaceDE/>
        <w:autoSpaceDN/>
        <w:bidi w:val="0"/>
        <w:adjustRightInd/>
        <w:snapToGrid/>
        <w:spacing w:line="460" w:lineRule="exact"/>
        <w:ind w:firstLine="480" w:firstLineChars="200"/>
        <w:textAlignment w:val="auto"/>
      </w:pPr>
      <w:r>
        <w:t>病死鸡应及时委托无害化处置单位进行无害化处置，严格按照处置程序进行处理，处理后对车间进行严格的消毒措施。</w:t>
      </w:r>
    </w:p>
    <w:p w14:paraId="34B68D6E">
      <w:pPr>
        <w:pageBreakBefore w:val="0"/>
        <w:widowControl w:val="0"/>
        <w:kinsoku/>
        <w:wordWrap/>
        <w:overflowPunct/>
        <w:topLinePunct w:val="0"/>
        <w:autoSpaceDE/>
        <w:autoSpaceDN/>
        <w:bidi w:val="0"/>
        <w:adjustRightInd/>
        <w:snapToGrid/>
        <w:spacing w:line="460" w:lineRule="exact"/>
        <w:ind w:firstLine="480" w:firstLineChars="200"/>
        <w:textAlignment w:val="auto"/>
      </w:pPr>
      <w:r>
        <w:rPr>
          <w:rFonts w:hint="eastAsia"/>
        </w:rPr>
        <w:t>厂区</w:t>
      </w:r>
      <w:r>
        <w:t>的平面布置应结合农业部发布的《标准化规模养鸡场建设规范》（NY/T 1568-2007）进行设计建设。严禁</w:t>
      </w:r>
      <w:r>
        <w:rPr>
          <w:rFonts w:hint="eastAsia"/>
        </w:rPr>
        <w:t>厂内</w:t>
      </w:r>
      <w:r>
        <w:t>兽医人员在场外兼职，严禁场外兽医进入生产区诊治疾病，确因需要必须从场外请进的兽医，进入隔离区应更换服装鞋帽，进行严格消毒后，方可进入生产区。</w:t>
      </w:r>
    </w:p>
    <w:p w14:paraId="60360A16">
      <w:pPr>
        <w:pageBreakBefore w:val="0"/>
        <w:widowControl w:val="0"/>
        <w:kinsoku/>
        <w:wordWrap/>
        <w:overflowPunct/>
        <w:topLinePunct w:val="0"/>
        <w:autoSpaceDE/>
        <w:autoSpaceDN/>
        <w:bidi w:val="0"/>
        <w:adjustRightInd/>
        <w:snapToGrid/>
        <w:spacing w:line="440" w:lineRule="exact"/>
        <w:ind w:firstLine="480" w:firstLineChars="200"/>
        <w:textAlignment w:val="auto"/>
      </w:pPr>
      <w:r>
        <w:rPr>
          <w:rFonts w:hint="eastAsia"/>
        </w:rPr>
        <w:t>本项目外购鸡苗已进行疫苗免疫，不在厂区内进行</w:t>
      </w:r>
      <w:r>
        <w:t>疫苗注射。</w:t>
      </w:r>
    </w:p>
    <w:p w14:paraId="5134F572">
      <w:pPr>
        <w:pageBreakBefore w:val="0"/>
        <w:widowControl w:val="0"/>
        <w:kinsoku/>
        <w:wordWrap/>
        <w:overflowPunct/>
        <w:topLinePunct w:val="0"/>
        <w:autoSpaceDE/>
        <w:autoSpaceDN/>
        <w:bidi w:val="0"/>
        <w:adjustRightInd/>
        <w:snapToGrid/>
        <w:spacing w:line="440" w:lineRule="exact"/>
        <w:ind w:firstLine="480" w:firstLineChars="200"/>
        <w:textAlignment w:val="auto"/>
      </w:pPr>
      <w:r>
        <w:t>兽医人员应定期对鸡群进行系统检查，观察鸡群的健康状况，并做好检查记录。有疫病发生，进一步调查原因，作出初步判断，提出相应预防措施，防止疫病扩散蔓延，并按规定将疫情报告当地动物防疫监督机构。严禁迟报、瞒报动物疫情。</w:t>
      </w:r>
    </w:p>
    <w:p w14:paraId="6643251E">
      <w:pPr>
        <w:pageBreakBefore w:val="0"/>
        <w:widowControl w:val="0"/>
        <w:kinsoku/>
        <w:wordWrap/>
        <w:overflowPunct/>
        <w:topLinePunct w:val="0"/>
        <w:autoSpaceDE/>
        <w:autoSpaceDN/>
        <w:bidi w:val="0"/>
        <w:adjustRightInd/>
        <w:snapToGrid/>
        <w:spacing w:line="440" w:lineRule="exact"/>
        <w:ind w:firstLine="420"/>
        <w:textAlignment w:val="auto"/>
        <w:outlineLvl w:val="1"/>
      </w:pPr>
      <w:bookmarkStart w:id="40" w:name="_Toc28401"/>
      <w:bookmarkStart w:id="41" w:name="_Toc14693"/>
      <w:bookmarkStart w:id="42" w:name="_Toc1400"/>
      <w:bookmarkStart w:id="43" w:name="_Toc1250"/>
      <w:bookmarkStart w:id="44" w:name="_Toc12774"/>
      <w:r>
        <w:t>（2）消毒措施</w:t>
      </w:r>
      <w:bookmarkEnd w:id="40"/>
      <w:bookmarkEnd w:id="41"/>
      <w:bookmarkEnd w:id="42"/>
      <w:bookmarkEnd w:id="43"/>
      <w:bookmarkEnd w:id="44"/>
    </w:p>
    <w:p w14:paraId="5F600054">
      <w:pPr>
        <w:pageBreakBefore w:val="0"/>
        <w:widowControl w:val="0"/>
        <w:kinsoku/>
        <w:wordWrap/>
        <w:overflowPunct/>
        <w:topLinePunct w:val="0"/>
        <w:autoSpaceDE/>
        <w:autoSpaceDN/>
        <w:bidi w:val="0"/>
        <w:adjustRightInd/>
        <w:snapToGrid/>
        <w:spacing w:line="440" w:lineRule="exact"/>
        <w:ind w:firstLine="480" w:firstLineChars="200"/>
        <w:textAlignment w:val="auto"/>
      </w:pPr>
      <w:r>
        <w:t>做好日常消毒。定期对</w:t>
      </w:r>
      <w:r>
        <w:rPr>
          <w:rFonts w:hint="eastAsia"/>
        </w:rPr>
        <w:t>鸡</w:t>
      </w:r>
      <w:r>
        <w:t>舍、道路、环境进行消毒；保持有效浓度，同时要严格诊疗器械的消毒工作。</w:t>
      </w:r>
    </w:p>
    <w:p w14:paraId="5CA2B19A">
      <w:pPr>
        <w:pageBreakBefore w:val="0"/>
        <w:widowControl w:val="0"/>
        <w:kinsoku/>
        <w:wordWrap/>
        <w:overflowPunct/>
        <w:topLinePunct w:val="0"/>
        <w:autoSpaceDE/>
        <w:autoSpaceDN/>
        <w:bidi w:val="0"/>
        <w:adjustRightInd/>
        <w:snapToGrid/>
        <w:spacing w:line="440" w:lineRule="exact"/>
        <w:ind w:firstLine="480" w:firstLineChars="200"/>
        <w:textAlignment w:val="auto"/>
      </w:pPr>
      <w:r>
        <w:t>加强终末消毒。全进全出制生产方式，出栏后，应对全场或空舍的单元、饲养用具等进行全方位的彻底清洗和消毒。或在周围地区发生国家规定的一、二类疫病流行初期，或在本场发生国家规定的一、二类疫病流行平息后，解除封锁前均应对全场进行彻底清洗和消毒。本</w:t>
      </w:r>
      <w:bookmarkStart w:id="45" w:name="OLE_LINK18"/>
      <w:bookmarkStart w:id="46" w:name="OLE_LINK17"/>
      <w:r>
        <w:t>项目采用的消毒剂主要为复方戊二醛溶液、冰醋酸、克毒灵和碘威，可有效防止产生氯代有机物及其它的二次污染物，能够满足《畜禽养殖业污染防治技术规范》（HJ/T81-2001）要求。</w:t>
      </w:r>
      <w:bookmarkEnd w:id="45"/>
      <w:bookmarkEnd w:id="46"/>
    </w:p>
    <w:p w14:paraId="597DDBA9">
      <w:pPr>
        <w:pStyle w:val="4"/>
        <w:pageBreakBefore w:val="0"/>
        <w:widowControl w:val="0"/>
        <w:kinsoku/>
        <w:wordWrap/>
        <w:overflowPunct/>
        <w:topLinePunct w:val="0"/>
        <w:autoSpaceDE/>
        <w:autoSpaceDN/>
        <w:bidi w:val="0"/>
        <w:adjustRightInd/>
        <w:snapToGrid/>
        <w:spacing w:after="0" w:line="440" w:lineRule="exact"/>
        <w:jc w:val="both"/>
        <w:textAlignment w:val="auto"/>
      </w:pPr>
      <w:bookmarkStart w:id="47" w:name="_Toc3387"/>
      <w:r>
        <w:rPr>
          <w:rFonts w:hint="eastAsia"/>
        </w:rPr>
        <w:t>3</w:t>
      </w:r>
      <w:r>
        <w:t xml:space="preserve">.4 </w:t>
      </w:r>
      <w:r>
        <w:rPr>
          <w:rFonts w:hint="eastAsia"/>
        </w:rPr>
        <w:t>平面布置及周围环境概况</w:t>
      </w:r>
      <w:bookmarkEnd w:id="47"/>
    </w:p>
    <w:p w14:paraId="4F3C936E">
      <w:pPr>
        <w:pStyle w:val="7"/>
        <w:pageBreakBefore w:val="0"/>
        <w:widowControl w:val="0"/>
        <w:kinsoku/>
        <w:wordWrap/>
        <w:overflowPunct/>
        <w:topLinePunct w:val="0"/>
        <w:autoSpaceDE/>
        <w:autoSpaceDN/>
        <w:bidi w:val="0"/>
        <w:adjustRightInd/>
        <w:snapToGrid/>
        <w:spacing w:line="440" w:lineRule="exact"/>
        <w:textAlignment w:val="auto"/>
      </w:pPr>
      <w:r>
        <w:rPr>
          <w:rFonts w:hint="eastAsia"/>
        </w:rPr>
        <w:t>3</w:t>
      </w:r>
      <w:r>
        <w:t xml:space="preserve">.4.1 </w:t>
      </w:r>
      <w:r>
        <w:rPr>
          <w:rFonts w:hint="eastAsia"/>
        </w:rPr>
        <w:t>厂区平面布置情况</w:t>
      </w:r>
    </w:p>
    <w:p w14:paraId="15D8DE9F">
      <w:pPr>
        <w:pageBreakBefore w:val="0"/>
        <w:widowControl w:val="0"/>
        <w:tabs>
          <w:tab w:val="left" w:pos="540"/>
          <w:tab w:val="left" w:pos="900"/>
        </w:tabs>
        <w:kinsoku/>
        <w:wordWrap/>
        <w:overflowPunct/>
        <w:topLinePunct w:val="0"/>
        <w:autoSpaceDE/>
        <w:autoSpaceDN/>
        <w:bidi w:val="0"/>
        <w:adjustRightInd/>
        <w:snapToGrid/>
        <w:spacing w:line="440" w:lineRule="exact"/>
        <w:ind w:firstLine="482"/>
        <w:textAlignment w:val="auto"/>
      </w:pPr>
      <w:r>
        <w:t>根据生产工艺特点，遵循《建筑设计防火规范》（</w:t>
      </w:r>
      <w:r>
        <w:rPr>
          <w:rFonts w:hint="eastAsia"/>
        </w:rPr>
        <w:t>GB50016-2023</w:t>
      </w:r>
      <w:r>
        <w:t>）等相关规范要求，结合厂区自然环境，在符合厂区总体规划、工艺流程顺畅、交通运输方便、满足安全防火间距与清洁卫生要求、节约能耗、节约土地和方便生产管理等原则下，总平面布置力求做到功能分区明确，管线走向便捷，交通组织合理，环境卫生条件良好和厂容厂貌整齐美观以及有利于生产安全管理。</w:t>
      </w:r>
    </w:p>
    <w:p w14:paraId="0E72769B">
      <w:pPr>
        <w:pageBreakBefore w:val="0"/>
        <w:widowControl w:val="0"/>
        <w:tabs>
          <w:tab w:val="left" w:pos="540"/>
          <w:tab w:val="left" w:pos="900"/>
        </w:tabs>
        <w:kinsoku/>
        <w:wordWrap/>
        <w:overflowPunct/>
        <w:topLinePunct w:val="0"/>
        <w:autoSpaceDE/>
        <w:autoSpaceDN/>
        <w:bidi w:val="0"/>
        <w:adjustRightInd/>
        <w:snapToGrid/>
        <w:spacing w:line="440" w:lineRule="exact"/>
        <w:ind w:firstLine="482"/>
        <w:textAlignment w:val="auto"/>
        <w:rPr>
          <w:kern w:val="0"/>
        </w:rPr>
      </w:pPr>
      <w:r>
        <w:t>厂区主入口位于厂区</w:t>
      </w:r>
      <w:r>
        <w:rPr>
          <w:rFonts w:hint="eastAsia"/>
        </w:rPr>
        <w:t>南</w:t>
      </w:r>
      <w:r>
        <w:t>侧。厂区主要分为</w:t>
      </w:r>
      <w:r>
        <w:rPr>
          <w:rFonts w:hint="eastAsia"/>
        </w:rPr>
        <w:t>环保区、</w:t>
      </w:r>
      <w:r>
        <w:t>养殖区、</w:t>
      </w:r>
      <w:r>
        <w:rPr>
          <w:rFonts w:hint="eastAsia"/>
        </w:rPr>
        <w:t>员工休息区、仓储区及办公</w:t>
      </w:r>
      <w:r>
        <w:t>检疫区。厂区</w:t>
      </w:r>
      <w:r>
        <w:rPr>
          <w:rFonts w:hint="eastAsia"/>
        </w:rPr>
        <w:t>内部</w:t>
      </w:r>
      <w:r>
        <w:t>由</w:t>
      </w:r>
      <w:r>
        <w:rPr>
          <w:rFonts w:hint="eastAsia"/>
        </w:rPr>
        <w:t>南向北</w:t>
      </w:r>
      <w:r>
        <w:t>依次为</w:t>
      </w:r>
      <w:r>
        <w:rPr>
          <w:rFonts w:hint="eastAsia"/>
        </w:rPr>
        <w:t>办公</w:t>
      </w:r>
      <w:r>
        <w:t>检疫区</w:t>
      </w:r>
      <w:r>
        <w:rPr>
          <w:rFonts w:hint="eastAsia"/>
        </w:rPr>
        <w:t>及仓储区、员工休息区、</w:t>
      </w:r>
      <w:r>
        <w:t>1号~</w:t>
      </w:r>
      <w:r>
        <w:rPr>
          <w:rFonts w:hint="eastAsia"/>
        </w:rPr>
        <w:t>10</w:t>
      </w:r>
      <w:r>
        <w:t>号鸡舍</w:t>
      </w:r>
      <w:r>
        <w:rPr>
          <w:rFonts w:hint="eastAsia"/>
        </w:rPr>
        <w:t>、环保区（包括污水处理站及粪污暂存仓库）</w:t>
      </w:r>
      <w:r>
        <w:t>。项目平面布置图见</w:t>
      </w:r>
      <w:r>
        <w:rPr>
          <w:b/>
          <w:bCs/>
        </w:rPr>
        <w:t>图</w:t>
      </w:r>
      <w:r>
        <w:rPr>
          <w:rFonts w:hint="eastAsia"/>
          <w:b/>
          <w:bCs/>
        </w:rPr>
        <w:t>3.4-1</w:t>
      </w:r>
      <w:r>
        <w:rPr>
          <w:kern w:val="0"/>
        </w:rPr>
        <w:t>。</w:t>
      </w:r>
    </w:p>
    <w:p w14:paraId="1C83E096">
      <w:pPr>
        <w:pStyle w:val="7"/>
        <w:spacing w:line="480" w:lineRule="exact"/>
      </w:pPr>
      <w:r>
        <w:rPr>
          <w:rFonts w:hint="eastAsia"/>
        </w:rPr>
        <w:t>3</w:t>
      </w:r>
      <w:r>
        <w:t>.4.</w:t>
      </w:r>
      <w:r>
        <w:rPr>
          <w:rFonts w:hint="eastAsia"/>
        </w:rPr>
        <w:t>2厂区平面布置合理性分析</w:t>
      </w:r>
    </w:p>
    <w:p w14:paraId="3199B979">
      <w:pPr>
        <w:tabs>
          <w:tab w:val="left" w:pos="540"/>
          <w:tab w:val="left" w:pos="900"/>
        </w:tabs>
        <w:spacing w:line="480" w:lineRule="exact"/>
        <w:ind w:firstLine="480"/>
        <w:rPr>
          <w:kern w:val="0"/>
        </w:rPr>
      </w:pPr>
      <w:r>
        <w:rPr>
          <w:kern w:val="0"/>
        </w:rPr>
        <w:t>根据《畜禽养殖业污染治理工程技术规范》（HJ497-2009）5.4总平面布置：平面布置应以废水处理系统、固体粪便处理系统、恶臭集中处理系统为主体，其他各项设施应按粪污处理流程合理安排，确保相关设备充分发挥功能，保证设施运行稳定、维修方便、经济合理、安全卫生。</w:t>
      </w:r>
    </w:p>
    <w:p w14:paraId="19184848">
      <w:pPr>
        <w:tabs>
          <w:tab w:val="left" w:pos="540"/>
          <w:tab w:val="left" w:pos="900"/>
        </w:tabs>
        <w:spacing w:line="480" w:lineRule="exact"/>
        <w:ind w:firstLine="480"/>
        <w:rPr>
          <w:kern w:val="0"/>
        </w:rPr>
      </w:pPr>
      <w:r>
        <w:rPr>
          <w:kern w:val="0"/>
        </w:rPr>
        <w:t>根据《畜禽养殖业污染防治技术规范》（HJ/T81-2001）中有关规定：新建、改建、扩建的畜禽养殖场应实现生产区、生产管理区的隔离；粪便废水处理设施和粪便临时堆存点应设在养殖场的生产区、生活管理区的常年主导风向的下风向或侧风向处，粪便临时堆放点还必须远离各项功能地表水体（距离不得小于400m）。养殖场的排水系统应实行雨水和污水收集输送系统分离，在</w:t>
      </w:r>
      <w:r>
        <w:rPr>
          <w:rFonts w:hint="eastAsia"/>
          <w:kern w:val="0"/>
        </w:rPr>
        <w:t>厂区</w:t>
      </w:r>
      <w:r>
        <w:rPr>
          <w:kern w:val="0"/>
        </w:rPr>
        <w:t>内设置的污水收集输送系统，不得采取明沟布设。</w:t>
      </w:r>
    </w:p>
    <w:p w14:paraId="3A04CE17">
      <w:pPr>
        <w:widowControl/>
        <w:spacing w:line="480" w:lineRule="exact"/>
        <w:ind w:firstLine="480" w:firstLineChars="200"/>
        <w:jc w:val="left"/>
        <w:rPr>
          <w:kern w:val="0"/>
        </w:rPr>
      </w:pPr>
      <w:r>
        <w:t>厂区主入口位于厂区</w:t>
      </w:r>
      <w:r>
        <w:rPr>
          <w:rFonts w:hint="eastAsia"/>
        </w:rPr>
        <w:t>南</w:t>
      </w:r>
      <w:r>
        <w:t>侧。厂区主要分为</w:t>
      </w:r>
      <w:r>
        <w:rPr>
          <w:rFonts w:hint="eastAsia"/>
        </w:rPr>
        <w:t>环保区、</w:t>
      </w:r>
      <w:r>
        <w:t>养殖区、</w:t>
      </w:r>
      <w:r>
        <w:rPr>
          <w:rFonts w:hint="eastAsia"/>
        </w:rPr>
        <w:t>员工休息区、仓储区及办公</w:t>
      </w:r>
      <w:r>
        <w:t>检疫区。厂区</w:t>
      </w:r>
      <w:r>
        <w:rPr>
          <w:rFonts w:hint="eastAsia"/>
        </w:rPr>
        <w:t>内部</w:t>
      </w:r>
      <w:r>
        <w:t>由</w:t>
      </w:r>
      <w:r>
        <w:rPr>
          <w:rFonts w:hint="eastAsia"/>
        </w:rPr>
        <w:t>南向北</w:t>
      </w:r>
      <w:r>
        <w:t>依次为</w:t>
      </w:r>
      <w:r>
        <w:rPr>
          <w:rFonts w:hint="eastAsia"/>
        </w:rPr>
        <w:t>办公</w:t>
      </w:r>
      <w:r>
        <w:t>检疫区</w:t>
      </w:r>
      <w:r>
        <w:rPr>
          <w:rFonts w:hint="eastAsia"/>
        </w:rPr>
        <w:t>及仓储区、员工休息区、</w:t>
      </w:r>
      <w:r>
        <w:t>1号~</w:t>
      </w:r>
      <w:r>
        <w:rPr>
          <w:rFonts w:hint="eastAsia"/>
        </w:rPr>
        <w:t>10</w:t>
      </w:r>
      <w:r>
        <w:t>号鸡舍</w:t>
      </w:r>
      <w:r>
        <w:rPr>
          <w:rFonts w:hint="eastAsia"/>
        </w:rPr>
        <w:t>、环保区（包括污水处理站及粪污暂存仓库）</w:t>
      </w:r>
      <w:r>
        <w:t>。</w:t>
      </w:r>
      <w:r>
        <w:rPr>
          <w:rFonts w:hint="eastAsia" w:ascii="宋体" w:hAnsi="宋体" w:eastAsia="宋体" w:cs="宋体"/>
          <w:color w:val="000000"/>
          <w:kern w:val="0"/>
          <w:szCs w:val="24"/>
          <w:lang w:bidi="ar"/>
        </w:rPr>
        <w:t>项目粪污区位于生产区常年主导风向的下风向处。</w:t>
      </w:r>
    </w:p>
    <w:p w14:paraId="12ADD024">
      <w:pPr>
        <w:tabs>
          <w:tab w:val="left" w:pos="540"/>
          <w:tab w:val="left" w:pos="900"/>
        </w:tabs>
        <w:spacing w:line="480" w:lineRule="exact"/>
        <w:ind w:firstLine="480"/>
        <w:rPr>
          <w:kern w:val="0"/>
        </w:rPr>
      </w:pPr>
      <w:r>
        <w:rPr>
          <w:kern w:val="0"/>
        </w:rPr>
        <w:t>养殖场的排水系统实行雨污分流，</w:t>
      </w:r>
      <w:r>
        <w:rPr>
          <w:rFonts w:hint="eastAsia"/>
          <w:kern w:val="0"/>
        </w:rPr>
        <w:t>厂内</w:t>
      </w:r>
      <w:r>
        <w:rPr>
          <w:kern w:val="0"/>
        </w:rPr>
        <w:t>设置的污水收集输送系统，均布设为密闭管网。</w:t>
      </w:r>
      <w:r>
        <w:rPr>
          <w:rFonts w:hint="eastAsia"/>
          <w:kern w:val="0"/>
        </w:rPr>
        <w:t>项目采用干清粪工艺，日产日清，鸡粪不在厂内长期贮存</w:t>
      </w:r>
      <w:r>
        <w:rPr>
          <w:kern w:val="0"/>
        </w:rPr>
        <w:t>，</w:t>
      </w:r>
      <w:r>
        <w:rPr>
          <w:rFonts w:hint="eastAsia"/>
          <w:kern w:val="0"/>
        </w:rPr>
        <w:t>与鸡粪暂存库距离最近功能水体为颜倪河，距离约为1300m，</w:t>
      </w:r>
      <w:r>
        <w:rPr>
          <w:kern w:val="0"/>
        </w:rPr>
        <w:t>符合《畜禽养殖业污染防治技术规范》（HJ/T81-2001）中粪便临时堆存需</w:t>
      </w:r>
      <w:r>
        <w:rPr>
          <w:rFonts w:hint="eastAsia"/>
          <w:kern w:val="0"/>
        </w:rPr>
        <w:t>远离</w:t>
      </w:r>
      <w:r>
        <w:rPr>
          <w:kern w:val="0"/>
        </w:rPr>
        <w:t>各类功能地表水体400m的距离要求。</w:t>
      </w:r>
    </w:p>
    <w:p w14:paraId="458C6732">
      <w:pPr>
        <w:tabs>
          <w:tab w:val="left" w:pos="540"/>
          <w:tab w:val="left" w:pos="900"/>
        </w:tabs>
        <w:spacing w:line="480" w:lineRule="exact"/>
        <w:ind w:firstLine="480"/>
        <w:rPr>
          <w:kern w:val="0"/>
        </w:rPr>
      </w:pPr>
      <w:r>
        <w:rPr>
          <w:rFonts w:hint="eastAsia"/>
          <w:kern w:val="0"/>
        </w:rPr>
        <w:t>本</w:t>
      </w:r>
      <w:r>
        <w:rPr>
          <w:rFonts w:hint="eastAsia"/>
          <w:color w:val="000000" w:themeColor="text1"/>
          <w:kern w:val="0"/>
          <w14:textFill>
            <w14:solidFill>
              <w14:schemeClr w14:val="tx1"/>
            </w14:solidFill>
          </w14:textFill>
        </w:rPr>
        <w:t>项目</w:t>
      </w:r>
      <w:r>
        <w:rPr>
          <w:rFonts w:hint="eastAsia"/>
          <w:color w:val="000000" w:themeColor="text1"/>
          <w:kern w:val="0"/>
          <w:lang w:val="en-US" w:eastAsia="zh-CN"/>
          <w14:textFill>
            <w14:solidFill>
              <w14:schemeClr w14:val="tx1"/>
            </w14:solidFill>
          </w14:textFill>
        </w:rPr>
        <w:t>电热水锅炉</w:t>
      </w:r>
      <w:r>
        <w:rPr>
          <w:rFonts w:hint="eastAsia"/>
          <w:color w:val="000000" w:themeColor="text1"/>
          <w:kern w:val="0"/>
          <w14:textFill>
            <w14:solidFill>
              <w14:schemeClr w14:val="tx1"/>
            </w14:solidFill>
          </w14:textFill>
        </w:rPr>
        <w:t>房为单独房间，不与其他工艺、生产区域设置在同一房间内。锅炉房周边无居民区、村庄、学校等敏感目标</w:t>
      </w:r>
      <w:r>
        <w:rPr>
          <w:rFonts w:hint="eastAsia"/>
          <w:kern w:val="0"/>
        </w:rPr>
        <w:t>。</w:t>
      </w:r>
    </w:p>
    <w:p w14:paraId="0B0BB9A8">
      <w:pPr>
        <w:tabs>
          <w:tab w:val="left" w:pos="540"/>
          <w:tab w:val="left" w:pos="900"/>
        </w:tabs>
        <w:spacing w:line="480" w:lineRule="exact"/>
        <w:ind w:firstLine="480"/>
        <w:rPr>
          <w:kern w:val="0"/>
        </w:rPr>
      </w:pPr>
      <w:r>
        <w:rPr>
          <w:kern w:val="0"/>
        </w:rPr>
        <w:t>综上所述，本项目平面布置较为合理</w:t>
      </w:r>
      <w:r>
        <w:rPr>
          <w:rFonts w:hint="eastAsia"/>
          <w:kern w:val="0"/>
        </w:rPr>
        <w:t>。</w:t>
      </w:r>
    </w:p>
    <w:p w14:paraId="19426DF3">
      <w:pPr>
        <w:pStyle w:val="7"/>
        <w:spacing w:line="480" w:lineRule="exact"/>
      </w:pPr>
      <w:r>
        <w:rPr>
          <w:rFonts w:hint="eastAsia"/>
        </w:rPr>
        <w:t>3</w:t>
      </w:r>
      <w:r>
        <w:t>.4.</w:t>
      </w:r>
      <w:r>
        <w:rPr>
          <w:rFonts w:hint="eastAsia"/>
        </w:rPr>
        <w:t>3</w:t>
      </w:r>
      <w:r>
        <w:t xml:space="preserve"> </w:t>
      </w:r>
      <w:r>
        <w:rPr>
          <w:rFonts w:hint="eastAsia"/>
        </w:rPr>
        <w:t>周围环境概况</w:t>
      </w:r>
    </w:p>
    <w:p w14:paraId="16740888">
      <w:pPr>
        <w:spacing w:line="480" w:lineRule="exact"/>
        <w:ind w:firstLine="480" w:firstLineChars="200"/>
      </w:pPr>
      <w:r>
        <w:rPr>
          <w:rFonts w:hint="eastAsia"/>
        </w:rPr>
        <w:t>本项目选址于宿迁市泗阳县穿城镇向阳村，项目东侧</w:t>
      </w:r>
      <w:r>
        <w:t>、</w:t>
      </w:r>
      <w:r>
        <w:rPr>
          <w:rFonts w:hint="eastAsia"/>
        </w:rPr>
        <w:t>南侧、西侧及北侧均为一般农田。距离</w:t>
      </w:r>
      <w:r>
        <w:t>项目最近的环境敏感目标为项目</w:t>
      </w:r>
      <w:r>
        <w:rPr>
          <w:rFonts w:hint="eastAsia"/>
        </w:rPr>
        <w:t>厂界西</w:t>
      </w:r>
      <w:r>
        <w:rPr>
          <w:rFonts w:hint="eastAsia"/>
          <w:lang w:val="en-US" w:eastAsia="zh-CN"/>
        </w:rPr>
        <w:t>北</w:t>
      </w:r>
      <w:r>
        <w:rPr>
          <w:rFonts w:hint="eastAsia"/>
        </w:rPr>
        <w:t>侧60</w:t>
      </w:r>
      <w:r>
        <w:t>m</w:t>
      </w:r>
      <w:r>
        <w:rPr>
          <w:rFonts w:hint="eastAsia"/>
        </w:rPr>
        <w:t>处</w:t>
      </w:r>
      <w:r>
        <w:t>的</w:t>
      </w:r>
      <w:r>
        <w:rPr>
          <w:rFonts w:hint="eastAsia"/>
        </w:rPr>
        <w:t>戴庄</w:t>
      </w:r>
      <w:r>
        <w:rPr>
          <w:rFonts w:hint="eastAsia"/>
          <w:b w:val="0"/>
          <w:bCs w:val="0"/>
          <w:lang w:eastAsia="zh-CN"/>
        </w:rPr>
        <w:t>（</w:t>
      </w:r>
      <w:r>
        <w:rPr>
          <w:rFonts w:hint="eastAsia"/>
          <w:b w:val="0"/>
          <w:bCs w:val="0"/>
          <w:lang w:val="en-US" w:eastAsia="zh-CN"/>
        </w:rPr>
        <w:t>与本项目边界相距145m</w:t>
      </w:r>
      <w:r>
        <w:rPr>
          <w:rFonts w:hint="eastAsia"/>
          <w:b w:val="0"/>
          <w:bCs w:val="0"/>
          <w:lang w:eastAsia="zh-CN"/>
        </w:rPr>
        <w:t>）</w:t>
      </w:r>
      <w:r>
        <w:t>。</w:t>
      </w:r>
      <w:r>
        <w:rPr>
          <w:rFonts w:hint="eastAsia"/>
        </w:rPr>
        <w:t>本项目周围500m环境概况见</w:t>
      </w:r>
      <w:r>
        <w:rPr>
          <w:rFonts w:hint="eastAsia"/>
          <w:b/>
          <w:bCs/>
        </w:rPr>
        <w:t>图3.</w:t>
      </w:r>
      <w:r>
        <w:rPr>
          <w:b/>
          <w:bCs/>
        </w:rPr>
        <w:t>4</w:t>
      </w:r>
      <w:r>
        <w:rPr>
          <w:rFonts w:hint="eastAsia"/>
          <w:b/>
          <w:bCs/>
        </w:rPr>
        <w:t>-2</w:t>
      </w:r>
      <w:r>
        <w:rPr>
          <w:rFonts w:hint="eastAsia"/>
        </w:rPr>
        <w:t>。</w:t>
      </w:r>
    </w:p>
    <w:p w14:paraId="15FE494D">
      <w:pPr>
        <w:pStyle w:val="4"/>
        <w:spacing w:after="0" w:line="480" w:lineRule="exact"/>
        <w:jc w:val="both"/>
        <w:rPr>
          <w:color w:val="000000" w:themeColor="text1"/>
          <w14:textFill>
            <w14:solidFill>
              <w14:schemeClr w14:val="tx1"/>
            </w14:solidFill>
          </w14:textFill>
        </w:rPr>
      </w:pPr>
      <w:bookmarkStart w:id="48" w:name="_Toc1230"/>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.5 </w:t>
      </w:r>
      <w:r>
        <w:rPr>
          <w:rFonts w:hint="eastAsia"/>
          <w:color w:val="000000" w:themeColor="text1"/>
          <w14:textFill>
            <w14:solidFill>
              <w14:schemeClr w14:val="tx1"/>
            </w14:solidFill>
          </w14:textFill>
        </w:rPr>
        <w:t>生产工艺流程及产污环节分析</w:t>
      </w:r>
      <w:bookmarkEnd w:id="48"/>
    </w:p>
    <w:p w14:paraId="35AA7EB1">
      <w:pPr>
        <w:spacing w:line="480" w:lineRule="exact"/>
        <w:ind w:firstLine="480" w:firstLineChars="200"/>
      </w:pPr>
      <w:r>
        <w:t>项目肉鸡养殖</w:t>
      </w:r>
      <w:r>
        <w:rPr>
          <w:rFonts w:hint="eastAsia"/>
        </w:rPr>
        <w:t>45</w:t>
      </w:r>
      <w:r>
        <w:t>d出栏，鸡舍空置</w:t>
      </w:r>
      <w:r>
        <w:rPr>
          <w:rFonts w:hint="eastAsia"/>
        </w:rPr>
        <w:t>15</w:t>
      </w:r>
      <w:r>
        <w:t>d，全年养殖</w:t>
      </w:r>
      <w:r>
        <w:rPr>
          <w:rFonts w:hint="eastAsia"/>
        </w:rPr>
        <w:t>5</w:t>
      </w:r>
      <w:r>
        <w:t>批次；共计</w:t>
      </w:r>
      <w:r>
        <w:rPr>
          <w:rFonts w:hint="eastAsia"/>
        </w:rPr>
        <w:t>10</w:t>
      </w:r>
      <w:r>
        <w:t>栋鸡舍，年出栏</w:t>
      </w:r>
      <w:r>
        <w:rPr>
          <w:rFonts w:hint="eastAsia"/>
        </w:rPr>
        <w:t>100万只</w:t>
      </w:r>
      <w:r>
        <w:t>肉鸡，</w:t>
      </w:r>
      <w:r>
        <w:rPr>
          <w:rFonts w:hint="eastAsia"/>
        </w:rPr>
        <w:t>项目</w:t>
      </w:r>
      <w:r>
        <w:t>总存栏</w:t>
      </w:r>
      <w:r>
        <w:rPr>
          <w:rFonts w:hint="eastAsia"/>
        </w:rPr>
        <w:t>20万只</w:t>
      </w:r>
      <w:r>
        <w:t>。</w:t>
      </w:r>
    </w:p>
    <w:p w14:paraId="0CD00F5E">
      <w:pPr>
        <w:pStyle w:val="7"/>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.5.1 </w:t>
      </w:r>
      <w:r>
        <w:rPr>
          <w:rFonts w:hint="eastAsia"/>
          <w:color w:val="000000" w:themeColor="text1"/>
          <w14:textFill>
            <w14:solidFill>
              <w14:schemeClr w14:val="tx1"/>
            </w14:solidFill>
          </w14:textFill>
        </w:rPr>
        <w:t>项目肉鸡养殖工艺流程简介</w:t>
      </w:r>
    </w:p>
    <w:p w14:paraId="5F1126B2">
      <w:pPr>
        <w:pStyle w:val="4"/>
        <w:spacing w:after="0" w:line="480" w:lineRule="exact"/>
        <w:jc w:val="both"/>
        <w:rPr>
          <w:rFonts w:hint="eastAsia"/>
          <w:lang w:val="en-US" w:eastAsia="zh-CN"/>
        </w:rPr>
      </w:pPr>
      <w:bookmarkStart w:id="49" w:name="_Toc2801"/>
      <w:r>
        <w:rPr>
          <w:rFonts w:hint="eastAsia"/>
          <w:lang w:val="en-US" w:eastAsia="zh-CN"/>
        </w:rPr>
        <w:t xml:space="preserve"> </w:t>
      </w:r>
    </w:p>
    <w:p w14:paraId="6ADFB0AB">
      <w:pPr>
        <w:pStyle w:val="6"/>
        <w:rPr>
          <w:rFonts w:hint="eastAsia"/>
          <w:lang w:val="en-US" w:eastAsia="zh-CN"/>
        </w:rPr>
      </w:pPr>
    </w:p>
    <w:p w14:paraId="76B12700">
      <w:pPr>
        <w:pStyle w:val="6"/>
        <w:jc w:val="center"/>
        <w:rPr>
          <w:rFonts w:hint="default"/>
          <w:b/>
          <w:bCs/>
          <w:sz w:val="24"/>
          <w:szCs w:val="24"/>
          <w:lang w:val="en-US" w:eastAsia="zh-CN"/>
        </w:rPr>
      </w:pPr>
      <w:r>
        <w:rPr>
          <w:rFonts w:hint="eastAsia"/>
          <w:b/>
          <w:bCs/>
          <w:sz w:val="24"/>
          <w:szCs w:val="24"/>
          <w:lang w:val="en-US" w:eastAsia="zh-CN"/>
        </w:rPr>
        <w:t>以下内容涉密</w:t>
      </w:r>
    </w:p>
    <w:p w14:paraId="5DEE29DC">
      <w:pPr>
        <w:pStyle w:val="4"/>
        <w:spacing w:after="0" w:line="480" w:lineRule="exact"/>
        <w:jc w:val="both"/>
        <w:rPr>
          <w:rFonts w:hint="eastAsia"/>
        </w:rPr>
      </w:pPr>
    </w:p>
    <w:p w14:paraId="1F2CBFA1">
      <w:pPr>
        <w:pStyle w:val="4"/>
        <w:spacing w:after="0" w:line="480" w:lineRule="exact"/>
        <w:jc w:val="both"/>
        <w:rPr>
          <w:rFonts w:hint="eastAsia"/>
        </w:rPr>
      </w:pPr>
    </w:p>
    <w:p w14:paraId="327E35C8">
      <w:pPr>
        <w:pStyle w:val="6"/>
        <w:rPr>
          <w:rFonts w:hint="eastAsia"/>
        </w:rPr>
      </w:pPr>
    </w:p>
    <w:p w14:paraId="31B260F6">
      <w:pPr>
        <w:pStyle w:val="6"/>
        <w:rPr>
          <w:rFonts w:hint="eastAsia"/>
        </w:rPr>
      </w:pPr>
    </w:p>
    <w:p w14:paraId="25ACEFFB">
      <w:pPr>
        <w:pStyle w:val="6"/>
        <w:rPr>
          <w:rFonts w:hint="eastAsia"/>
        </w:rPr>
      </w:pPr>
    </w:p>
    <w:p w14:paraId="35044A8B">
      <w:pPr>
        <w:pStyle w:val="6"/>
        <w:rPr>
          <w:rFonts w:hint="eastAsia"/>
        </w:rPr>
      </w:pPr>
    </w:p>
    <w:p w14:paraId="25539617">
      <w:pPr>
        <w:pStyle w:val="6"/>
        <w:rPr>
          <w:rFonts w:hint="eastAsia"/>
        </w:rPr>
      </w:pPr>
    </w:p>
    <w:p w14:paraId="7A64825B">
      <w:pPr>
        <w:pStyle w:val="6"/>
        <w:rPr>
          <w:rFonts w:hint="eastAsia"/>
        </w:rPr>
      </w:pPr>
    </w:p>
    <w:p w14:paraId="5C0F4371">
      <w:pPr>
        <w:pStyle w:val="6"/>
        <w:rPr>
          <w:rFonts w:hint="eastAsia"/>
        </w:rPr>
      </w:pPr>
    </w:p>
    <w:p w14:paraId="299800E6">
      <w:pPr>
        <w:pStyle w:val="6"/>
        <w:rPr>
          <w:rFonts w:hint="eastAsia"/>
        </w:rPr>
      </w:pPr>
    </w:p>
    <w:p w14:paraId="48654D48">
      <w:pPr>
        <w:pStyle w:val="6"/>
        <w:rPr>
          <w:rFonts w:hint="eastAsia"/>
        </w:rPr>
      </w:pPr>
    </w:p>
    <w:p w14:paraId="602356B0">
      <w:pPr>
        <w:pStyle w:val="6"/>
        <w:rPr>
          <w:rFonts w:hint="eastAsia"/>
        </w:rPr>
      </w:pPr>
    </w:p>
    <w:p w14:paraId="32569A70">
      <w:pPr>
        <w:pStyle w:val="6"/>
        <w:rPr>
          <w:rFonts w:hint="eastAsia"/>
        </w:rPr>
      </w:pPr>
    </w:p>
    <w:p w14:paraId="1A182E6A">
      <w:pPr>
        <w:pStyle w:val="6"/>
        <w:rPr>
          <w:rFonts w:hint="eastAsia"/>
        </w:rPr>
      </w:pPr>
    </w:p>
    <w:p w14:paraId="0DE88776">
      <w:pPr>
        <w:pStyle w:val="6"/>
        <w:rPr>
          <w:rFonts w:hint="eastAsia"/>
        </w:rPr>
      </w:pPr>
    </w:p>
    <w:p w14:paraId="7982E684">
      <w:pPr>
        <w:pStyle w:val="6"/>
        <w:rPr>
          <w:rFonts w:hint="eastAsia"/>
        </w:rPr>
      </w:pPr>
    </w:p>
    <w:p w14:paraId="22C3520D">
      <w:pPr>
        <w:pStyle w:val="6"/>
        <w:rPr>
          <w:rFonts w:hint="eastAsia"/>
        </w:rPr>
      </w:pPr>
    </w:p>
    <w:p w14:paraId="77A3FC22">
      <w:pPr>
        <w:pStyle w:val="6"/>
        <w:rPr>
          <w:rFonts w:hint="eastAsia"/>
        </w:rPr>
      </w:pPr>
    </w:p>
    <w:p w14:paraId="08E6B799">
      <w:pPr>
        <w:pStyle w:val="6"/>
        <w:rPr>
          <w:rFonts w:hint="eastAsia"/>
        </w:rPr>
      </w:pPr>
    </w:p>
    <w:p w14:paraId="61D4BD61">
      <w:pPr>
        <w:pStyle w:val="6"/>
        <w:rPr>
          <w:rFonts w:hint="eastAsia"/>
        </w:rPr>
      </w:pPr>
    </w:p>
    <w:p w14:paraId="26AD9846">
      <w:pPr>
        <w:pStyle w:val="6"/>
        <w:rPr>
          <w:rFonts w:hint="eastAsia"/>
        </w:rPr>
      </w:pPr>
    </w:p>
    <w:p w14:paraId="544076B4">
      <w:pPr>
        <w:pStyle w:val="6"/>
        <w:rPr>
          <w:rFonts w:hint="eastAsia"/>
        </w:rPr>
      </w:pPr>
    </w:p>
    <w:p w14:paraId="52FE7805">
      <w:pPr>
        <w:pStyle w:val="6"/>
        <w:rPr>
          <w:rFonts w:hint="eastAsia"/>
        </w:rPr>
      </w:pPr>
    </w:p>
    <w:p w14:paraId="3BAF7C3E">
      <w:pPr>
        <w:pStyle w:val="6"/>
        <w:rPr>
          <w:rFonts w:hint="eastAsia"/>
        </w:rPr>
      </w:pPr>
    </w:p>
    <w:p w14:paraId="2940B768">
      <w:pPr>
        <w:pStyle w:val="6"/>
        <w:rPr>
          <w:rFonts w:hint="eastAsia"/>
        </w:rPr>
      </w:pPr>
    </w:p>
    <w:p w14:paraId="6DE55608">
      <w:pPr>
        <w:pStyle w:val="6"/>
        <w:rPr>
          <w:rFonts w:hint="eastAsia"/>
        </w:rPr>
      </w:pPr>
    </w:p>
    <w:p w14:paraId="7BA9BE38">
      <w:pPr>
        <w:pStyle w:val="6"/>
        <w:rPr>
          <w:rFonts w:hint="eastAsia"/>
        </w:rPr>
      </w:pPr>
    </w:p>
    <w:p w14:paraId="28E8C127">
      <w:pPr>
        <w:pStyle w:val="6"/>
        <w:rPr>
          <w:rFonts w:hint="eastAsia"/>
        </w:rPr>
      </w:pPr>
    </w:p>
    <w:p w14:paraId="57B2AA7B">
      <w:pPr>
        <w:pStyle w:val="6"/>
        <w:rPr>
          <w:rFonts w:hint="eastAsia"/>
        </w:rPr>
      </w:pPr>
    </w:p>
    <w:p w14:paraId="586AF067">
      <w:pPr>
        <w:pStyle w:val="6"/>
        <w:rPr>
          <w:rFonts w:hint="eastAsia"/>
        </w:rPr>
      </w:pPr>
    </w:p>
    <w:p w14:paraId="291CC44A">
      <w:pPr>
        <w:pStyle w:val="6"/>
        <w:rPr>
          <w:rFonts w:hint="eastAsia"/>
        </w:rPr>
      </w:pPr>
    </w:p>
    <w:p w14:paraId="7655BAC9">
      <w:pPr>
        <w:pStyle w:val="6"/>
        <w:rPr>
          <w:rFonts w:hint="eastAsia"/>
        </w:rPr>
      </w:pPr>
    </w:p>
    <w:p w14:paraId="3387DF86">
      <w:pPr>
        <w:pStyle w:val="6"/>
        <w:rPr>
          <w:rFonts w:hint="eastAsia"/>
        </w:rPr>
      </w:pPr>
    </w:p>
    <w:p w14:paraId="3F979B0B">
      <w:pPr>
        <w:pStyle w:val="6"/>
        <w:rPr>
          <w:rFonts w:hint="eastAsia"/>
        </w:rPr>
      </w:pPr>
    </w:p>
    <w:p w14:paraId="1307F25B">
      <w:pPr>
        <w:pStyle w:val="6"/>
        <w:rPr>
          <w:rFonts w:hint="eastAsia"/>
        </w:rPr>
      </w:pPr>
    </w:p>
    <w:p w14:paraId="3EC7B1E4">
      <w:pPr>
        <w:pStyle w:val="6"/>
        <w:rPr>
          <w:rFonts w:hint="eastAsia"/>
        </w:rPr>
      </w:pPr>
    </w:p>
    <w:p w14:paraId="35AA01C7">
      <w:pPr>
        <w:pStyle w:val="6"/>
        <w:rPr>
          <w:rFonts w:hint="eastAsia"/>
        </w:rPr>
      </w:pPr>
    </w:p>
    <w:p w14:paraId="22D343A0">
      <w:pPr>
        <w:pStyle w:val="6"/>
        <w:rPr>
          <w:rFonts w:hint="eastAsia"/>
        </w:rPr>
      </w:pPr>
    </w:p>
    <w:p w14:paraId="00B32975">
      <w:pPr>
        <w:pStyle w:val="6"/>
        <w:rPr>
          <w:rFonts w:hint="eastAsia"/>
        </w:rPr>
      </w:pPr>
    </w:p>
    <w:p w14:paraId="0629CAE1">
      <w:pPr>
        <w:pStyle w:val="6"/>
        <w:rPr>
          <w:rFonts w:hint="eastAsia"/>
        </w:rPr>
      </w:pPr>
    </w:p>
    <w:p w14:paraId="56936884">
      <w:pPr>
        <w:pStyle w:val="6"/>
        <w:rPr>
          <w:rFonts w:hint="eastAsia"/>
        </w:rPr>
      </w:pPr>
    </w:p>
    <w:p w14:paraId="248C7745">
      <w:pPr>
        <w:pStyle w:val="6"/>
        <w:rPr>
          <w:rFonts w:hint="eastAsia"/>
        </w:rPr>
      </w:pPr>
    </w:p>
    <w:p w14:paraId="408F5856">
      <w:pPr>
        <w:pStyle w:val="6"/>
        <w:rPr>
          <w:rFonts w:hint="eastAsia"/>
        </w:rPr>
      </w:pPr>
    </w:p>
    <w:p w14:paraId="0D89664D">
      <w:pPr>
        <w:pStyle w:val="6"/>
        <w:rPr>
          <w:rFonts w:hint="eastAsia"/>
        </w:rPr>
      </w:pPr>
    </w:p>
    <w:p w14:paraId="35271AAE">
      <w:pPr>
        <w:pStyle w:val="6"/>
        <w:rPr>
          <w:rFonts w:hint="eastAsia"/>
        </w:rPr>
      </w:pPr>
    </w:p>
    <w:p w14:paraId="3327E933">
      <w:pPr>
        <w:pStyle w:val="6"/>
        <w:rPr>
          <w:rFonts w:hint="eastAsia"/>
        </w:rPr>
      </w:pPr>
    </w:p>
    <w:p w14:paraId="25427724">
      <w:pPr>
        <w:pStyle w:val="6"/>
        <w:rPr>
          <w:rFonts w:hint="eastAsia"/>
        </w:rPr>
      </w:pPr>
    </w:p>
    <w:p w14:paraId="141D7E07">
      <w:pPr>
        <w:pStyle w:val="6"/>
        <w:rPr>
          <w:rFonts w:hint="eastAsia"/>
        </w:rPr>
      </w:pPr>
    </w:p>
    <w:p w14:paraId="32AFEEA2">
      <w:pPr>
        <w:pStyle w:val="6"/>
        <w:rPr>
          <w:rFonts w:hint="eastAsia"/>
        </w:rPr>
      </w:pPr>
    </w:p>
    <w:p w14:paraId="0CBD1917">
      <w:pPr>
        <w:pStyle w:val="6"/>
        <w:rPr>
          <w:rFonts w:hint="eastAsia"/>
        </w:rPr>
      </w:pPr>
    </w:p>
    <w:p w14:paraId="24C6B728">
      <w:pPr>
        <w:pStyle w:val="6"/>
        <w:rPr>
          <w:rFonts w:hint="eastAsia"/>
        </w:rPr>
      </w:pPr>
    </w:p>
    <w:p w14:paraId="78A50942">
      <w:pPr>
        <w:pStyle w:val="6"/>
        <w:rPr>
          <w:rFonts w:hint="eastAsia"/>
        </w:rPr>
      </w:pPr>
    </w:p>
    <w:p w14:paraId="26235DEF">
      <w:pPr>
        <w:pStyle w:val="6"/>
        <w:rPr>
          <w:rFonts w:hint="eastAsia"/>
        </w:rPr>
      </w:pPr>
    </w:p>
    <w:p w14:paraId="5DDE9D7B">
      <w:pPr>
        <w:pStyle w:val="6"/>
        <w:rPr>
          <w:rFonts w:hint="eastAsia"/>
        </w:rPr>
      </w:pPr>
    </w:p>
    <w:p w14:paraId="15889EFC">
      <w:pPr>
        <w:pStyle w:val="6"/>
        <w:rPr>
          <w:rFonts w:hint="eastAsia"/>
        </w:rPr>
      </w:pPr>
    </w:p>
    <w:p w14:paraId="2D836889">
      <w:pPr>
        <w:pStyle w:val="6"/>
        <w:rPr>
          <w:rFonts w:hint="eastAsia"/>
        </w:rPr>
      </w:pPr>
    </w:p>
    <w:p w14:paraId="27952D0B">
      <w:pPr>
        <w:pStyle w:val="6"/>
        <w:rPr>
          <w:rFonts w:hint="eastAsia"/>
        </w:rPr>
      </w:pPr>
    </w:p>
    <w:p w14:paraId="3FA2027D">
      <w:pPr>
        <w:pStyle w:val="6"/>
        <w:rPr>
          <w:rFonts w:hint="eastAsia"/>
        </w:rPr>
      </w:pPr>
    </w:p>
    <w:p w14:paraId="7272DB5E">
      <w:pPr>
        <w:pStyle w:val="6"/>
        <w:rPr>
          <w:rFonts w:hint="eastAsia"/>
        </w:rPr>
      </w:pPr>
    </w:p>
    <w:p w14:paraId="5571EBAE">
      <w:pPr>
        <w:pStyle w:val="6"/>
        <w:rPr>
          <w:rFonts w:hint="eastAsia"/>
        </w:rPr>
      </w:pPr>
    </w:p>
    <w:p w14:paraId="56F0B081">
      <w:pPr>
        <w:pStyle w:val="6"/>
        <w:rPr>
          <w:rFonts w:hint="eastAsia"/>
        </w:rPr>
      </w:pPr>
    </w:p>
    <w:p w14:paraId="782CA246">
      <w:pPr>
        <w:pStyle w:val="6"/>
        <w:rPr>
          <w:rFonts w:hint="eastAsia"/>
        </w:rPr>
      </w:pPr>
    </w:p>
    <w:p w14:paraId="43B8AE0B">
      <w:pPr>
        <w:pStyle w:val="6"/>
        <w:rPr>
          <w:rFonts w:hint="eastAsia"/>
        </w:rPr>
      </w:pPr>
    </w:p>
    <w:p w14:paraId="603664F1">
      <w:pPr>
        <w:pStyle w:val="6"/>
        <w:rPr>
          <w:rFonts w:hint="eastAsia"/>
        </w:rPr>
      </w:pPr>
    </w:p>
    <w:p w14:paraId="3EDBAAE5">
      <w:pPr>
        <w:pStyle w:val="6"/>
        <w:rPr>
          <w:rFonts w:hint="eastAsia"/>
        </w:rPr>
      </w:pPr>
    </w:p>
    <w:p w14:paraId="5D0ABF0E">
      <w:pPr>
        <w:pStyle w:val="6"/>
        <w:rPr>
          <w:rFonts w:hint="eastAsia"/>
        </w:rPr>
      </w:pPr>
    </w:p>
    <w:p w14:paraId="01EFF48A">
      <w:pPr>
        <w:pStyle w:val="6"/>
        <w:rPr>
          <w:rFonts w:hint="eastAsia"/>
        </w:rPr>
      </w:pPr>
    </w:p>
    <w:p w14:paraId="596AD894">
      <w:pPr>
        <w:pStyle w:val="6"/>
        <w:rPr>
          <w:rFonts w:hint="eastAsia"/>
        </w:rPr>
      </w:pPr>
    </w:p>
    <w:p w14:paraId="3CBEC9AD">
      <w:pPr>
        <w:pStyle w:val="6"/>
        <w:rPr>
          <w:rFonts w:hint="eastAsia"/>
        </w:rPr>
      </w:pPr>
    </w:p>
    <w:p w14:paraId="3B4FC95C">
      <w:pPr>
        <w:pStyle w:val="6"/>
        <w:rPr>
          <w:rFonts w:hint="eastAsia"/>
        </w:rPr>
      </w:pPr>
    </w:p>
    <w:p w14:paraId="5AED257A">
      <w:pPr>
        <w:pStyle w:val="6"/>
        <w:rPr>
          <w:rFonts w:hint="eastAsia"/>
        </w:rPr>
      </w:pPr>
    </w:p>
    <w:p w14:paraId="2E3357F2">
      <w:pPr>
        <w:pStyle w:val="6"/>
        <w:rPr>
          <w:rFonts w:hint="eastAsia"/>
        </w:rPr>
      </w:pPr>
    </w:p>
    <w:p w14:paraId="3956E7BD">
      <w:pPr>
        <w:pStyle w:val="6"/>
        <w:rPr>
          <w:rFonts w:hint="eastAsia"/>
        </w:rPr>
      </w:pPr>
    </w:p>
    <w:p w14:paraId="7627ECD2">
      <w:pPr>
        <w:pStyle w:val="6"/>
        <w:rPr>
          <w:rFonts w:hint="eastAsia"/>
        </w:rPr>
      </w:pPr>
    </w:p>
    <w:p w14:paraId="5FD6F9AF">
      <w:pPr>
        <w:pStyle w:val="6"/>
        <w:rPr>
          <w:rFonts w:hint="eastAsia"/>
        </w:rPr>
      </w:pPr>
    </w:p>
    <w:p w14:paraId="5F611314">
      <w:pPr>
        <w:pStyle w:val="6"/>
        <w:rPr>
          <w:rFonts w:hint="eastAsia"/>
        </w:rPr>
      </w:pPr>
    </w:p>
    <w:p w14:paraId="11DFB95F">
      <w:pPr>
        <w:pStyle w:val="6"/>
        <w:rPr>
          <w:rFonts w:hint="eastAsia"/>
        </w:rPr>
      </w:pPr>
    </w:p>
    <w:p w14:paraId="79CCB159">
      <w:pPr>
        <w:pStyle w:val="6"/>
        <w:rPr>
          <w:rFonts w:hint="eastAsia"/>
        </w:rPr>
      </w:pPr>
    </w:p>
    <w:p w14:paraId="1B93AAA3">
      <w:pPr>
        <w:pStyle w:val="6"/>
        <w:rPr>
          <w:rFonts w:hint="eastAsia"/>
        </w:rPr>
      </w:pPr>
    </w:p>
    <w:p w14:paraId="330E5F0A">
      <w:pPr>
        <w:pStyle w:val="6"/>
        <w:rPr>
          <w:rFonts w:hint="eastAsia"/>
        </w:rPr>
      </w:pPr>
    </w:p>
    <w:p w14:paraId="39455CCC">
      <w:pPr>
        <w:pStyle w:val="6"/>
        <w:rPr>
          <w:rFonts w:hint="eastAsia"/>
        </w:rPr>
      </w:pPr>
    </w:p>
    <w:p w14:paraId="4410B9CE">
      <w:pPr>
        <w:pStyle w:val="6"/>
        <w:rPr>
          <w:rFonts w:hint="eastAsia"/>
        </w:rPr>
      </w:pPr>
    </w:p>
    <w:p w14:paraId="06E2982F">
      <w:pPr>
        <w:pStyle w:val="6"/>
        <w:rPr>
          <w:rFonts w:hint="eastAsia"/>
        </w:rPr>
      </w:pPr>
    </w:p>
    <w:p w14:paraId="43451F6A">
      <w:pPr>
        <w:pStyle w:val="6"/>
        <w:rPr>
          <w:rFonts w:hint="eastAsia"/>
        </w:rPr>
      </w:pPr>
    </w:p>
    <w:p w14:paraId="1BDB441A">
      <w:pPr>
        <w:pStyle w:val="6"/>
        <w:rPr>
          <w:rFonts w:hint="eastAsia"/>
        </w:rPr>
      </w:pPr>
    </w:p>
    <w:p w14:paraId="762700A9">
      <w:pPr>
        <w:pStyle w:val="6"/>
        <w:rPr>
          <w:rFonts w:hint="eastAsia"/>
        </w:rPr>
      </w:pPr>
    </w:p>
    <w:p w14:paraId="6BB7136F">
      <w:pPr>
        <w:pStyle w:val="6"/>
        <w:rPr>
          <w:rFonts w:hint="eastAsia"/>
        </w:rPr>
      </w:pPr>
    </w:p>
    <w:p w14:paraId="201A33FD">
      <w:pPr>
        <w:pStyle w:val="6"/>
        <w:rPr>
          <w:rFonts w:hint="eastAsia"/>
        </w:rPr>
      </w:pPr>
    </w:p>
    <w:p w14:paraId="08E1B0B8">
      <w:pPr>
        <w:pStyle w:val="6"/>
        <w:rPr>
          <w:rFonts w:hint="eastAsia"/>
        </w:rPr>
      </w:pPr>
    </w:p>
    <w:p w14:paraId="3D7DE0D3">
      <w:pPr>
        <w:pStyle w:val="6"/>
        <w:rPr>
          <w:rFonts w:hint="eastAsia"/>
        </w:rPr>
      </w:pPr>
    </w:p>
    <w:p w14:paraId="21CD2CE1">
      <w:pPr>
        <w:pStyle w:val="6"/>
        <w:rPr>
          <w:rFonts w:hint="eastAsia"/>
        </w:rPr>
      </w:pPr>
    </w:p>
    <w:p w14:paraId="5DB6208F">
      <w:pPr>
        <w:pStyle w:val="6"/>
        <w:rPr>
          <w:rFonts w:hint="eastAsia"/>
        </w:rPr>
      </w:pPr>
    </w:p>
    <w:p w14:paraId="41449327">
      <w:pPr>
        <w:pStyle w:val="6"/>
        <w:rPr>
          <w:rFonts w:hint="eastAsia"/>
        </w:rPr>
      </w:pPr>
    </w:p>
    <w:p w14:paraId="150C960E">
      <w:pPr>
        <w:pStyle w:val="6"/>
        <w:rPr>
          <w:rFonts w:hint="eastAsia"/>
        </w:rPr>
      </w:pPr>
    </w:p>
    <w:p w14:paraId="22EA0B46">
      <w:pPr>
        <w:pStyle w:val="6"/>
        <w:rPr>
          <w:rFonts w:hint="eastAsia"/>
        </w:rPr>
      </w:pPr>
    </w:p>
    <w:p w14:paraId="777179A7">
      <w:pPr>
        <w:pStyle w:val="6"/>
        <w:rPr>
          <w:rFonts w:hint="eastAsia"/>
        </w:rPr>
      </w:pPr>
    </w:p>
    <w:p w14:paraId="510FE43E">
      <w:pPr>
        <w:pStyle w:val="6"/>
        <w:rPr>
          <w:rFonts w:hint="eastAsia"/>
        </w:rPr>
      </w:pPr>
    </w:p>
    <w:p w14:paraId="498C8F8F">
      <w:pPr>
        <w:pStyle w:val="6"/>
        <w:rPr>
          <w:rFonts w:hint="eastAsia"/>
        </w:rPr>
      </w:pPr>
    </w:p>
    <w:p w14:paraId="0EC0B9D5">
      <w:pPr>
        <w:pStyle w:val="6"/>
        <w:rPr>
          <w:rFonts w:hint="eastAsia"/>
        </w:rPr>
      </w:pPr>
    </w:p>
    <w:p w14:paraId="7C6004A3">
      <w:pPr>
        <w:pStyle w:val="6"/>
        <w:rPr>
          <w:rFonts w:hint="eastAsia"/>
        </w:rPr>
      </w:pPr>
    </w:p>
    <w:p w14:paraId="2DAA85DC">
      <w:pPr>
        <w:pStyle w:val="6"/>
        <w:rPr>
          <w:rFonts w:hint="eastAsia"/>
        </w:rPr>
      </w:pPr>
    </w:p>
    <w:p w14:paraId="0C22031C">
      <w:pPr>
        <w:pStyle w:val="6"/>
        <w:rPr>
          <w:rFonts w:hint="eastAsia"/>
        </w:rPr>
      </w:pPr>
    </w:p>
    <w:p w14:paraId="55E8BBAC">
      <w:pPr>
        <w:pStyle w:val="6"/>
        <w:rPr>
          <w:rFonts w:hint="eastAsia"/>
        </w:rPr>
      </w:pPr>
    </w:p>
    <w:p w14:paraId="06DCD948">
      <w:pPr>
        <w:pStyle w:val="6"/>
        <w:rPr>
          <w:rFonts w:hint="eastAsia"/>
        </w:rPr>
      </w:pPr>
    </w:p>
    <w:p w14:paraId="3412554D">
      <w:pPr>
        <w:pStyle w:val="6"/>
        <w:rPr>
          <w:rFonts w:hint="eastAsia"/>
        </w:rPr>
      </w:pPr>
    </w:p>
    <w:p w14:paraId="4793FBC4">
      <w:pPr>
        <w:pStyle w:val="6"/>
        <w:rPr>
          <w:rFonts w:hint="eastAsia"/>
        </w:rPr>
      </w:pPr>
    </w:p>
    <w:p w14:paraId="51E3621C">
      <w:pPr>
        <w:pStyle w:val="6"/>
        <w:rPr>
          <w:rFonts w:hint="eastAsia"/>
        </w:rPr>
      </w:pPr>
    </w:p>
    <w:p w14:paraId="78362F58">
      <w:pPr>
        <w:pStyle w:val="6"/>
        <w:rPr>
          <w:rFonts w:hint="eastAsia"/>
        </w:rPr>
      </w:pPr>
    </w:p>
    <w:p w14:paraId="3F81FDC5">
      <w:pPr>
        <w:pStyle w:val="6"/>
        <w:rPr>
          <w:rFonts w:hint="eastAsia"/>
        </w:rPr>
      </w:pPr>
    </w:p>
    <w:p w14:paraId="78E3CA44">
      <w:pPr>
        <w:pStyle w:val="6"/>
        <w:rPr>
          <w:rFonts w:hint="eastAsia"/>
        </w:rPr>
      </w:pPr>
    </w:p>
    <w:p w14:paraId="722183B6">
      <w:pPr>
        <w:pStyle w:val="6"/>
        <w:rPr>
          <w:rFonts w:hint="eastAsia"/>
        </w:rPr>
      </w:pPr>
    </w:p>
    <w:p w14:paraId="0C48648F">
      <w:pPr>
        <w:pStyle w:val="6"/>
        <w:rPr>
          <w:rFonts w:hint="eastAsia"/>
        </w:rPr>
      </w:pPr>
    </w:p>
    <w:p w14:paraId="5D79945C">
      <w:pPr>
        <w:pStyle w:val="6"/>
        <w:rPr>
          <w:rFonts w:hint="eastAsia"/>
        </w:rPr>
      </w:pPr>
    </w:p>
    <w:p w14:paraId="0E019404">
      <w:pPr>
        <w:pStyle w:val="6"/>
        <w:rPr>
          <w:rFonts w:hint="eastAsia"/>
        </w:rPr>
      </w:pPr>
    </w:p>
    <w:p w14:paraId="39772999">
      <w:pPr>
        <w:pStyle w:val="6"/>
        <w:rPr>
          <w:rFonts w:hint="eastAsia"/>
        </w:rPr>
      </w:pPr>
    </w:p>
    <w:p w14:paraId="68FE7F62">
      <w:pPr>
        <w:pStyle w:val="6"/>
        <w:rPr>
          <w:rFonts w:hint="eastAsia"/>
        </w:rPr>
      </w:pPr>
    </w:p>
    <w:p w14:paraId="7F5F3806">
      <w:pPr>
        <w:pStyle w:val="6"/>
        <w:rPr>
          <w:rFonts w:hint="eastAsia"/>
        </w:rPr>
      </w:pPr>
    </w:p>
    <w:p w14:paraId="639EE916">
      <w:pPr>
        <w:pStyle w:val="6"/>
        <w:rPr>
          <w:rFonts w:hint="eastAsia"/>
        </w:rPr>
      </w:pPr>
    </w:p>
    <w:p w14:paraId="17F3A6AB">
      <w:pPr>
        <w:pStyle w:val="6"/>
        <w:rPr>
          <w:rFonts w:hint="eastAsia"/>
        </w:rPr>
      </w:pPr>
    </w:p>
    <w:p w14:paraId="2F8F7145">
      <w:pPr>
        <w:pStyle w:val="6"/>
        <w:rPr>
          <w:rFonts w:hint="eastAsia"/>
        </w:rPr>
      </w:pPr>
    </w:p>
    <w:p w14:paraId="68E8E6B7">
      <w:pPr>
        <w:pStyle w:val="6"/>
        <w:rPr>
          <w:rFonts w:hint="eastAsia"/>
        </w:rPr>
      </w:pPr>
    </w:p>
    <w:p w14:paraId="71F1FE9E">
      <w:pPr>
        <w:pStyle w:val="6"/>
        <w:rPr>
          <w:rFonts w:hint="eastAsia"/>
        </w:rPr>
      </w:pPr>
    </w:p>
    <w:p w14:paraId="640E8BCC">
      <w:pPr>
        <w:pStyle w:val="6"/>
        <w:rPr>
          <w:rFonts w:hint="eastAsia"/>
        </w:rPr>
      </w:pPr>
    </w:p>
    <w:p w14:paraId="7E02BDE5">
      <w:pPr>
        <w:pStyle w:val="6"/>
        <w:rPr>
          <w:rFonts w:hint="eastAsia"/>
        </w:rPr>
      </w:pPr>
    </w:p>
    <w:p w14:paraId="3D81FD88">
      <w:pPr>
        <w:pStyle w:val="6"/>
        <w:rPr>
          <w:rFonts w:hint="eastAsia"/>
        </w:rPr>
      </w:pPr>
    </w:p>
    <w:p w14:paraId="2D83AF9F">
      <w:pPr>
        <w:pStyle w:val="6"/>
        <w:rPr>
          <w:rFonts w:hint="eastAsia"/>
        </w:rPr>
      </w:pPr>
    </w:p>
    <w:p w14:paraId="332CD8D8">
      <w:pPr>
        <w:pStyle w:val="6"/>
        <w:rPr>
          <w:rFonts w:hint="eastAsia"/>
        </w:rPr>
      </w:pPr>
    </w:p>
    <w:p w14:paraId="1563AD90">
      <w:pPr>
        <w:pStyle w:val="6"/>
        <w:rPr>
          <w:rFonts w:hint="eastAsia"/>
        </w:rPr>
      </w:pPr>
    </w:p>
    <w:p w14:paraId="120A6D7C">
      <w:pPr>
        <w:pStyle w:val="6"/>
        <w:rPr>
          <w:rFonts w:hint="eastAsia"/>
        </w:rPr>
      </w:pPr>
    </w:p>
    <w:p w14:paraId="7D982255">
      <w:pPr>
        <w:pStyle w:val="6"/>
        <w:rPr>
          <w:rFonts w:hint="eastAsia"/>
        </w:rPr>
      </w:pPr>
    </w:p>
    <w:p w14:paraId="6F5DA7BE">
      <w:pPr>
        <w:pStyle w:val="6"/>
        <w:rPr>
          <w:rFonts w:hint="eastAsia"/>
        </w:rPr>
      </w:pPr>
    </w:p>
    <w:p w14:paraId="1F9062D6">
      <w:pPr>
        <w:pStyle w:val="6"/>
        <w:rPr>
          <w:rFonts w:hint="eastAsia"/>
        </w:rPr>
      </w:pPr>
    </w:p>
    <w:p w14:paraId="0EA9133F">
      <w:pPr>
        <w:pStyle w:val="6"/>
        <w:rPr>
          <w:rFonts w:hint="eastAsia"/>
        </w:rPr>
      </w:pPr>
    </w:p>
    <w:p w14:paraId="225BF5CD">
      <w:pPr>
        <w:pStyle w:val="6"/>
        <w:rPr>
          <w:rFonts w:hint="eastAsia"/>
        </w:rPr>
      </w:pPr>
    </w:p>
    <w:p w14:paraId="599D9B24">
      <w:pPr>
        <w:pStyle w:val="6"/>
        <w:rPr>
          <w:rFonts w:hint="eastAsia"/>
        </w:rPr>
      </w:pPr>
    </w:p>
    <w:p w14:paraId="01EF75E1">
      <w:pPr>
        <w:pStyle w:val="6"/>
        <w:rPr>
          <w:rFonts w:hint="eastAsia"/>
        </w:rPr>
      </w:pPr>
    </w:p>
    <w:p w14:paraId="5560BA9C">
      <w:pPr>
        <w:pStyle w:val="6"/>
        <w:rPr>
          <w:rFonts w:hint="eastAsia"/>
        </w:rPr>
      </w:pPr>
    </w:p>
    <w:p w14:paraId="3E3B3E3B">
      <w:pPr>
        <w:pStyle w:val="6"/>
        <w:rPr>
          <w:rFonts w:hint="eastAsia"/>
        </w:rPr>
      </w:pPr>
    </w:p>
    <w:p w14:paraId="7E2C816B">
      <w:pPr>
        <w:pStyle w:val="6"/>
        <w:rPr>
          <w:rFonts w:hint="eastAsia"/>
        </w:rPr>
      </w:pPr>
    </w:p>
    <w:p w14:paraId="4F2AF6A3">
      <w:pPr>
        <w:pStyle w:val="6"/>
        <w:rPr>
          <w:rFonts w:hint="eastAsia"/>
        </w:rPr>
      </w:pPr>
    </w:p>
    <w:p w14:paraId="18EF4E70">
      <w:pPr>
        <w:pStyle w:val="6"/>
        <w:rPr>
          <w:rFonts w:hint="eastAsia"/>
        </w:rPr>
      </w:pPr>
    </w:p>
    <w:p w14:paraId="28E62A40">
      <w:pPr>
        <w:pStyle w:val="6"/>
        <w:rPr>
          <w:rFonts w:hint="eastAsia"/>
        </w:rPr>
      </w:pPr>
    </w:p>
    <w:p w14:paraId="708C753A">
      <w:pPr>
        <w:pStyle w:val="6"/>
        <w:rPr>
          <w:rFonts w:hint="eastAsia"/>
        </w:rPr>
      </w:pPr>
    </w:p>
    <w:p w14:paraId="2FAABDF6">
      <w:pPr>
        <w:pStyle w:val="6"/>
        <w:rPr>
          <w:rFonts w:hint="eastAsia"/>
        </w:rPr>
      </w:pPr>
    </w:p>
    <w:p w14:paraId="190EE25C">
      <w:pPr>
        <w:pStyle w:val="6"/>
        <w:rPr>
          <w:rFonts w:hint="eastAsia"/>
        </w:rPr>
      </w:pPr>
    </w:p>
    <w:p w14:paraId="12062F22">
      <w:pPr>
        <w:pStyle w:val="6"/>
        <w:rPr>
          <w:rFonts w:hint="eastAsia"/>
        </w:rPr>
      </w:pPr>
    </w:p>
    <w:p w14:paraId="284EC1B8">
      <w:pPr>
        <w:pStyle w:val="6"/>
        <w:rPr>
          <w:rFonts w:hint="eastAsia"/>
        </w:rPr>
      </w:pPr>
    </w:p>
    <w:p w14:paraId="1A84BEB9">
      <w:pPr>
        <w:pStyle w:val="6"/>
        <w:rPr>
          <w:rFonts w:hint="eastAsia"/>
        </w:rPr>
      </w:pPr>
    </w:p>
    <w:p w14:paraId="444EDC44">
      <w:pPr>
        <w:pStyle w:val="6"/>
        <w:rPr>
          <w:rFonts w:hint="eastAsia"/>
        </w:rPr>
      </w:pPr>
    </w:p>
    <w:p w14:paraId="30B8C832">
      <w:pPr>
        <w:pStyle w:val="6"/>
        <w:rPr>
          <w:rFonts w:hint="eastAsia"/>
        </w:rPr>
      </w:pPr>
    </w:p>
    <w:p w14:paraId="374271ED">
      <w:pPr>
        <w:pStyle w:val="6"/>
        <w:rPr>
          <w:rFonts w:hint="eastAsia"/>
        </w:rPr>
      </w:pPr>
    </w:p>
    <w:p w14:paraId="774D0662">
      <w:pPr>
        <w:pStyle w:val="6"/>
        <w:rPr>
          <w:rFonts w:hint="eastAsia"/>
        </w:rPr>
      </w:pPr>
    </w:p>
    <w:p w14:paraId="6EE351C0">
      <w:pPr>
        <w:pStyle w:val="6"/>
        <w:rPr>
          <w:rFonts w:hint="eastAsia"/>
        </w:rPr>
      </w:pPr>
    </w:p>
    <w:p w14:paraId="619041CE">
      <w:pPr>
        <w:pStyle w:val="6"/>
        <w:rPr>
          <w:rFonts w:hint="eastAsia"/>
        </w:rPr>
      </w:pPr>
    </w:p>
    <w:p w14:paraId="2C07B56E">
      <w:pPr>
        <w:pStyle w:val="6"/>
        <w:rPr>
          <w:rFonts w:hint="eastAsia"/>
        </w:rPr>
      </w:pPr>
    </w:p>
    <w:p w14:paraId="7146EAD3">
      <w:pPr>
        <w:pStyle w:val="4"/>
        <w:spacing w:after="0" w:line="480" w:lineRule="exact"/>
        <w:jc w:val="both"/>
        <w:rPr>
          <w:rFonts w:hint="eastAsia"/>
        </w:rPr>
      </w:pPr>
    </w:p>
    <w:p w14:paraId="7A3AA93F">
      <w:pPr>
        <w:pStyle w:val="4"/>
        <w:spacing w:after="0" w:line="480" w:lineRule="exact"/>
        <w:jc w:val="both"/>
      </w:pPr>
      <w:r>
        <w:rPr>
          <w:rFonts w:hint="eastAsia"/>
        </w:rPr>
        <w:t>3</w:t>
      </w:r>
      <w:r>
        <w:t xml:space="preserve">.6 </w:t>
      </w:r>
      <w:r>
        <w:rPr>
          <w:rFonts w:hint="eastAsia"/>
        </w:rPr>
        <w:t>水平衡分析</w:t>
      </w:r>
      <w:bookmarkEnd w:id="49"/>
    </w:p>
    <w:p w14:paraId="4C006033">
      <w:pPr>
        <w:pStyle w:val="7"/>
        <w:spacing w:line="480" w:lineRule="exact"/>
      </w:pPr>
      <w:r>
        <w:rPr>
          <w:rFonts w:hint="eastAsia"/>
        </w:rPr>
        <w:t>3</w:t>
      </w:r>
      <w:r>
        <w:t>.</w:t>
      </w:r>
      <w:r>
        <w:rPr>
          <w:rFonts w:hint="eastAsia"/>
        </w:rPr>
        <w:t>6.1给水</w:t>
      </w:r>
    </w:p>
    <w:p w14:paraId="49821578">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项目用水主要为员工生活用水、鸡饮用水、鸡笼和鸡舍冲洗用水、夏季鸡舍降温循环水、消毒液稀释用水、除臭剂稀释用水、生物喷淋除臭系统用水和</w:t>
      </w:r>
      <w:r>
        <w:rPr>
          <w:rFonts w:hint="eastAsia"/>
          <w:color w:val="000000" w:themeColor="text1"/>
          <w:lang w:val="en-US" w:eastAsia="zh-CN"/>
          <w14:textFill>
            <w14:solidFill>
              <w14:schemeClr w14:val="tx1"/>
            </w14:solidFill>
          </w14:textFill>
        </w:rPr>
        <w:t>电热水锅炉</w:t>
      </w:r>
      <w:r>
        <w:rPr>
          <w:rFonts w:hint="eastAsia"/>
          <w:color w:val="000000" w:themeColor="text1"/>
          <w14:textFill>
            <w14:solidFill>
              <w14:schemeClr w14:val="tx1"/>
            </w14:solidFill>
          </w14:textFill>
        </w:rPr>
        <w:t>供热</w:t>
      </w:r>
      <w:r>
        <w:rPr>
          <w:color w:val="000000" w:themeColor="text1"/>
          <w14:textFill>
            <w14:solidFill>
              <w14:schemeClr w14:val="tx1"/>
            </w14:solidFill>
          </w14:textFill>
        </w:rPr>
        <w:t>补充</w:t>
      </w:r>
      <w:r>
        <w:rPr>
          <w:rFonts w:hint="eastAsia"/>
          <w:color w:val="000000" w:themeColor="text1"/>
          <w14:textFill>
            <w14:solidFill>
              <w14:schemeClr w14:val="tx1"/>
            </w14:solidFill>
          </w14:textFill>
        </w:rPr>
        <w:t>用水。项目兽药直接置于鸡饮用水中，无需单独进行配置，不涉及配药用水。</w:t>
      </w:r>
    </w:p>
    <w:p w14:paraId="07DB09EF">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（1）生活用水</w:t>
      </w:r>
    </w:p>
    <w:p w14:paraId="51F40597">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本项目职工定员20人，生活用水量按50L/d</w:t>
      </w:r>
      <w:r>
        <w:rPr>
          <w:rFonts w:ascii="Times New Roman" w:hAnsi="Times New Roman"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人，核算出用水量约1m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/d，年用量约30</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/a（年工作300天）。</w:t>
      </w:r>
    </w:p>
    <w:p w14:paraId="045C29F3">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（2）鸡饮用水</w:t>
      </w:r>
    </w:p>
    <w:p w14:paraId="7318527E">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项目采用上料机自动上水、上饲料，上水过程不会造成洒溅，一方面节约用水，另一方面可以保持鸡粪的相对干燥。根据企业提供经验数据，每只鸡饮水量平均为0.1L/只</w:t>
      </w:r>
      <w:r>
        <w:rPr>
          <w:rFonts w:ascii="Times New Roman" w:hAnsi="Times New Roman"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d，养殖场每批次养殖周期为45天，年养殖5批次，则全年鸡饮用水量为45</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w:t>
      </w:r>
    </w:p>
    <w:p w14:paraId="6FFAE4C6">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（3）鸡笼和鸡舍冲洗废水</w:t>
      </w:r>
    </w:p>
    <w:p w14:paraId="4231DAAE">
      <w:pPr>
        <w:adjustRightInd w:val="0"/>
        <w:spacing w:line="480" w:lineRule="exact"/>
        <w:ind w:firstLine="480"/>
        <w:rPr>
          <w:rFonts w:eastAsia="宋体"/>
          <w:bCs/>
          <w:color w:val="000000" w:themeColor="text1"/>
          <w14:textFill>
            <w14:solidFill>
              <w14:schemeClr w14:val="tx1"/>
            </w14:solidFill>
          </w14:textFill>
        </w:rPr>
      </w:pPr>
      <w:r>
        <w:rPr>
          <w:rFonts w:hint="eastAsia"/>
          <w:color w:val="000000" w:themeColor="text1"/>
          <w14:textFill>
            <w14:solidFill>
              <w14:schemeClr w14:val="tx1"/>
            </w14:solidFill>
          </w14:textFill>
        </w:rPr>
        <w:t>项目采用每批次同进同出的养殖方法，每批次肉鸡出栏后鸡舍先干清粪，再人工二次清扫，喷洒消毒水，然后使用高压水枪冲洗，冲洗用水标准为10L/m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r>
        <w:rPr>
          <w:rFonts w:hint="eastAsia"/>
          <w:bCs/>
          <w:color w:val="000000" w:themeColor="text1"/>
          <w14:textFill>
            <w14:solidFill>
              <w14:schemeClr w14:val="tx1"/>
            </w14:solidFill>
          </w14:textFill>
        </w:rPr>
        <w:t>鸡舍地面需要冲洗面积约为13695</w:t>
      </w:r>
      <w:r>
        <w:rPr>
          <w:bCs/>
          <w:color w:val="000000" w:themeColor="text1"/>
          <w14:textFill>
            <w14:solidFill>
              <w14:schemeClr w14:val="tx1"/>
            </w14:solidFill>
          </w14:textFill>
        </w:rPr>
        <w:t>m</w:t>
      </w:r>
      <w:r>
        <w:rPr>
          <w:bCs/>
          <w:color w:val="000000" w:themeColor="text1"/>
          <w:vertAlign w:val="superscript"/>
          <w14:textFill>
            <w14:solidFill>
              <w14:schemeClr w14:val="tx1"/>
            </w14:solidFill>
          </w14:textFill>
        </w:rPr>
        <w:t>2</w:t>
      </w:r>
      <w:r>
        <w:rPr>
          <w:rFonts w:hint="eastAsia"/>
          <w:bCs/>
          <w:color w:val="000000" w:themeColor="text1"/>
          <w14:textFill>
            <w14:solidFill>
              <w14:schemeClr w14:val="tx1"/>
            </w14:solidFill>
          </w14:textFill>
        </w:rPr>
        <w:t>，鸡笼需要冲洗的面积4560</w:t>
      </w:r>
      <w:r>
        <w:rPr>
          <w:bCs/>
          <w:color w:val="000000" w:themeColor="text1"/>
          <w14:textFill>
            <w14:solidFill>
              <w14:schemeClr w14:val="tx1"/>
            </w14:solidFill>
          </w14:textFill>
        </w:rPr>
        <w:t>m</w:t>
      </w:r>
      <w:r>
        <w:rPr>
          <w:bCs/>
          <w:color w:val="000000" w:themeColor="text1"/>
          <w:vertAlign w:val="superscript"/>
          <w14:textFill>
            <w14:solidFill>
              <w14:schemeClr w14:val="tx1"/>
            </w14:solidFill>
          </w14:textFill>
        </w:rPr>
        <w:t>2</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则项目每批次鸡笼和鸡舍冲洗用水量约为</w:t>
      </w:r>
      <w:r>
        <w:rPr>
          <w:rFonts w:hint="eastAsia"/>
          <w:bCs/>
          <w:color w:val="000000" w:themeColor="text1"/>
          <w14:textFill>
            <w14:solidFill>
              <w14:schemeClr w14:val="tx1"/>
            </w14:solidFill>
          </w14:textFill>
        </w:rPr>
        <w:t>182.6</w:t>
      </w:r>
      <w:r>
        <w:rPr>
          <w:bCs/>
          <w:color w:val="000000" w:themeColor="text1"/>
          <w14:textFill>
            <w14:solidFill>
              <w14:schemeClr w14:val="tx1"/>
            </w14:solidFill>
          </w14:textFill>
        </w:rPr>
        <w:t>t/批次，全年冲洗用水量约为</w:t>
      </w:r>
      <w:r>
        <w:rPr>
          <w:rFonts w:hint="eastAsia"/>
          <w:bCs/>
          <w:color w:val="000000" w:themeColor="text1"/>
          <w14:textFill>
            <w14:solidFill>
              <w14:schemeClr w14:val="tx1"/>
            </w14:solidFill>
          </w14:textFill>
        </w:rPr>
        <w:t>913</w:t>
      </w:r>
      <w:r>
        <w:rPr>
          <w:bCs/>
          <w:color w:val="000000" w:themeColor="text1"/>
          <w14:textFill>
            <w14:solidFill>
              <w14:schemeClr w14:val="tx1"/>
            </w14:solidFill>
          </w14:textFill>
        </w:rPr>
        <w:t>t/a</w:t>
      </w:r>
      <w:r>
        <w:rPr>
          <w:rFonts w:hint="eastAsia"/>
          <w:bCs/>
          <w:color w:val="000000" w:themeColor="text1"/>
          <w14:textFill>
            <w14:solidFill>
              <w14:schemeClr w14:val="tx1"/>
            </w14:solidFill>
          </w14:textFill>
        </w:rPr>
        <w:t>，其中370</w:t>
      </w:r>
      <w:r>
        <w:rPr>
          <w:bCs/>
          <w:color w:val="000000" w:themeColor="text1"/>
          <w14:textFill>
            <w14:solidFill>
              <w14:schemeClr w14:val="tx1"/>
            </w14:solidFill>
          </w14:textFill>
        </w:rPr>
        <w:t>t/a</w:t>
      </w:r>
      <w:r>
        <w:rPr>
          <w:rFonts w:hint="eastAsia"/>
          <w:bCs/>
          <w:color w:val="000000" w:themeColor="text1"/>
          <w14:textFill>
            <w14:solidFill>
              <w14:schemeClr w14:val="tx1"/>
            </w14:solidFill>
          </w14:textFill>
        </w:rPr>
        <w:t>为软水制备产生的浓水，543</w:t>
      </w:r>
      <w:r>
        <w:rPr>
          <w:bCs/>
          <w:color w:val="000000" w:themeColor="text1"/>
          <w14:textFill>
            <w14:solidFill>
              <w14:schemeClr w14:val="tx1"/>
            </w14:solidFill>
          </w14:textFill>
        </w:rPr>
        <w:t>t/a</w:t>
      </w:r>
      <w:r>
        <w:rPr>
          <w:rFonts w:hint="eastAsia"/>
          <w:bCs/>
          <w:color w:val="000000" w:themeColor="text1"/>
          <w14:textFill>
            <w14:solidFill>
              <w14:schemeClr w14:val="tx1"/>
            </w14:solidFill>
          </w14:textFill>
        </w:rPr>
        <w:t>为新鲜自来水。</w:t>
      </w:r>
    </w:p>
    <w:p w14:paraId="158EF991">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（4）夏季降温湿帘循环水</w:t>
      </w:r>
    </w:p>
    <w:p w14:paraId="28FF330D">
      <w:pPr>
        <w:adjustRightInd w:val="0"/>
        <w:snapToGrid w:val="0"/>
        <w:spacing w:line="480" w:lineRule="exact"/>
        <w:ind w:firstLine="480" w:firstLineChars="200"/>
        <w:jc w:val="left"/>
        <w:rPr>
          <w:bCs/>
          <w:color w:val="000000" w:themeColor="text1"/>
          <w14:textFill>
            <w14:solidFill>
              <w14:schemeClr w14:val="tx1"/>
            </w14:solidFill>
          </w14:textFill>
        </w:rPr>
      </w:pPr>
      <w:r>
        <w:rPr>
          <w:bCs/>
          <w:color w:val="000000" w:themeColor="text1"/>
          <w14:textFill>
            <w14:solidFill>
              <w14:schemeClr w14:val="tx1"/>
            </w14:solidFill>
          </w14:textFill>
        </w:rPr>
        <w:t>当温度高于33℃，鸡舍采用水帘降温，</w:t>
      </w:r>
      <w:r>
        <w:rPr>
          <w:rFonts w:hint="eastAsia"/>
          <w:bCs/>
          <w:color w:val="000000" w:themeColor="text1"/>
          <w14:textFill>
            <w14:solidFill>
              <w14:schemeClr w14:val="tx1"/>
            </w14:solidFill>
          </w14:textFill>
        </w:rPr>
        <w:t>水帘用水循环利用不外排，定期补充蒸发水量。</w:t>
      </w:r>
      <w:r>
        <w:rPr>
          <w:bCs/>
          <w:color w:val="000000" w:themeColor="text1"/>
          <w14:textFill>
            <w14:solidFill>
              <w14:schemeClr w14:val="tx1"/>
            </w14:solidFill>
          </w14:textFill>
        </w:rPr>
        <w:t>实际平均每个鸡舍日蒸发水量2t/</w:t>
      </w:r>
      <w:r>
        <w:rPr>
          <w:rFonts w:hint="eastAsia"/>
          <w:bCs/>
          <w:color w:val="000000" w:themeColor="text1"/>
          <w14:textFill>
            <w14:solidFill>
              <w14:schemeClr w14:val="tx1"/>
            </w14:solidFill>
          </w14:textFill>
        </w:rPr>
        <w:t>d</w:t>
      </w:r>
      <w:r>
        <w:rPr>
          <w:bCs/>
          <w:color w:val="000000" w:themeColor="text1"/>
          <w14:textFill>
            <w14:solidFill>
              <w14:schemeClr w14:val="tx1"/>
            </w14:solidFill>
          </w14:textFill>
        </w:rPr>
        <w:t>·鸡舍，年使用时间为夏季一批次，为</w:t>
      </w:r>
      <w:r>
        <w:rPr>
          <w:rFonts w:hint="eastAsia"/>
          <w:bCs/>
          <w:color w:val="000000" w:themeColor="text1"/>
          <w14:textFill>
            <w14:solidFill>
              <w14:schemeClr w14:val="tx1"/>
            </w14:solidFill>
          </w14:textFill>
        </w:rPr>
        <w:t>45</w:t>
      </w:r>
      <w:r>
        <w:rPr>
          <w:bCs/>
          <w:color w:val="000000" w:themeColor="text1"/>
          <w14:textFill>
            <w14:solidFill>
              <w14:schemeClr w14:val="tx1"/>
            </w14:solidFill>
          </w14:textFill>
        </w:rPr>
        <w:t>d。因此，单栋鸡舍降温冷却用水量</w:t>
      </w:r>
      <w:r>
        <w:rPr>
          <w:rFonts w:hint="eastAsia"/>
          <w:bCs/>
          <w:color w:val="000000" w:themeColor="text1"/>
          <w14:textFill>
            <w14:solidFill>
              <w14:schemeClr w14:val="tx1"/>
            </w14:solidFill>
          </w14:textFill>
        </w:rPr>
        <w:t>90</w:t>
      </w:r>
      <w:r>
        <w:rPr>
          <w:bCs/>
          <w:color w:val="000000" w:themeColor="text1"/>
          <w14:textFill>
            <w14:solidFill>
              <w14:schemeClr w14:val="tx1"/>
            </w14:solidFill>
          </w14:textFill>
        </w:rPr>
        <w:t>t/a，项目养殖场全年鸡舍降温冷却用水量</w:t>
      </w:r>
      <w:r>
        <w:rPr>
          <w:rFonts w:hint="eastAsia"/>
          <w:bCs/>
          <w:color w:val="000000" w:themeColor="text1"/>
          <w14:textFill>
            <w14:solidFill>
              <w14:schemeClr w14:val="tx1"/>
            </w14:solidFill>
          </w14:textFill>
        </w:rPr>
        <w:t>900</w:t>
      </w:r>
      <w:r>
        <w:rPr>
          <w:bCs/>
          <w:color w:val="000000" w:themeColor="text1"/>
          <w14:textFill>
            <w14:solidFill>
              <w14:schemeClr w14:val="tx1"/>
            </w14:solidFill>
          </w14:textFill>
        </w:rPr>
        <w:t>t/a。</w:t>
      </w:r>
    </w:p>
    <w:p w14:paraId="673C9AAF">
      <w:pPr>
        <w:adjustRightInd w:val="0"/>
        <w:snapToGrid w:val="0"/>
        <w:spacing w:line="480" w:lineRule="exact"/>
        <w:ind w:firstLine="480" w:firstLineChars="200"/>
        <w:jc w:val="left"/>
        <w:rPr>
          <w:bCs/>
          <w:color w:val="000000" w:themeColor="text1"/>
          <w14:textFill>
            <w14:solidFill>
              <w14:schemeClr w14:val="tx1"/>
            </w14:solidFill>
          </w14:textFill>
        </w:rPr>
      </w:pPr>
      <w:r>
        <w:rPr>
          <w:bCs/>
          <w:color w:val="000000" w:themeColor="text1"/>
          <w14:textFill>
            <w14:solidFill>
              <w14:schemeClr w14:val="tx1"/>
            </w14:solidFill>
          </w14:textFill>
        </w:rPr>
        <w:t>水帘降温系统是利用水蒸发吸热的原理，通过水在重力作用下从上往下留在铜片制蜂窝结构材料的表面形成水膜，当快速流动的空气穿过水帘时水膜中的水会吸收空气中的热量，通过蒸发带走大量的热，使水帘的空气温度降低。水帘降温系统可以有效改善鸡舍的高温闷热环境，使室内温度（夏季一般32-45℃的高温环境）迅速地在10min内降下，并将温度保持在26-30℃。</w:t>
      </w:r>
    </w:p>
    <w:p w14:paraId="547C4C5D">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）消毒液稀释用水</w:t>
      </w:r>
    </w:p>
    <w:p w14:paraId="3C8202A8">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本项目消毒液根据生产需要需稀释成不同浓度后使用，根据建设单位提供，本项目消毒剂年消耗量约50L/a，以1:100的稀释比例稀释，则消毒液稀释水用量约为</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/a，随消毒液全部消耗。</w:t>
      </w:r>
    </w:p>
    <w:p w14:paraId="5C9D50F9">
      <w:pPr>
        <w:keepNext w:val="0"/>
        <w:keepLines w:val="0"/>
        <w:pageBreakBefore w:val="0"/>
        <w:widowControl w:val="0"/>
        <w:kinsoku/>
        <w:wordWrap/>
        <w:overflowPunct/>
        <w:topLinePunct w:val="0"/>
        <w:autoSpaceDE/>
        <w:autoSpaceDN/>
        <w:bidi w:val="0"/>
        <w:spacing w:line="500" w:lineRule="exact"/>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（6）除臭剂稀释用水</w:t>
      </w:r>
    </w:p>
    <w:p w14:paraId="63752FC6">
      <w:pPr>
        <w:keepNext w:val="0"/>
        <w:keepLines w:val="0"/>
        <w:pageBreakBefore w:val="0"/>
        <w:widowControl w:val="0"/>
        <w:kinsoku/>
        <w:wordWrap/>
        <w:overflowPunct/>
        <w:topLinePunct w:val="0"/>
        <w:autoSpaceDE/>
        <w:autoSpaceDN/>
        <w:bidi w:val="0"/>
        <w:spacing w:line="500" w:lineRule="exact"/>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本项目除臭剂根据生产需要需稀释成不同浓度后使用，根据建设单位提供，本项目消毒剂年消耗量约</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t/a，以1:50的稀释比例稀释，则消毒液稀释水用量约为</w:t>
      </w:r>
      <w:r>
        <w:rPr>
          <w:rFonts w:hint="eastAsia"/>
          <w:color w:val="000000" w:themeColor="text1"/>
          <w:lang w:val="en-US" w:eastAsia="zh-CN"/>
          <w14:textFill>
            <w14:solidFill>
              <w14:schemeClr w14:val="tx1"/>
            </w14:solidFill>
          </w14:textFill>
        </w:rPr>
        <w:t>300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/a，随除臭剂全部消耗。</w:t>
      </w:r>
    </w:p>
    <w:p w14:paraId="08ADA788">
      <w:pPr>
        <w:keepNext w:val="0"/>
        <w:keepLines w:val="0"/>
        <w:pageBreakBefore w:val="0"/>
        <w:widowControl w:val="0"/>
        <w:kinsoku/>
        <w:wordWrap/>
        <w:overflowPunct/>
        <w:topLinePunct w:val="0"/>
        <w:autoSpaceDE/>
        <w:autoSpaceDN/>
        <w:bidi w:val="0"/>
        <w:spacing w:line="500" w:lineRule="exact"/>
        <w:ind w:firstLine="480" w:firstLineChars="200"/>
        <w:textAlignment w:val="auto"/>
        <w:outlineLvl w:val="1"/>
        <w:rPr>
          <w:color w:val="000000" w:themeColor="text1"/>
          <w14:textFill>
            <w14:solidFill>
              <w14:schemeClr w14:val="tx1"/>
            </w14:solidFill>
          </w14:textFill>
        </w:rPr>
      </w:pPr>
      <w:bookmarkStart w:id="50" w:name="_Toc24186"/>
      <w:bookmarkStart w:id="51" w:name="_Toc4769"/>
      <w:bookmarkStart w:id="52" w:name="_Toc15788"/>
      <w:bookmarkStart w:id="53" w:name="_Toc14556"/>
      <w:r>
        <w:rPr>
          <w:rFonts w:hint="eastAsia"/>
          <w:color w:val="000000" w:themeColor="text1"/>
          <w14:textFill>
            <w14:solidFill>
              <w14:schemeClr w14:val="tx1"/>
            </w14:solidFill>
          </w14:textFill>
        </w:rPr>
        <w:t>（7）生物喷淋除臭系统用水</w:t>
      </w:r>
      <w:bookmarkEnd w:id="50"/>
      <w:bookmarkEnd w:id="51"/>
      <w:bookmarkEnd w:id="52"/>
      <w:bookmarkEnd w:id="53"/>
    </w:p>
    <w:p w14:paraId="1972EB3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eastAsia="宋体"/>
          <w:bCs/>
          <w:color w:val="000000" w:themeColor="text1"/>
          <w14:textFill>
            <w14:solidFill>
              <w14:schemeClr w14:val="tx1"/>
            </w14:solidFill>
          </w14:textFill>
        </w:rPr>
      </w:pPr>
      <w:r>
        <w:rPr>
          <w:rFonts w:hint="eastAsia"/>
          <w:color w:val="000000" w:themeColor="text1"/>
          <w14:textFill>
            <w14:solidFill>
              <w14:schemeClr w14:val="tx1"/>
            </w14:solidFill>
          </w14:textFill>
        </w:rPr>
        <w:t>本项目生物除臭系统设有1套生物喷淋塔（配1个循环水箱，水箱容积约为2m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），水喷淋塔的循环量为5m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/h（120t/d），循环水塔损耗量约占循环量的0.5%，则循环塔损耗量为0.6t/d（180t/a），需定期补充新鲜水，运营阶段产生的喷淋废水主要污染因子为pH、COD、NH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-N，建设单位定期更换生物除臭系统循环水箱中循环水，每个月排放一次，单次排放量约为2t/次，则喷淋废水产生量为24t/a，合计年用水量204t/a。</w:t>
      </w:r>
    </w:p>
    <w:p w14:paraId="32CD4A5D">
      <w:pPr>
        <w:keepNext w:val="0"/>
        <w:keepLines w:val="0"/>
        <w:pageBreakBefore w:val="0"/>
        <w:widowControl w:val="0"/>
        <w:kinsoku/>
        <w:wordWrap/>
        <w:overflowPunct/>
        <w:topLinePunct w:val="0"/>
        <w:autoSpaceDE/>
        <w:autoSpaceDN/>
        <w:bidi w:val="0"/>
        <w:spacing w:line="500" w:lineRule="exact"/>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）供热用水</w:t>
      </w:r>
    </w:p>
    <w:p w14:paraId="5CC4AC2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本项目</w:t>
      </w:r>
      <w:r>
        <w:rPr>
          <w:rFonts w:hint="eastAsia" w:ascii="Times New Roman" w:hAnsi="Times New Roman" w:eastAsia="宋体" w:cs="Times New Roman"/>
          <w:color w:val="000000" w:themeColor="text1"/>
          <w:szCs w:val="24"/>
          <w14:textFill>
            <w14:solidFill>
              <w14:schemeClr w14:val="tx1"/>
            </w14:solidFill>
          </w14:textFill>
        </w:rPr>
        <w:t>冬季</w:t>
      </w:r>
      <w:r>
        <w:rPr>
          <w:rFonts w:ascii="Times New Roman" w:hAnsi="Times New Roman" w:eastAsia="宋体" w:cs="Times New Roman"/>
          <w:color w:val="000000" w:themeColor="text1"/>
          <w:szCs w:val="24"/>
          <w14:textFill>
            <w14:solidFill>
              <w14:schemeClr w14:val="tx1"/>
            </w14:solidFill>
          </w14:textFill>
        </w:rPr>
        <w:t>鸡舍供暖热源</w:t>
      </w:r>
      <w:r>
        <w:rPr>
          <w:rFonts w:hint="eastAsia" w:ascii="Times New Roman" w:hAnsi="Times New Roman" w:eastAsia="宋体" w:cs="Times New Roman"/>
          <w:color w:val="000000" w:themeColor="text1"/>
          <w:szCs w:val="24"/>
          <w14:textFill>
            <w14:solidFill>
              <w14:schemeClr w14:val="tx1"/>
            </w14:solidFill>
          </w14:textFill>
        </w:rPr>
        <w:t>采用</w:t>
      </w:r>
      <w:r>
        <w:rPr>
          <w:rFonts w:hint="eastAsia" w:ascii="Times New Roman" w:hAnsi="Times New Roman" w:eastAsia="宋体" w:cs="Times New Roman"/>
          <w:color w:val="000000" w:themeColor="text1"/>
          <w:szCs w:val="24"/>
          <w:lang w:val="en-US" w:eastAsia="zh-CN"/>
          <w14:textFill>
            <w14:solidFill>
              <w14:schemeClr w14:val="tx1"/>
            </w14:solidFill>
          </w14:textFill>
        </w:rPr>
        <w:t>电热水锅炉</w:t>
      </w:r>
      <w:r>
        <w:rPr>
          <w:rFonts w:hint="eastAsia" w:ascii="Times New Roman" w:hAnsi="Times New Roman" w:eastAsia="宋体" w:cs="Times New Roman"/>
          <w:color w:val="000000" w:themeColor="text1"/>
          <w:szCs w:val="24"/>
          <w14:textFill>
            <w14:solidFill>
              <w14:schemeClr w14:val="tx1"/>
            </w14:solidFill>
          </w14:textFill>
        </w:rPr>
        <w:t>提供</w:t>
      </w:r>
      <w:r>
        <w:rPr>
          <w:rFonts w:ascii="Times New Roman" w:hAnsi="Times New Roman" w:eastAsia="宋体" w:cs="Times New Roman"/>
          <w:color w:val="000000" w:themeColor="text1"/>
          <w:szCs w:val="24"/>
          <w14:textFill>
            <w14:solidFill>
              <w14:schemeClr w14:val="tx1"/>
            </w14:solidFill>
          </w14:textFill>
        </w:rPr>
        <w:t>，根据实际需求，本项目建设</w:t>
      </w:r>
      <w:r>
        <w:rPr>
          <w:rFonts w:hint="eastAsia" w:ascii="Times New Roman" w:hAnsi="Times New Roman" w:eastAsia="宋体" w:cs="Times New Roman"/>
          <w:color w:val="000000" w:themeColor="text1"/>
          <w:szCs w:val="24"/>
          <w14:textFill>
            <w14:solidFill>
              <w14:schemeClr w14:val="tx1"/>
            </w14:solidFill>
          </w14:textFill>
        </w:rPr>
        <w:t>1</w:t>
      </w:r>
      <w:r>
        <w:rPr>
          <w:rFonts w:ascii="Times New Roman" w:hAnsi="Times New Roman" w:eastAsia="宋体" w:cs="Times New Roman"/>
          <w:color w:val="000000" w:themeColor="text1"/>
          <w:szCs w:val="24"/>
          <w14:textFill>
            <w14:solidFill>
              <w14:schemeClr w14:val="tx1"/>
            </w14:solidFill>
          </w14:textFill>
        </w:rPr>
        <w:t>台</w:t>
      </w:r>
      <w:r>
        <w:rPr>
          <w:rFonts w:hint="eastAsia" w:ascii="Times New Roman" w:hAnsi="Times New Roman" w:eastAsia="宋体" w:cs="Times New Roman"/>
          <w:color w:val="000000" w:themeColor="text1"/>
          <w:szCs w:val="24"/>
          <w14:textFill>
            <w14:solidFill>
              <w14:schemeClr w14:val="tx1"/>
            </w14:solidFill>
          </w14:textFill>
        </w:rPr>
        <w:t>4</w:t>
      </w:r>
      <w:r>
        <w:rPr>
          <w:rFonts w:ascii="Times New Roman" w:hAnsi="Times New Roman" w:eastAsia="宋体" w:cs="Times New Roman"/>
          <w:color w:val="000000" w:themeColor="text1"/>
          <w:szCs w:val="24"/>
          <w14:textFill>
            <w14:solidFill>
              <w14:schemeClr w14:val="tx1"/>
            </w14:solidFill>
          </w14:textFill>
        </w:rPr>
        <w:t>t/h</w:t>
      </w:r>
      <w:r>
        <w:rPr>
          <w:rFonts w:hint="eastAsia" w:ascii="Times New Roman" w:hAnsi="Times New Roman" w:eastAsia="宋体" w:cs="Times New Roman"/>
          <w:color w:val="000000" w:themeColor="text1"/>
          <w:szCs w:val="24"/>
          <w:lang w:val="en-US" w:eastAsia="zh-CN"/>
          <w14:textFill>
            <w14:solidFill>
              <w14:schemeClr w14:val="tx1"/>
            </w14:solidFill>
          </w14:textFill>
        </w:rPr>
        <w:t>电热水锅炉</w:t>
      </w:r>
      <w:r>
        <w:rPr>
          <w:rFonts w:ascii="Times New Roman" w:hAnsi="Times New Roman" w:eastAsia="宋体" w:cs="Times New Roman"/>
          <w:color w:val="000000" w:themeColor="text1"/>
          <w:szCs w:val="24"/>
          <w14:textFill>
            <w14:solidFill>
              <w14:schemeClr w14:val="tx1"/>
            </w14:solidFill>
          </w14:textFill>
        </w:rPr>
        <w:t>，鸡舍供暖期按</w:t>
      </w:r>
      <w:r>
        <w:rPr>
          <w:rFonts w:hint="eastAsia" w:ascii="Times New Roman" w:hAnsi="Times New Roman" w:eastAsia="宋体" w:cs="Times New Roman"/>
          <w:color w:val="000000" w:themeColor="text1"/>
          <w:szCs w:val="24"/>
          <w14:textFill>
            <w14:solidFill>
              <w14:schemeClr w14:val="tx1"/>
            </w14:solidFill>
          </w14:textFill>
        </w:rPr>
        <w:t>90</w:t>
      </w:r>
      <w:r>
        <w:rPr>
          <w:rFonts w:ascii="Times New Roman" w:hAnsi="Times New Roman" w:eastAsia="宋体" w:cs="Times New Roman"/>
          <w:color w:val="000000" w:themeColor="text1"/>
          <w:szCs w:val="24"/>
          <w14:textFill>
            <w14:solidFill>
              <w14:schemeClr w14:val="tx1"/>
            </w14:solidFill>
          </w14:textFill>
        </w:rPr>
        <w:t>天估算，</w:t>
      </w:r>
      <w:r>
        <w:rPr>
          <w:rFonts w:hint="eastAsia" w:ascii="Times New Roman" w:hAnsi="宋体" w:eastAsia="宋体"/>
          <w:color w:val="000000" w:themeColor="text1"/>
          <w:szCs w:val="24"/>
          <w:lang w:val="en-US" w:eastAsia="zh-CN"/>
          <w14:textFill>
            <w14:solidFill>
              <w14:schemeClr w14:val="tx1"/>
            </w14:solidFill>
          </w14:textFill>
        </w:rPr>
        <w:t>热水</w:t>
      </w:r>
      <w:r>
        <w:rPr>
          <w:rFonts w:ascii="Times New Roman" w:hAnsi="宋体"/>
          <w:color w:val="000000" w:themeColor="text1"/>
          <w:szCs w:val="24"/>
          <w14:textFill>
            <w14:solidFill>
              <w14:schemeClr w14:val="tx1"/>
            </w14:solidFill>
          </w14:textFill>
        </w:rPr>
        <w:t>用量为</w:t>
      </w:r>
      <w:r>
        <w:rPr>
          <w:rFonts w:ascii="Times New Roman"/>
          <w:color w:val="000000" w:themeColor="text1"/>
          <w:szCs w:val="24"/>
          <w14:textFill>
            <w14:solidFill>
              <w14:schemeClr w14:val="tx1"/>
            </w14:solidFill>
          </w14:textFill>
        </w:rPr>
        <w:t>4t/h</w:t>
      </w:r>
      <w:r>
        <w:rPr>
          <w:rFonts w:ascii="Times New Roman" w:hAnsi="宋体"/>
          <w:color w:val="000000" w:themeColor="text1"/>
          <w:szCs w:val="24"/>
          <w14:textFill>
            <w14:solidFill>
              <w14:schemeClr w14:val="tx1"/>
            </w14:solidFill>
          </w14:textFill>
        </w:rPr>
        <w:t>，</w:t>
      </w:r>
      <w:r>
        <w:rPr>
          <w:rFonts w:hint="eastAsia" w:ascii="Times New Roman" w:hAnsi="宋体"/>
          <w:color w:val="000000" w:themeColor="text1"/>
          <w:szCs w:val="24"/>
          <w:lang w:val="en-US" w:eastAsia="zh-CN"/>
          <w14:textFill>
            <w14:solidFill>
              <w14:schemeClr w14:val="tx1"/>
            </w14:solidFill>
          </w14:textFill>
        </w:rPr>
        <w:t>供暖后的温水</w:t>
      </w:r>
      <w:r>
        <w:rPr>
          <w:rFonts w:ascii="Times New Roman" w:hAnsi="宋体"/>
          <w:color w:val="000000" w:themeColor="text1"/>
          <w:szCs w:val="24"/>
          <w14:textFill>
            <w14:solidFill>
              <w14:schemeClr w14:val="tx1"/>
            </w14:solidFill>
          </w14:textFill>
        </w:rPr>
        <w:t>通过管道回用至</w:t>
      </w:r>
      <w:r>
        <w:rPr>
          <w:rFonts w:hint="eastAsia" w:ascii="Times New Roman" w:hAnsi="宋体"/>
          <w:color w:val="000000" w:themeColor="text1"/>
          <w:szCs w:val="24"/>
          <w:lang w:val="en-US" w:eastAsia="zh-CN"/>
          <w14:textFill>
            <w14:solidFill>
              <w14:schemeClr w14:val="tx1"/>
            </w14:solidFill>
          </w14:textFill>
        </w:rPr>
        <w:t>热水</w:t>
      </w:r>
      <w:r>
        <w:rPr>
          <w:rFonts w:hint="eastAsia" w:ascii="Times New Roman" w:hAnsi="宋体"/>
          <w:color w:val="000000" w:themeColor="text1"/>
          <w:szCs w:val="24"/>
          <w14:textFill>
            <w14:solidFill>
              <w14:schemeClr w14:val="tx1"/>
            </w14:solidFill>
          </w14:textFill>
        </w:rPr>
        <w:t>锅炉</w:t>
      </w:r>
      <w:r>
        <w:rPr>
          <w:rFonts w:ascii="Times New Roman" w:hAnsi="宋体"/>
          <w:color w:val="000000" w:themeColor="text1"/>
          <w:szCs w:val="24"/>
          <w14:textFill>
            <w14:solidFill>
              <w14:schemeClr w14:val="tx1"/>
            </w14:solidFill>
          </w14:textFill>
        </w:rPr>
        <w:t>。</w:t>
      </w:r>
      <w:r>
        <w:rPr>
          <w:rFonts w:hint="eastAsia" w:ascii="Times New Roman" w:hAnsi="宋体"/>
          <w:color w:val="000000" w:themeColor="text1"/>
          <w:szCs w:val="24"/>
          <w:lang w:val="en-US" w:eastAsia="zh-CN"/>
          <w14:textFill>
            <w14:solidFill>
              <w14:schemeClr w14:val="tx1"/>
            </w14:solidFill>
          </w14:textFill>
        </w:rPr>
        <w:t>热水</w:t>
      </w:r>
      <w:r>
        <w:rPr>
          <w:rFonts w:ascii="Times New Roman" w:hAnsi="宋体"/>
          <w:color w:val="000000" w:themeColor="text1"/>
          <w:szCs w:val="24"/>
          <w14:textFill>
            <w14:solidFill>
              <w14:schemeClr w14:val="tx1"/>
            </w14:solidFill>
          </w14:textFill>
        </w:rPr>
        <w:t>损耗量约为使用量的</w:t>
      </w:r>
      <w:r>
        <w:rPr>
          <w:rFonts w:hint="eastAsia" w:ascii="Times New Roman"/>
          <w:color w:val="000000" w:themeColor="text1"/>
          <w:szCs w:val="24"/>
          <w14:textFill>
            <w14:solidFill>
              <w14:schemeClr w14:val="tx1"/>
            </w14:solidFill>
          </w14:textFill>
        </w:rPr>
        <w:t>1</w:t>
      </w:r>
      <w:r>
        <w:rPr>
          <w:rFonts w:ascii="Times New Roman"/>
          <w:color w:val="000000" w:themeColor="text1"/>
          <w:szCs w:val="24"/>
          <w14:textFill>
            <w14:solidFill>
              <w14:schemeClr w14:val="tx1"/>
            </w14:solidFill>
          </w14:textFill>
        </w:rPr>
        <w:t>0%</w:t>
      </w:r>
      <w:r>
        <w:rPr>
          <w:rFonts w:ascii="Times New Roman" w:hAnsi="宋体"/>
          <w:color w:val="000000" w:themeColor="text1"/>
          <w:szCs w:val="24"/>
          <w14:textFill>
            <w14:solidFill>
              <w14:schemeClr w14:val="tx1"/>
            </w14:solidFill>
          </w14:textFill>
        </w:rPr>
        <w:t>，即为</w:t>
      </w:r>
      <w:r>
        <w:rPr>
          <w:rFonts w:ascii="Times New Roman"/>
          <w:color w:val="000000" w:themeColor="text1"/>
          <w:szCs w:val="24"/>
          <w14:textFill>
            <w14:solidFill>
              <w14:schemeClr w14:val="tx1"/>
            </w14:solidFill>
          </w14:textFill>
        </w:rPr>
        <w:t>0.</w:t>
      </w:r>
      <w:r>
        <w:rPr>
          <w:rFonts w:hint="eastAsia" w:ascii="Times New Roman"/>
          <w:color w:val="000000" w:themeColor="text1"/>
          <w:szCs w:val="24"/>
          <w14:textFill>
            <w14:solidFill>
              <w14:schemeClr w14:val="tx1"/>
            </w14:solidFill>
          </w14:textFill>
        </w:rPr>
        <w:t>4</w:t>
      </w:r>
      <w:r>
        <w:rPr>
          <w:rFonts w:ascii="Times New Roman"/>
          <w:color w:val="000000" w:themeColor="text1"/>
          <w:szCs w:val="24"/>
          <w14:textFill>
            <w14:solidFill>
              <w14:schemeClr w14:val="tx1"/>
            </w14:solidFill>
          </w14:textFill>
        </w:rPr>
        <w:t>t/h</w:t>
      </w:r>
      <w:r>
        <w:rPr>
          <w:rFonts w:ascii="Times New Roman" w:hAnsi="宋体"/>
          <w:color w:val="000000" w:themeColor="text1"/>
          <w:szCs w:val="24"/>
          <w14:textFill>
            <w14:solidFill>
              <w14:schemeClr w14:val="tx1"/>
            </w14:solidFill>
          </w14:textFill>
        </w:rPr>
        <w:t>（</w:t>
      </w:r>
      <w:r>
        <w:rPr>
          <w:rFonts w:hint="eastAsia" w:ascii="Times New Roman"/>
          <w:color w:val="000000" w:themeColor="text1"/>
          <w:szCs w:val="24"/>
          <w14:textFill>
            <w14:solidFill>
              <w14:schemeClr w14:val="tx1"/>
            </w14:solidFill>
          </w14:textFill>
        </w:rPr>
        <w:t>864</w:t>
      </w:r>
      <w:r>
        <w:rPr>
          <w:rFonts w:ascii="Times New Roman"/>
          <w:color w:val="000000" w:themeColor="text1"/>
          <w:szCs w:val="24"/>
          <w14:textFill>
            <w14:solidFill>
              <w14:schemeClr w14:val="tx1"/>
            </w14:solidFill>
          </w14:textFill>
        </w:rPr>
        <w:t>m</w:t>
      </w:r>
      <w:r>
        <w:rPr>
          <w:rFonts w:ascii="Times New Roman"/>
          <w:color w:val="000000" w:themeColor="text1"/>
          <w:szCs w:val="24"/>
          <w:vertAlign w:val="superscript"/>
          <w14:textFill>
            <w14:solidFill>
              <w14:schemeClr w14:val="tx1"/>
            </w14:solidFill>
          </w14:textFill>
        </w:rPr>
        <w:t>3</w:t>
      </w:r>
      <w:r>
        <w:rPr>
          <w:rFonts w:ascii="Times New Roman"/>
          <w:color w:val="000000" w:themeColor="text1"/>
          <w:szCs w:val="24"/>
          <w14:textFill>
            <w14:solidFill>
              <w14:schemeClr w14:val="tx1"/>
            </w14:solidFill>
          </w14:textFill>
        </w:rPr>
        <w:t>/a</w:t>
      </w:r>
      <w:r>
        <w:rPr>
          <w:rFonts w:ascii="Times New Roman" w:hAnsi="宋体"/>
          <w:color w:val="000000" w:themeColor="text1"/>
          <w:szCs w:val="24"/>
          <w14:textFill>
            <w14:solidFill>
              <w14:schemeClr w14:val="tx1"/>
            </w14:solidFill>
          </w14:textFill>
        </w:rPr>
        <w:t>）。项目设置</w:t>
      </w:r>
      <w:r>
        <w:rPr>
          <w:rFonts w:ascii="Times New Roman"/>
          <w:color w:val="000000" w:themeColor="text1"/>
          <w:szCs w:val="24"/>
          <w14:textFill>
            <w14:solidFill>
              <w14:schemeClr w14:val="tx1"/>
            </w14:solidFill>
          </w14:textFill>
        </w:rPr>
        <w:t>1</w:t>
      </w:r>
      <w:r>
        <w:rPr>
          <w:rFonts w:ascii="Times New Roman" w:hAnsi="宋体"/>
          <w:color w:val="000000" w:themeColor="text1"/>
          <w:szCs w:val="24"/>
          <w14:textFill>
            <w14:solidFill>
              <w14:schemeClr w14:val="tx1"/>
            </w14:solidFill>
          </w14:textFill>
        </w:rPr>
        <w:t>套软水制备系统，采用离子交换树脂工艺，</w:t>
      </w:r>
      <w:r>
        <w:rPr>
          <w:rFonts w:ascii="Times New Roman"/>
          <w:color w:val="000000" w:themeColor="text1"/>
          <w:szCs w:val="24"/>
          <w14:textFill>
            <w14:solidFill>
              <w14:schemeClr w14:val="tx1"/>
            </w14:solidFill>
          </w14:textFill>
        </w:rPr>
        <w:t>1</w:t>
      </w:r>
      <w:r>
        <w:rPr>
          <w:rFonts w:ascii="Times New Roman" w:hAnsi="宋体"/>
          <w:color w:val="000000" w:themeColor="text1"/>
          <w:szCs w:val="24"/>
          <w14:textFill>
            <w14:solidFill>
              <w14:schemeClr w14:val="tx1"/>
            </w14:solidFill>
          </w14:textFill>
        </w:rPr>
        <w:t>吨原水可制取</w:t>
      </w:r>
      <w:r>
        <w:rPr>
          <w:rFonts w:ascii="Times New Roman"/>
          <w:color w:val="000000" w:themeColor="text1"/>
          <w:szCs w:val="24"/>
          <w14:textFill>
            <w14:solidFill>
              <w14:schemeClr w14:val="tx1"/>
            </w14:solidFill>
          </w14:textFill>
        </w:rPr>
        <w:t>0.5~0.8</w:t>
      </w:r>
      <w:r>
        <w:rPr>
          <w:rFonts w:ascii="Times New Roman" w:hAnsi="宋体"/>
          <w:color w:val="000000" w:themeColor="text1"/>
          <w:szCs w:val="24"/>
          <w14:textFill>
            <w14:solidFill>
              <w14:schemeClr w14:val="tx1"/>
            </w14:solidFill>
          </w14:textFill>
        </w:rPr>
        <w:t>吨软水（本环评以</w:t>
      </w:r>
      <w:r>
        <w:rPr>
          <w:rFonts w:ascii="Times New Roman"/>
          <w:color w:val="000000" w:themeColor="text1"/>
          <w:szCs w:val="24"/>
          <w14:textFill>
            <w14:solidFill>
              <w14:schemeClr w14:val="tx1"/>
            </w14:solidFill>
          </w14:textFill>
        </w:rPr>
        <w:t>0.7</w:t>
      </w:r>
      <w:r>
        <w:rPr>
          <w:rFonts w:hint="eastAsia" w:ascii="Times New Roman"/>
          <w:color w:val="000000" w:themeColor="text1"/>
          <w:szCs w:val="24"/>
          <w:lang w:val="en-US" w:eastAsia="zh-CN"/>
          <w14:textFill>
            <w14:solidFill>
              <w14:schemeClr w14:val="tx1"/>
            </w14:solidFill>
          </w14:textFill>
        </w:rPr>
        <w:t>t</w:t>
      </w:r>
      <w:r>
        <w:rPr>
          <w:rFonts w:ascii="Times New Roman" w:hAnsi="宋体"/>
          <w:color w:val="000000" w:themeColor="text1"/>
          <w:szCs w:val="24"/>
          <w14:textFill>
            <w14:solidFill>
              <w14:schemeClr w14:val="tx1"/>
            </w14:solidFill>
          </w14:textFill>
        </w:rPr>
        <w:t>计），则</w:t>
      </w:r>
      <w:r>
        <w:rPr>
          <w:rFonts w:hint="eastAsia" w:ascii="Times New Roman" w:hAnsi="宋体"/>
          <w:color w:val="000000" w:themeColor="text1"/>
          <w:szCs w:val="24"/>
          <w:lang w:val="en-US" w:eastAsia="zh-CN"/>
          <w14:textFill>
            <w14:solidFill>
              <w14:schemeClr w14:val="tx1"/>
            </w14:solidFill>
          </w14:textFill>
        </w:rPr>
        <w:t>热水</w:t>
      </w:r>
      <w:r>
        <w:rPr>
          <w:rFonts w:hint="eastAsia" w:ascii="Times New Roman" w:hAnsi="宋体"/>
          <w:color w:val="000000" w:themeColor="text1"/>
          <w:szCs w:val="24"/>
          <w14:textFill>
            <w14:solidFill>
              <w14:schemeClr w14:val="tx1"/>
            </w14:solidFill>
          </w14:textFill>
        </w:rPr>
        <w:t>锅炉供热</w:t>
      </w:r>
      <w:r>
        <w:rPr>
          <w:rFonts w:ascii="Times New Roman" w:hAnsi="宋体"/>
          <w:color w:val="000000" w:themeColor="text1"/>
          <w:szCs w:val="24"/>
          <w14:textFill>
            <w14:solidFill>
              <w14:schemeClr w14:val="tx1"/>
            </w14:solidFill>
          </w14:textFill>
        </w:rPr>
        <w:t>用水量约</w:t>
      </w:r>
      <w:r>
        <w:rPr>
          <w:rFonts w:hint="eastAsia" w:ascii="Times New Roman"/>
          <w:color w:val="000000" w:themeColor="text1"/>
          <w:szCs w:val="24"/>
          <w14:textFill>
            <w14:solidFill>
              <w14:schemeClr w14:val="tx1"/>
            </w14:solidFill>
          </w14:textFill>
        </w:rPr>
        <w:t>1234</w:t>
      </w:r>
      <w:r>
        <w:rPr>
          <w:rFonts w:ascii="Times New Roman"/>
          <w:color w:val="000000" w:themeColor="text1"/>
          <w:szCs w:val="24"/>
          <w14:textFill>
            <w14:solidFill>
              <w14:schemeClr w14:val="tx1"/>
            </w14:solidFill>
          </w14:textFill>
        </w:rPr>
        <w:t>m</w:t>
      </w:r>
      <w:r>
        <w:rPr>
          <w:rFonts w:ascii="Times New Roman"/>
          <w:color w:val="000000" w:themeColor="text1"/>
          <w:szCs w:val="24"/>
          <w:vertAlign w:val="superscript"/>
          <w14:textFill>
            <w14:solidFill>
              <w14:schemeClr w14:val="tx1"/>
            </w14:solidFill>
          </w14:textFill>
        </w:rPr>
        <w:t>3</w:t>
      </w:r>
      <w:r>
        <w:rPr>
          <w:rFonts w:ascii="Times New Roman"/>
          <w:color w:val="000000" w:themeColor="text1"/>
          <w:szCs w:val="24"/>
          <w14:textFill>
            <w14:solidFill>
              <w14:schemeClr w14:val="tx1"/>
            </w14:solidFill>
          </w14:textFill>
        </w:rPr>
        <w:t>/a</w:t>
      </w:r>
      <w:r>
        <w:rPr>
          <w:rFonts w:hint="eastAsia" w:ascii="Times New Roman"/>
          <w:color w:val="000000" w:themeColor="text1"/>
          <w:szCs w:val="24"/>
          <w14:textFill>
            <w14:solidFill>
              <w14:schemeClr w14:val="tx1"/>
            </w14:solidFill>
          </w14:textFill>
        </w:rPr>
        <w:t>，产生的浓水370</w:t>
      </w:r>
      <w:r>
        <w:rPr>
          <w:rFonts w:ascii="Times New Roman"/>
          <w:color w:val="000000" w:themeColor="text1"/>
          <w:szCs w:val="24"/>
          <w14:textFill>
            <w14:solidFill>
              <w14:schemeClr w14:val="tx1"/>
            </w14:solidFill>
          </w14:textFill>
        </w:rPr>
        <w:t>m</w:t>
      </w:r>
      <w:r>
        <w:rPr>
          <w:rFonts w:ascii="Times New Roman"/>
          <w:color w:val="000000" w:themeColor="text1"/>
          <w:szCs w:val="24"/>
          <w:vertAlign w:val="superscript"/>
          <w14:textFill>
            <w14:solidFill>
              <w14:schemeClr w14:val="tx1"/>
            </w14:solidFill>
          </w14:textFill>
        </w:rPr>
        <w:t>3</w:t>
      </w:r>
      <w:r>
        <w:rPr>
          <w:rFonts w:ascii="Times New Roman"/>
          <w:color w:val="000000" w:themeColor="text1"/>
          <w:szCs w:val="24"/>
          <w14:textFill>
            <w14:solidFill>
              <w14:schemeClr w14:val="tx1"/>
            </w14:solidFill>
          </w14:textFill>
        </w:rPr>
        <w:t>/a</w:t>
      </w:r>
      <w:r>
        <w:rPr>
          <w:rFonts w:hint="eastAsia" w:ascii="Times New Roman"/>
          <w:color w:val="000000" w:themeColor="text1"/>
          <w:szCs w:val="24"/>
          <w14:textFill>
            <w14:solidFill>
              <w14:schemeClr w14:val="tx1"/>
            </w14:solidFill>
          </w14:textFill>
        </w:rPr>
        <w:t>回用于</w:t>
      </w:r>
      <w:r>
        <w:rPr>
          <w:rFonts w:hint="eastAsia"/>
          <w:color w:val="000000" w:themeColor="text1"/>
          <w14:textFill>
            <w14:solidFill>
              <w14:schemeClr w14:val="tx1"/>
            </w14:solidFill>
          </w14:textFill>
        </w:rPr>
        <w:t>鸡笼和鸡舍冲洗</w:t>
      </w:r>
      <w:r>
        <w:rPr>
          <w:rFonts w:ascii="Times New Roman" w:hAnsi="宋体"/>
          <w:color w:val="000000" w:themeColor="text1"/>
          <w:szCs w:val="24"/>
          <w14:textFill>
            <w14:solidFill>
              <w14:schemeClr w14:val="tx1"/>
            </w14:solidFill>
          </w14:textFill>
        </w:rPr>
        <w:t>。</w:t>
      </w:r>
    </w:p>
    <w:p w14:paraId="760ABC6C">
      <w:pPr>
        <w:keepNext w:val="0"/>
        <w:keepLines w:val="0"/>
        <w:pageBreakBefore w:val="0"/>
        <w:widowControl w:val="0"/>
        <w:kinsoku/>
        <w:wordWrap/>
        <w:overflowPunct/>
        <w:topLinePunct w:val="0"/>
        <w:autoSpaceDE/>
        <w:autoSpaceDN/>
        <w:bidi w:val="0"/>
        <w:spacing w:line="500" w:lineRule="exact"/>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项目主要用水情况见表3.6-1。</w:t>
      </w:r>
    </w:p>
    <w:p w14:paraId="28D8A426">
      <w:pPr>
        <w:pStyle w:val="31"/>
        <w:keepNext w:val="0"/>
        <w:keepLines w:val="0"/>
        <w:pageBreakBefore w:val="0"/>
        <w:widowControl w:val="0"/>
        <w:kinsoku/>
        <w:wordWrap/>
        <w:overflowPunct/>
        <w:topLinePunct w:val="0"/>
        <w:autoSpaceDE/>
        <w:autoSpaceDN/>
        <w:bidi w:val="0"/>
        <w:spacing w:before="0" w:line="50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本项目用水情况一览表</w:t>
      </w:r>
    </w:p>
    <w:tbl>
      <w:tblPr>
        <w:tblStyle w:val="4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4195"/>
        <w:gridCol w:w="3292"/>
      </w:tblGrid>
      <w:tr w14:paraId="4DB5D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7" w:type="pct"/>
            <w:vAlign w:val="center"/>
          </w:tcPr>
          <w:p w14:paraId="5698EF98">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258" w:type="pct"/>
            <w:vAlign w:val="center"/>
          </w:tcPr>
          <w:p w14:paraId="27209EED">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1773" w:type="pct"/>
            <w:vAlign w:val="center"/>
          </w:tcPr>
          <w:p w14:paraId="6C25B333">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用水量（m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p>
        </w:tc>
      </w:tr>
      <w:tr w14:paraId="098296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7" w:type="pct"/>
            <w:vAlign w:val="center"/>
          </w:tcPr>
          <w:p w14:paraId="0C12B847">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258" w:type="pct"/>
            <w:vAlign w:val="center"/>
          </w:tcPr>
          <w:p w14:paraId="5CE9C296">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生活用水</w:t>
            </w:r>
          </w:p>
        </w:tc>
        <w:tc>
          <w:tcPr>
            <w:tcW w:w="1773" w:type="pct"/>
            <w:vAlign w:val="center"/>
          </w:tcPr>
          <w:p w14:paraId="47774C3A">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300</w:t>
            </w:r>
          </w:p>
        </w:tc>
      </w:tr>
      <w:tr w14:paraId="2E958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7" w:type="pct"/>
            <w:vAlign w:val="center"/>
          </w:tcPr>
          <w:p w14:paraId="2FBFFB72">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258" w:type="pct"/>
            <w:vAlign w:val="center"/>
          </w:tcPr>
          <w:p w14:paraId="774FB6E9">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鸡饮用水</w:t>
            </w:r>
          </w:p>
        </w:tc>
        <w:tc>
          <w:tcPr>
            <w:tcW w:w="1773" w:type="pct"/>
            <w:vAlign w:val="center"/>
          </w:tcPr>
          <w:p w14:paraId="3F8DB666">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4500</w:t>
            </w:r>
          </w:p>
        </w:tc>
      </w:tr>
      <w:tr w14:paraId="718D2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7" w:type="pct"/>
            <w:vAlign w:val="center"/>
          </w:tcPr>
          <w:p w14:paraId="2F21D5B9">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258" w:type="pct"/>
            <w:vAlign w:val="center"/>
          </w:tcPr>
          <w:p w14:paraId="02B8B41E">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冲洗用水</w:t>
            </w:r>
          </w:p>
        </w:tc>
        <w:tc>
          <w:tcPr>
            <w:tcW w:w="1773" w:type="pct"/>
            <w:vAlign w:val="center"/>
          </w:tcPr>
          <w:p w14:paraId="5036D843">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543</w:t>
            </w:r>
          </w:p>
        </w:tc>
      </w:tr>
      <w:tr w14:paraId="230F8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7" w:type="pct"/>
            <w:vAlign w:val="center"/>
          </w:tcPr>
          <w:p w14:paraId="3A6CA66B">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258" w:type="pct"/>
            <w:vAlign w:val="center"/>
          </w:tcPr>
          <w:p w14:paraId="3B51ED8E">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夏季降温循环水</w:t>
            </w:r>
          </w:p>
        </w:tc>
        <w:tc>
          <w:tcPr>
            <w:tcW w:w="1773" w:type="pct"/>
            <w:vAlign w:val="center"/>
          </w:tcPr>
          <w:p w14:paraId="5BDDB8B0">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900</w:t>
            </w:r>
          </w:p>
        </w:tc>
      </w:tr>
      <w:tr w14:paraId="4051B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7" w:type="pct"/>
            <w:vAlign w:val="center"/>
          </w:tcPr>
          <w:p w14:paraId="09E47348">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258" w:type="pct"/>
            <w:vAlign w:val="center"/>
          </w:tcPr>
          <w:p w14:paraId="1C83E942">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消毒液稀释用水</w:t>
            </w:r>
          </w:p>
        </w:tc>
        <w:tc>
          <w:tcPr>
            <w:tcW w:w="1773" w:type="pct"/>
            <w:vAlign w:val="center"/>
          </w:tcPr>
          <w:p w14:paraId="224F4EAC">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r w14:paraId="5F0432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7" w:type="pct"/>
            <w:vAlign w:val="center"/>
          </w:tcPr>
          <w:p w14:paraId="329A81F3">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2258" w:type="pct"/>
            <w:vAlign w:val="center"/>
          </w:tcPr>
          <w:p w14:paraId="589033AD">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除臭剂稀释用水</w:t>
            </w:r>
          </w:p>
        </w:tc>
        <w:tc>
          <w:tcPr>
            <w:tcW w:w="1773" w:type="pct"/>
            <w:vAlign w:val="center"/>
          </w:tcPr>
          <w:p w14:paraId="24504C65">
            <w:pPr>
              <w:pStyle w:val="61"/>
              <w:spacing w:line="300" w:lineRule="exac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300</w:t>
            </w:r>
          </w:p>
        </w:tc>
      </w:tr>
      <w:tr w14:paraId="13DD8B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7" w:type="pct"/>
            <w:vAlign w:val="center"/>
          </w:tcPr>
          <w:p w14:paraId="19082498">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2258" w:type="pct"/>
            <w:vAlign w:val="center"/>
          </w:tcPr>
          <w:p w14:paraId="69DB7488">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生物喷淋除臭系统用水</w:t>
            </w:r>
          </w:p>
        </w:tc>
        <w:tc>
          <w:tcPr>
            <w:tcW w:w="1773" w:type="pct"/>
            <w:vAlign w:val="center"/>
          </w:tcPr>
          <w:p w14:paraId="7EA88A0A">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204</w:t>
            </w:r>
          </w:p>
        </w:tc>
      </w:tr>
      <w:tr w14:paraId="718FE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7" w:type="pct"/>
            <w:vAlign w:val="center"/>
          </w:tcPr>
          <w:p w14:paraId="244E1962">
            <w:pPr>
              <w:pStyle w:val="61"/>
              <w:spacing w:line="300" w:lineRule="exact"/>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2258" w:type="pct"/>
            <w:vAlign w:val="center"/>
          </w:tcPr>
          <w:p w14:paraId="3BB5E3DB">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供热用水</w:t>
            </w:r>
          </w:p>
        </w:tc>
        <w:tc>
          <w:tcPr>
            <w:tcW w:w="1773" w:type="pct"/>
            <w:vAlign w:val="center"/>
          </w:tcPr>
          <w:p w14:paraId="61A35896">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1234</w:t>
            </w:r>
          </w:p>
        </w:tc>
      </w:tr>
      <w:tr w14:paraId="59D12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6" w:type="pct"/>
            <w:gridSpan w:val="2"/>
            <w:vAlign w:val="center"/>
          </w:tcPr>
          <w:p w14:paraId="553F8151">
            <w:pPr>
              <w:pStyle w:val="61"/>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773" w:type="pct"/>
            <w:vAlign w:val="center"/>
          </w:tcPr>
          <w:p w14:paraId="2D07FB52">
            <w:pPr>
              <w:pStyle w:val="61"/>
              <w:spacing w:line="300" w:lineRule="exact"/>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7986</w:t>
            </w:r>
          </w:p>
        </w:tc>
      </w:tr>
    </w:tbl>
    <w:p w14:paraId="1DD9867E">
      <w:pPr>
        <w:pStyle w:val="7"/>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排水</w:t>
      </w:r>
    </w:p>
    <w:p w14:paraId="1C974826">
      <w:pPr>
        <w:spacing w:line="480" w:lineRule="exact"/>
        <w:ind w:firstLine="480" w:firstLineChars="200"/>
        <w:rPr>
          <w:color w:val="000000" w:themeColor="text1"/>
          <w:szCs w:val="24"/>
          <w14:textFill>
            <w14:solidFill>
              <w14:schemeClr w14:val="tx1"/>
            </w14:solidFill>
          </w14:textFill>
        </w:rPr>
      </w:pPr>
      <w:r>
        <w:rPr>
          <w:color w:val="000000" w:themeColor="text1"/>
          <w:kern w:val="0"/>
          <w14:textFill>
            <w14:solidFill>
              <w14:schemeClr w14:val="tx1"/>
            </w14:solidFill>
          </w14:textFill>
        </w:rPr>
        <w:t>本项目废水主要为生活污水</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冲洗废水、</w:t>
      </w:r>
      <w:r>
        <w:rPr>
          <w:rFonts w:hint="eastAsia"/>
          <w:color w:val="000000" w:themeColor="text1"/>
          <w:kern w:val="0"/>
          <w14:textFill>
            <w14:solidFill>
              <w14:schemeClr w14:val="tx1"/>
            </w14:solidFill>
          </w14:textFill>
        </w:rPr>
        <w:t>喷淋废水及初期雨水。</w:t>
      </w:r>
      <w:r>
        <w:rPr>
          <w:rFonts w:hint="eastAsia"/>
          <w:color w:val="000000" w:themeColor="text1"/>
          <w:szCs w:val="24"/>
          <w14:textFill>
            <w14:solidFill>
              <w14:schemeClr w14:val="tx1"/>
            </w14:solidFill>
          </w14:textFill>
        </w:rPr>
        <w:t>项目厂区实行“雨污分流、清污分流”排水系统。项目雨水经雨水管网收集后排入周围沟渠。</w:t>
      </w:r>
      <w:r>
        <w:rPr>
          <w:color w:val="000000" w:themeColor="text1"/>
          <w:kern w:val="0"/>
          <w14:textFill>
            <w14:solidFill>
              <w14:schemeClr w14:val="tx1"/>
            </w14:solidFill>
          </w14:textFill>
        </w:rPr>
        <w:t>冲洗废水</w:t>
      </w:r>
      <w:r>
        <w:rPr>
          <w:rFonts w:hint="eastAsia"/>
          <w:color w:val="000000" w:themeColor="text1"/>
          <w:szCs w:val="24"/>
          <w14:textFill>
            <w14:solidFill>
              <w14:schemeClr w14:val="tx1"/>
            </w14:solidFill>
          </w14:textFill>
        </w:rPr>
        <w:t>、喷淋废水、初期雨水与经化粪池预处理后的生活污水经厂内污水管网汇总后排入厂内污水处理站（采用“</w:t>
      </w:r>
      <w:r>
        <w:rPr>
          <w:rFonts w:ascii="Times New Roman" w:hAnsi="Times New Roman" w:eastAsia="宋体" w:cs="Times New Roman"/>
          <w:color w:val="000000" w:themeColor="text1"/>
          <w:szCs w:val="24"/>
          <w14:textFill>
            <w14:solidFill>
              <w14:schemeClr w14:val="tx1"/>
            </w14:solidFill>
          </w14:textFill>
        </w:rPr>
        <w:t>格栅+沉砂集水+水解酸化+厌氧反应+好氧处理+</w:t>
      </w:r>
      <w:r>
        <w:rPr>
          <w:rFonts w:hint="eastAsia" w:ascii="Times New Roman" w:hAnsi="Times New Roman" w:eastAsia="宋体" w:cs="Times New Roman"/>
          <w:color w:val="000000" w:themeColor="text1"/>
          <w:szCs w:val="24"/>
          <w14:textFill>
            <w14:solidFill>
              <w14:schemeClr w14:val="tx1"/>
            </w14:solidFill>
          </w14:textFill>
        </w:rPr>
        <w:t>消毒</w:t>
      </w:r>
      <w:r>
        <w:rPr>
          <w:rFonts w:hint="eastAsia"/>
          <w:color w:val="000000" w:themeColor="text1"/>
          <w:szCs w:val="24"/>
          <w14:textFill>
            <w14:solidFill>
              <w14:schemeClr w14:val="tx1"/>
            </w14:solidFill>
          </w14:textFill>
        </w:rPr>
        <w:t>”工艺）处理，处理后的废水用于配套农田灌溉，废水不排入地表水环境。</w:t>
      </w:r>
    </w:p>
    <w:p w14:paraId="610312E6">
      <w:pPr>
        <w:spacing w:line="440" w:lineRule="exact"/>
        <w:ind w:firstLine="480" w:firstLineChars="200"/>
        <w:rPr>
          <w:rFonts w:hint="eastAsia"/>
          <w:color w:val="000000" w:themeColor="text1"/>
          <w14:textFill>
            <w14:solidFill>
              <w14:schemeClr w14:val="tx1"/>
            </w14:solidFill>
          </w14:textFill>
        </w:rPr>
      </w:pPr>
    </w:p>
    <w:p w14:paraId="4B89C16F">
      <w:pPr>
        <w:spacing w:line="440" w:lineRule="exact"/>
        <w:ind w:firstLine="480" w:firstLineChars="200"/>
        <w:rPr>
          <w:rFonts w:hint="eastAsia"/>
          <w:color w:val="000000" w:themeColor="text1"/>
          <w14:textFill>
            <w14:solidFill>
              <w14:schemeClr w14:val="tx1"/>
            </w14:solidFill>
          </w14:textFill>
        </w:rPr>
      </w:pPr>
    </w:p>
    <w:p w14:paraId="10704F5E">
      <w:pPr>
        <w:spacing w:line="440" w:lineRule="exact"/>
        <w:ind w:firstLine="480" w:firstLineChars="200"/>
        <w:rPr>
          <w:rFonts w:hint="eastAsia"/>
          <w:color w:val="000000" w:themeColor="text1"/>
          <w14:textFill>
            <w14:solidFill>
              <w14:schemeClr w14:val="tx1"/>
            </w14:solidFill>
          </w14:textFill>
        </w:rPr>
      </w:pPr>
    </w:p>
    <w:p w14:paraId="3CA2C352">
      <w:pPr>
        <w:spacing w:line="440" w:lineRule="exact"/>
        <w:ind w:firstLine="480" w:firstLineChars="200"/>
        <w:rPr>
          <w:rFonts w:hint="eastAsia"/>
          <w:color w:val="000000" w:themeColor="text1"/>
          <w14:textFill>
            <w14:solidFill>
              <w14:schemeClr w14:val="tx1"/>
            </w14:solidFill>
          </w14:textFill>
        </w:rPr>
      </w:pPr>
    </w:p>
    <w:p w14:paraId="5B7CA902">
      <w:pPr>
        <w:spacing w:line="440" w:lineRule="exact"/>
        <w:jc w:val="center"/>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以下内容涉密</w:t>
      </w:r>
    </w:p>
    <w:p w14:paraId="31883CD5">
      <w:pPr>
        <w:spacing w:line="440" w:lineRule="exact"/>
        <w:ind w:firstLine="480" w:firstLineChars="200"/>
        <w:rPr>
          <w:rFonts w:hint="eastAsia"/>
          <w:color w:val="000000" w:themeColor="text1"/>
          <w14:textFill>
            <w14:solidFill>
              <w14:schemeClr w14:val="tx1"/>
            </w14:solidFill>
          </w14:textFill>
        </w:rPr>
      </w:pPr>
    </w:p>
    <w:p w14:paraId="51325258">
      <w:pPr>
        <w:spacing w:line="440" w:lineRule="exact"/>
        <w:ind w:firstLine="480" w:firstLineChars="200"/>
        <w:rPr>
          <w:rFonts w:hint="eastAsia"/>
          <w:color w:val="000000" w:themeColor="text1"/>
          <w14:textFill>
            <w14:solidFill>
              <w14:schemeClr w14:val="tx1"/>
            </w14:solidFill>
          </w14:textFill>
        </w:rPr>
      </w:pPr>
    </w:p>
    <w:p w14:paraId="0DAA850C">
      <w:pPr>
        <w:spacing w:line="440" w:lineRule="exact"/>
        <w:ind w:firstLine="480" w:firstLineChars="200"/>
        <w:rPr>
          <w:rFonts w:hint="eastAsia"/>
          <w:color w:val="000000" w:themeColor="text1"/>
          <w14:textFill>
            <w14:solidFill>
              <w14:schemeClr w14:val="tx1"/>
            </w14:solidFill>
          </w14:textFill>
        </w:rPr>
      </w:pPr>
    </w:p>
    <w:p w14:paraId="3ABFF1DD">
      <w:pPr>
        <w:spacing w:line="440" w:lineRule="exact"/>
        <w:ind w:firstLine="480" w:firstLineChars="200"/>
        <w:rPr>
          <w:rFonts w:hint="eastAsia"/>
          <w:color w:val="000000" w:themeColor="text1"/>
          <w14:textFill>
            <w14:solidFill>
              <w14:schemeClr w14:val="tx1"/>
            </w14:solidFill>
          </w14:textFill>
        </w:rPr>
      </w:pPr>
    </w:p>
    <w:p w14:paraId="41161582">
      <w:pPr>
        <w:spacing w:line="440" w:lineRule="exact"/>
        <w:ind w:firstLine="480" w:firstLineChars="200"/>
        <w:rPr>
          <w:rFonts w:hint="eastAsia"/>
          <w:color w:val="000000" w:themeColor="text1"/>
          <w14:textFill>
            <w14:solidFill>
              <w14:schemeClr w14:val="tx1"/>
            </w14:solidFill>
          </w14:textFill>
        </w:rPr>
      </w:pPr>
    </w:p>
    <w:p w14:paraId="19CE93D9">
      <w:pPr>
        <w:spacing w:line="440" w:lineRule="exact"/>
        <w:ind w:firstLine="480" w:firstLineChars="200"/>
        <w:rPr>
          <w:rFonts w:hint="eastAsia"/>
          <w:color w:val="000000" w:themeColor="text1"/>
          <w14:textFill>
            <w14:solidFill>
              <w14:schemeClr w14:val="tx1"/>
            </w14:solidFill>
          </w14:textFill>
        </w:rPr>
      </w:pPr>
    </w:p>
    <w:p w14:paraId="4F007703">
      <w:pPr>
        <w:spacing w:line="440" w:lineRule="exact"/>
        <w:ind w:firstLine="480" w:firstLineChars="200"/>
        <w:rPr>
          <w:rFonts w:hint="eastAsia"/>
          <w:color w:val="000000" w:themeColor="text1"/>
          <w14:textFill>
            <w14:solidFill>
              <w14:schemeClr w14:val="tx1"/>
            </w14:solidFill>
          </w14:textFill>
        </w:rPr>
      </w:pPr>
    </w:p>
    <w:p w14:paraId="77CAD1D7">
      <w:pPr>
        <w:pStyle w:val="2"/>
        <w:rPr>
          <w:rFonts w:hint="eastAsia"/>
          <w:color w:val="000000" w:themeColor="text1"/>
          <w14:textFill>
            <w14:solidFill>
              <w14:schemeClr w14:val="tx1"/>
            </w14:solidFill>
          </w14:textFill>
        </w:rPr>
      </w:pPr>
    </w:p>
    <w:p w14:paraId="53914D49">
      <w:pPr>
        <w:rPr>
          <w:rFonts w:hint="eastAsia"/>
          <w:color w:val="000000" w:themeColor="text1"/>
          <w14:textFill>
            <w14:solidFill>
              <w14:schemeClr w14:val="tx1"/>
            </w14:solidFill>
          </w14:textFill>
        </w:rPr>
      </w:pPr>
    </w:p>
    <w:p w14:paraId="7DA5FD77">
      <w:pPr>
        <w:pStyle w:val="2"/>
        <w:rPr>
          <w:rFonts w:hint="eastAsia"/>
          <w:color w:val="000000" w:themeColor="text1"/>
          <w14:textFill>
            <w14:solidFill>
              <w14:schemeClr w14:val="tx1"/>
            </w14:solidFill>
          </w14:textFill>
        </w:rPr>
      </w:pPr>
    </w:p>
    <w:p w14:paraId="517B0CE4">
      <w:pPr>
        <w:rPr>
          <w:rFonts w:hint="eastAsia"/>
          <w:color w:val="000000" w:themeColor="text1"/>
          <w14:textFill>
            <w14:solidFill>
              <w14:schemeClr w14:val="tx1"/>
            </w14:solidFill>
          </w14:textFill>
        </w:rPr>
      </w:pPr>
    </w:p>
    <w:p w14:paraId="2583185D">
      <w:pPr>
        <w:pStyle w:val="2"/>
        <w:rPr>
          <w:rFonts w:hint="eastAsia"/>
          <w:color w:val="000000" w:themeColor="text1"/>
          <w14:textFill>
            <w14:solidFill>
              <w14:schemeClr w14:val="tx1"/>
            </w14:solidFill>
          </w14:textFill>
        </w:rPr>
      </w:pPr>
    </w:p>
    <w:p w14:paraId="06CFC515">
      <w:pPr>
        <w:rPr>
          <w:rFonts w:hint="eastAsia"/>
          <w:color w:val="000000" w:themeColor="text1"/>
          <w14:textFill>
            <w14:solidFill>
              <w14:schemeClr w14:val="tx1"/>
            </w14:solidFill>
          </w14:textFill>
        </w:rPr>
      </w:pPr>
    </w:p>
    <w:p w14:paraId="19E5C51E">
      <w:pPr>
        <w:pStyle w:val="2"/>
        <w:rPr>
          <w:rFonts w:hint="eastAsia"/>
          <w:color w:val="000000" w:themeColor="text1"/>
          <w14:textFill>
            <w14:solidFill>
              <w14:schemeClr w14:val="tx1"/>
            </w14:solidFill>
          </w14:textFill>
        </w:rPr>
      </w:pPr>
    </w:p>
    <w:p w14:paraId="1AA29D78">
      <w:pPr>
        <w:rPr>
          <w:rFonts w:hint="eastAsia"/>
          <w:color w:val="000000" w:themeColor="text1"/>
          <w14:textFill>
            <w14:solidFill>
              <w14:schemeClr w14:val="tx1"/>
            </w14:solidFill>
          </w14:textFill>
        </w:rPr>
      </w:pPr>
    </w:p>
    <w:p w14:paraId="39C29C05">
      <w:pPr>
        <w:pStyle w:val="2"/>
        <w:rPr>
          <w:rFonts w:hint="eastAsia"/>
          <w:color w:val="000000" w:themeColor="text1"/>
          <w14:textFill>
            <w14:solidFill>
              <w14:schemeClr w14:val="tx1"/>
            </w14:solidFill>
          </w14:textFill>
        </w:rPr>
      </w:pPr>
    </w:p>
    <w:p w14:paraId="49446EFC">
      <w:pPr>
        <w:rPr>
          <w:rFonts w:hint="eastAsia"/>
          <w:color w:val="000000" w:themeColor="text1"/>
          <w14:textFill>
            <w14:solidFill>
              <w14:schemeClr w14:val="tx1"/>
            </w14:solidFill>
          </w14:textFill>
        </w:rPr>
      </w:pPr>
    </w:p>
    <w:p w14:paraId="1A67F4B0">
      <w:pPr>
        <w:pStyle w:val="2"/>
        <w:rPr>
          <w:rFonts w:hint="eastAsia"/>
          <w:color w:val="000000" w:themeColor="text1"/>
          <w14:textFill>
            <w14:solidFill>
              <w14:schemeClr w14:val="tx1"/>
            </w14:solidFill>
          </w14:textFill>
        </w:rPr>
      </w:pPr>
    </w:p>
    <w:p w14:paraId="498CA42B">
      <w:pPr>
        <w:rPr>
          <w:rFonts w:hint="eastAsia"/>
          <w:color w:val="000000" w:themeColor="text1"/>
          <w14:textFill>
            <w14:solidFill>
              <w14:schemeClr w14:val="tx1"/>
            </w14:solidFill>
          </w14:textFill>
        </w:rPr>
      </w:pPr>
    </w:p>
    <w:p w14:paraId="5BE73028">
      <w:pPr>
        <w:pStyle w:val="2"/>
        <w:rPr>
          <w:rFonts w:hint="eastAsia"/>
          <w:color w:val="000000" w:themeColor="text1"/>
          <w14:textFill>
            <w14:solidFill>
              <w14:schemeClr w14:val="tx1"/>
            </w14:solidFill>
          </w14:textFill>
        </w:rPr>
      </w:pPr>
    </w:p>
    <w:p w14:paraId="22155FD0">
      <w:pPr>
        <w:rPr>
          <w:rFonts w:hint="eastAsia"/>
          <w:color w:val="000000" w:themeColor="text1"/>
          <w14:textFill>
            <w14:solidFill>
              <w14:schemeClr w14:val="tx1"/>
            </w14:solidFill>
          </w14:textFill>
        </w:rPr>
      </w:pPr>
    </w:p>
    <w:p w14:paraId="4811DE5E">
      <w:pPr>
        <w:pStyle w:val="2"/>
        <w:rPr>
          <w:rFonts w:hint="eastAsia"/>
          <w:color w:val="000000" w:themeColor="text1"/>
          <w14:textFill>
            <w14:solidFill>
              <w14:schemeClr w14:val="tx1"/>
            </w14:solidFill>
          </w14:textFill>
        </w:rPr>
      </w:pPr>
    </w:p>
    <w:p w14:paraId="2E03EB72">
      <w:pPr>
        <w:rPr>
          <w:rFonts w:hint="eastAsia"/>
          <w:color w:val="000000" w:themeColor="text1"/>
          <w14:textFill>
            <w14:solidFill>
              <w14:schemeClr w14:val="tx1"/>
            </w14:solidFill>
          </w14:textFill>
        </w:rPr>
      </w:pPr>
    </w:p>
    <w:p w14:paraId="042311D7">
      <w:pPr>
        <w:pStyle w:val="2"/>
        <w:rPr>
          <w:rFonts w:hint="eastAsia"/>
          <w:color w:val="000000" w:themeColor="text1"/>
          <w14:textFill>
            <w14:solidFill>
              <w14:schemeClr w14:val="tx1"/>
            </w14:solidFill>
          </w14:textFill>
        </w:rPr>
      </w:pPr>
    </w:p>
    <w:p w14:paraId="6D4B8713">
      <w:pPr>
        <w:rPr>
          <w:rFonts w:hint="eastAsia"/>
          <w:color w:val="000000" w:themeColor="text1"/>
          <w14:textFill>
            <w14:solidFill>
              <w14:schemeClr w14:val="tx1"/>
            </w14:solidFill>
          </w14:textFill>
        </w:rPr>
      </w:pPr>
    </w:p>
    <w:p w14:paraId="28BA3C64">
      <w:pPr>
        <w:pStyle w:val="2"/>
        <w:rPr>
          <w:rFonts w:hint="eastAsia"/>
          <w:color w:val="000000" w:themeColor="text1"/>
          <w14:textFill>
            <w14:solidFill>
              <w14:schemeClr w14:val="tx1"/>
            </w14:solidFill>
          </w14:textFill>
        </w:rPr>
      </w:pPr>
    </w:p>
    <w:p w14:paraId="56BAF59D">
      <w:pPr>
        <w:rPr>
          <w:rFonts w:hint="eastAsia"/>
        </w:rPr>
      </w:pPr>
    </w:p>
    <w:p w14:paraId="1D444BBC">
      <w:pPr>
        <w:pStyle w:val="2"/>
        <w:rPr>
          <w:rFonts w:hint="eastAsia"/>
        </w:rPr>
      </w:pPr>
    </w:p>
    <w:p w14:paraId="2FE7ADF4">
      <w:pPr>
        <w:rPr>
          <w:rFonts w:hint="eastAsia"/>
        </w:rPr>
      </w:pPr>
    </w:p>
    <w:p w14:paraId="4F41D585">
      <w:pPr>
        <w:pStyle w:val="2"/>
        <w:rPr>
          <w:rFonts w:hint="eastAsia"/>
        </w:rPr>
      </w:pPr>
    </w:p>
    <w:p w14:paraId="3FEED348">
      <w:pPr>
        <w:rPr>
          <w:rFonts w:hint="eastAsia"/>
        </w:rPr>
      </w:pPr>
    </w:p>
    <w:p w14:paraId="21649A13">
      <w:pPr>
        <w:pStyle w:val="2"/>
        <w:rPr>
          <w:rFonts w:hint="eastAsia"/>
        </w:rPr>
      </w:pPr>
    </w:p>
    <w:p w14:paraId="17C10844">
      <w:pPr>
        <w:rPr>
          <w:rFonts w:hint="eastAsia"/>
        </w:rPr>
      </w:pPr>
    </w:p>
    <w:p w14:paraId="206C2675">
      <w:pPr>
        <w:pStyle w:val="2"/>
        <w:rPr>
          <w:rFonts w:hint="eastAsia"/>
        </w:rPr>
      </w:pPr>
    </w:p>
    <w:p w14:paraId="0BE54E30">
      <w:pPr>
        <w:spacing w:line="440" w:lineRule="exact"/>
        <w:ind w:firstLine="480" w:firstLineChars="200"/>
        <w:rPr>
          <w:rFonts w:hint="eastAsia"/>
          <w:color w:val="000000" w:themeColor="text1"/>
          <w14:textFill>
            <w14:solidFill>
              <w14:schemeClr w14:val="tx1"/>
            </w14:solidFill>
          </w14:textFill>
        </w:rPr>
      </w:pPr>
    </w:p>
    <w:p w14:paraId="0C095F41">
      <w:pPr>
        <w:spacing w:line="440" w:lineRule="exact"/>
        <w:ind w:firstLine="480" w:firstLineChars="200"/>
        <w:rPr>
          <w:rFonts w:hint="eastAsia"/>
          <w:color w:val="000000" w:themeColor="text1"/>
          <w14:textFill>
            <w14:solidFill>
              <w14:schemeClr w14:val="tx1"/>
            </w14:solidFill>
          </w14:textFill>
        </w:rPr>
      </w:pPr>
    </w:p>
    <w:p w14:paraId="1995C93B">
      <w:pPr>
        <w:spacing w:line="440" w:lineRule="exact"/>
        <w:ind w:firstLine="480" w:firstLineChars="200"/>
        <w:rPr>
          <w:rFonts w:hint="eastAsia"/>
          <w:color w:val="000000" w:themeColor="text1"/>
          <w14:textFill>
            <w14:solidFill>
              <w14:schemeClr w14:val="tx1"/>
            </w14:solidFill>
          </w14:textFill>
        </w:rPr>
      </w:pPr>
    </w:p>
    <w:p w14:paraId="689886B5">
      <w:pPr>
        <w:spacing w:line="440" w:lineRule="exact"/>
        <w:ind w:firstLine="480" w:firstLineChars="200"/>
        <w:rPr>
          <w:rFonts w:hint="eastAsia"/>
          <w:color w:val="000000" w:themeColor="text1"/>
          <w14:textFill>
            <w14:solidFill>
              <w14:schemeClr w14:val="tx1"/>
            </w14:solidFill>
          </w14:textFill>
        </w:rPr>
      </w:pPr>
    </w:p>
    <w:p w14:paraId="22C9CA9B">
      <w:pPr>
        <w:spacing w:line="440" w:lineRule="exact"/>
        <w:ind w:firstLine="480" w:firstLineChars="200"/>
        <w:rPr>
          <w:rFonts w:hint="eastAsia"/>
          <w:color w:val="000000" w:themeColor="text1"/>
          <w14:textFill>
            <w14:solidFill>
              <w14:schemeClr w14:val="tx1"/>
            </w14:solidFill>
          </w14:textFill>
        </w:rPr>
      </w:pPr>
    </w:p>
    <w:p w14:paraId="4A0CB29B">
      <w:pPr>
        <w:spacing w:line="440" w:lineRule="exact"/>
        <w:ind w:firstLine="480" w:firstLineChars="200"/>
        <w:rPr>
          <w:color w:val="FF0000"/>
        </w:rPr>
      </w:pPr>
      <w:r>
        <w:rPr>
          <w:rFonts w:hint="eastAsia"/>
          <w:color w:val="000000" w:themeColor="text1"/>
          <w14:textFill>
            <w14:solidFill>
              <w14:schemeClr w14:val="tx1"/>
            </w14:solidFill>
          </w14:textFill>
        </w:rPr>
        <w:t>本项目用水平衡见</w:t>
      </w:r>
      <w:r>
        <w:rPr>
          <w:rFonts w:hint="eastAsia"/>
          <w:b/>
          <w:bCs/>
          <w:color w:val="000000" w:themeColor="text1"/>
          <w14:textFill>
            <w14:solidFill>
              <w14:schemeClr w14:val="tx1"/>
            </w14:solidFill>
          </w14:textFill>
        </w:rPr>
        <w:t>图3.</w:t>
      </w:r>
      <w:r>
        <w:rPr>
          <w:b/>
          <w:bCs/>
          <w:color w:val="000000" w:themeColor="text1"/>
          <w14:textFill>
            <w14:solidFill>
              <w14:schemeClr w14:val="tx1"/>
            </w14:solidFill>
          </w14:textFill>
        </w:rPr>
        <w:t>6</w:t>
      </w:r>
      <w:r>
        <w:rPr>
          <w:rFonts w:hint="eastAsia"/>
          <w:b/>
          <w:bCs/>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0E879308">
      <w:pPr>
        <w:jc w:val="center"/>
      </w:pPr>
      <w:r>
        <w:rPr>
          <w:rFonts w:ascii="Times New Roman" w:hAnsi="Times New Roman" w:cs="Times New Roman"/>
          <w:sz w:val="21"/>
          <w:szCs w:val="21"/>
        </w:rPr>
        <mc:AlternateContent>
          <mc:Choice Requires="wpc">
            <w:drawing>
              <wp:inline distT="0" distB="0" distL="0" distR="0">
                <wp:extent cx="5269865" cy="5430520"/>
                <wp:effectExtent l="0" t="0" r="0" b="0"/>
                <wp:docPr id="8" name="画布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 name="文本框 15"/>
                        <wps:cNvSpPr txBox="1"/>
                        <wps:spPr>
                          <a:xfrm>
                            <a:off x="1444625" y="288925"/>
                            <a:ext cx="983615" cy="245745"/>
                          </a:xfrm>
                          <a:prstGeom prst="rect">
                            <a:avLst/>
                          </a:prstGeom>
                          <a:no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A40196">
                              <w:pPr>
                                <w:spacing w:line="300" w:lineRule="exact"/>
                                <w:jc w:val="center"/>
                                <w:rPr>
                                  <w:sz w:val="21"/>
                                </w:rPr>
                              </w:pPr>
                              <w:r>
                                <w:rPr>
                                  <w:rFonts w:hint="eastAsia"/>
                                  <w:sz w:val="21"/>
                                </w:rPr>
                                <w:t>员工生活用水</w:t>
                              </w:r>
                            </w:p>
                          </w:txbxContent>
                        </wps:txbx>
                        <wps:bodyPr rot="0" spcFirstLastPara="0" vertOverflow="overflow" horzOverflow="overflow" vert="horz" wrap="square" lIns="0" tIns="0" rIns="0" bIns="0" numCol="1" spcCol="0" rtlCol="0" fromWordArt="0" anchor="t" anchorCtr="0" forceAA="0" compatLnSpc="1">
                          <a:noAutofit/>
                        </wps:bodyPr>
                      </wps:wsp>
                      <wps:wsp>
                        <wps:cNvPr id="36" name="文本框 15"/>
                        <wps:cNvSpPr txBox="1"/>
                        <wps:spPr>
                          <a:xfrm>
                            <a:off x="1460500" y="5062855"/>
                            <a:ext cx="968375" cy="245745"/>
                          </a:xfrm>
                          <a:prstGeom prst="rect">
                            <a:avLst/>
                          </a:prstGeom>
                          <a:no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831722">
                              <w:pPr>
                                <w:pStyle w:val="38"/>
                                <w:spacing w:before="0" w:beforeAutospacing="0" w:after="0" w:afterAutospacing="0" w:line="320" w:lineRule="exact"/>
                                <w:jc w:val="center"/>
                                <w:rPr>
                                  <w:sz w:val="21"/>
                                  <w:szCs w:val="21"/>
                                </w:rPr>
                              </w:pPr>
                              <w:r>
                                <w:rPr>
                                  <w:rFonts w:hint="eastAsia" w:ascii="Times New Roman" w:hAnsi="Times New Roman" w:cs="Times New Roman"/>
                                  <w:kern w:val="2"/>
                                  <w:sz w:val="21"/>
                                  <w:szCs w:val="21"/>
                                </w:rPr>
                                <w:t>鸡饮用水</w:t>
                              </w:r>
                            </w:p>
                          </w:txbxContent>
                        </wps:txbx>
                        <wps:bodyPr rot="0" spcFirstLastPara="0" vert="horz" wrap="square" lIns="0" tIns="0" rIns="0" bIns="0" numCol="1" spcCol="0" rtlCol="0" fromWordArt="0" anchor="t" anchorCtr="0" forceAA="0" compatLnSpc="1">
                          <a:noAutofit/>
                        </wps:bodyPr>
                      </wps:wsp>
                      <wps:wsp>
                        <wps:cNvPr id="37" name="文本框 15"/>
                        <wps:cNvSpPr txBox="1"/>
                        <wps:spPr>
                          <a:xfrm>
                            <a:off x="1461135" y="4462145"/>
                            <a:ext cx="995680" cy="245745"/>
                          </a:xfrm>
                          <a:prstGeom prst="rect">
                            <a:avLst/>
                          </a:prstGeom>
                          <a:no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0FA8CE">
                              <w:pPr>
                                <w:pStyle w:val="38"/>
                                <w:spacing w:before="0" w:beforeAutospacing="0" w:after="0" w:afterAutospacing="0" w:line="320" w:lineRule="exact"/>
                                <w:jc w:val="center"/>
                              </w:pPr>
                              <w:r>
                                <w:rPr>
                                  <w:rFonts w:hint="eastAsia" w:ascii="Times New Roman" w:hAnsi="Times New Roman" w:cs="Times New Roman"/>
                                  <w:kern w:val="2"/>
                                  <w:sz w:val="21"/>
                                  <w:szCs w:val="21"/>
                                </w:rPr>
                                <w:t>除臭剂稀释用水</w:t>
                              </w:r>
                            </w:p>
                          </w:txbxContent>
                        </wps:txbx>
                        <wps:bodyPr rot="0" spcFirstLastPara="0" vert="horz" wrap="square" lIns="0" tIns="0" rIns="0" bIns="0" numCol="1" spcCol="0" rtlCol="0" fromWordArt="0" anchor="t" anchorCtr="0" forceAA="0" compatLnSpc="1">
                          <a:noAutofit/>
                        </wps:bodyPr>
                      </wps:wsp>
                      <wps:wsp>
                        <wps:cNvPr id="38" name="文本框 15"/>
                        <wps:cNvSpPr txBox="1"/>
                        <wps:spPr>
                          <a:xfrm>
                            <a:off x="1444625" y="3944620"/>
                            <a:ext cx="1012190" cy="245745"/>
                          </a:xfrm>
                          <a:prstGeom prst="rect">
                            <a:avLst/>
                          </a:prstGeom>
                          <a:no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A5CF23">
                              <w:pPr>
                                <w:pStyle w:val="38"/>
                                <w:spacing w:before="0" w:beforeAutospacing="0" w:after="0" w:afterAutospacing="0" w:line="320" w:lineRule="exact"/>
                                <w:jc w:val="center"/>
                              </w:pPr>
                              <w:r>
                                <w:rPr>
                                  <w:rFonts w:hint="eastAsia" w:ascii="Times New Roman" w:hAnsi="Times New Roman" w:cs="Times New Roman"/>
                                  <w:kern w:val="2"/>
                                  <w:sz w:val="21"/>
                                  <w:szCs w:val="21"/>
                                </w:rPr>
                                <w:t>消毒液稀释用水</w:t>
                              </w:r>
                            </w:p>
                          </w:txbxContent>
                        </wps:txbx>
                        <wps:bodyPr rot="0" spcFirstLastPara="0" vert="horz" wrap="square" lIns="0" tIns="0" rIns="0" bIns="0" numCol="1" spcCol="0" rtlCol="0" fromWordArt="0" anchor="t" anchorCtr="0" forceAA="0" compatLnSpc="1">
                          <a:noAutofit/>
                        </wps:bodyPr>
                      </wps:wsp>
                      <wps:wsp>
                        <wps:cNvPr id="39" name="文本框 15"/>
                        <wps:cNvSpPr txBox="1"/>
                        <wps:spPr>
                          <a:xfrm>
                            <a:off x="1441450" y="3433445"/>
                            <a:ext cx="1005840" cy="245745"/>
                          </a:xfrm>
                          <a:prstGeom prst="rect">
                            <a:avLst/>
                          </a:prstGeom>
                          <a:no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C409E8">
                              <w:pPr>
                                <w:pStyle w:val="38"/>
                                <w:spacing w:before="0" w:beforeAutospacing="0" w:after="0" w:afterAutospacing="0" w:line="320" w:lineRule="exact"/>
                                <w:jc w:val="center"/>
                              </w:pPr>
                              <w:r>
                                <w:rPr>
                                  <w:rFonts w:hint="eastAsia" w:ascii="Times New Roman" w:hAnsi="Times New Roman" w:cs="Times New Roman"/>
                                  <w:kern w:val="2"/>
                                  <w:sz w:val="21"/>
                                  <w:szCs w:val="21"/>
                                </w:rPr>
                                <w:t>降温湿帘补充水</w:t>
                              </w:r>
                            </w:p>
                          </w:txbxContent>
                        </wps:txbx>
                        <wps:bodyPr rot="0" spcFirstLastPara="0" vert="horz" wrap="square" lIns="0" tIns="0" rIns="0" bIns="0" numCol="1" spcCol="0" rtlCol="0" fromWordArt="0" anchor="t" anchorCtr="0" forceAA="0" compatLnSpc="1">
                          <a:noAutofit/>
                        </wps:bodyPr>
                      </wps:wsp>
                      <wps:wsp>
                        <wps:cNvPr id="40" name="文本框 15"/>
                        <wps:cNvSpPr txBox="1"/>
                        <wps:spPr>
                          <a:xfrm>
                            <a:off x="1433195" y="2051685"/>
                            <a:ext cx="995045" cy="245745"/>
                          </a:xfrm>
                          <a:prstGeom prst="rect">
                            <a:avLst/>
                          </a:prstGeom>
                          <a:no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131D26">
                              <w:pPr>
                                <w:pStyle w:val="38"/>
                                <w:spacing w:before="0" w:beforeAutospacing="0" w:after="0" w:afterAutospacing="0" w:line="300" w:lineRule="exact"/>
                                <w:jc w:val="center"/>
                              </w:pPr>
                              <w:r>
                                <w:rPr>
                                  <w:rFonts w:hint="eastAsia" w:ascii="Times New Roman" w:hAnsi="Times New Roman" w:cs="Times New Roman"/>
                                  <w:kern w:val="2"/>
                                  <w:sz w:val="21"/>
                                  <w:szCs w:val="21"/>
                                </w:rPr>
                                <w:t>冲洗</w:t>
                              </w:r>
                              <w:r>
                                <w:rPr>
                                  <w:rFonts w:ascii="Times New Roman" w:hAnsi="Times New Roman" w:cs="Times New Roman"/>
                                  <w:kern w:val="2"/>
                                  <w:sz w:val="21"/>
                                  <w:szCs w:val="21"/>
                                </w:rPr>
                                <w:t>用水</w:t>
                              </w:r>
                            </w:p>
                          </w:txbxContent>
                        </wps:txbx>
                        <wps:bodyPr rot="0" spcFirstLastPara="0" vert="horz" wrap="square" lIns="0" tIns="0" rIns="0" bIns="0" numCol="1" spcCol="0" rtlCol="0" fromWordArt="0" anchor="t" anchorCtr="0" forceAA="0" compatLnSpc="1">
                          <a:noAutofit/>
                        </wps:bodyPr>
                      </wps:wsp>
                      <wps:wsp>
                        <wps:cNvPr id="41" name="文本框 15"/>
                        <wps:cNvSpPr txBox="1"/>
                        <wps:spPr>
                          <a:xfrm>
                            <a:off x="1443990" y="815975"/>
                            <a:ext cx="995045" cy="270510"/>
                          </a:xfrm>
                          <a:prstGeom prst="rect">
                            <a:avLst/>
                          </a:prstGeom>
                          <a:no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842A69">
                              <w:pPr>
                                <w:pStyle w:val="38"/>
                                <w:spacing w:before="0" w:beforeAutospacing="0" w:after="0" w:afterAutospacing="0" w:line="300" w:lineRule="exact"/>
                                <w:jc w:val="center"/>
                                <w:rPr>
                                  <w:sz w:val="21"/>
                                  <w:szCs w:val="21"/>
                                </w:rPr>
                              </w:pPr>
                              <w:r>
                                <w:rPr>
                                  <w:rFonts w:hint="eastAsia" w:ascii="Times New Roman" w:hAnsi="Times New Roman" w:cs="Times New Roman"/>
                                  <w:kern w:val="2"/>
                                  <w:sz w:val="21"/>
                                  <w:szCs w:val="21"/>
                                </w:rPr>
                                <w:t>除臭喷淋用水</w:t>
                              </w:r>
                            </w:p>
                          </w:txbxContent>
                        </wps:txbx>
                        <wps:bodyPr rot="0" spcFirstLastPara="0" vert="horz" wrap="square" lIns="0" tIns="0" rIns="0" bIns="0" numCol="1" spcCol="0" rtlCol="0" fromWordArt="0" anchor="t" anchorCtr="0" forceAA="0" compatLnSpc="1">
                          <a:noAutofit/>
                        </wps:bodyPr>
                      </wps:wsp>
                      <wps:wsp>
                        <wps:cNvPr id="19" name="直接连接符 19"/>
                        <wps:cNvCnPr/>
                        <wps:spPr>
                          <a:xfrm>
                            <a:off x="908050" y="389255"/>
                            <a:ext cx="7620" cy="481266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直接箭头连接符 20"/>
                        <wps:cNvCnPr/>
                        <wps:spPr>
                          <a:xfrm>
                            <a:off x="915035" y="395605"/>
                            <a:ext cx="537845"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直接箭头连接符 42"/>
                        <wps:cNvCnPr/>
                        <wps:spPr>
                          <a:xfrm>
                            <a:off x="915035" y="970280"/>
                            <a:ext cx="537845"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直接箭头连接符 43"/>
                        <wps:cNvCnPr/>
                        <wps:spPr>
                          <a:xfrm>
                            <a:off x="911860" y="2092960"/>
                            <a:ext cx="537845"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直接箭头连接符 44"/>
                        <wps:cNvCnPr/>
                        <wps:spPr>
                          <a:xfrm>
                            <a:off x="911860" y="2774950"/>
                            <a:ext cx="537845"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直接箭头连接符 45"/>
                        <wps:cNvCnPr/>
                        <wps:spPr>
                          <a:xfrm>
                            <a:off x="2429510" y="403860"/>
                            <a:ext cx="537845" cy="0"/>
                          </a:xfrm>
                          <a:prstGeom prst="straightConnector1">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48" name="直接箭头连接符 48"/>
                        <wps:cNvCnPr/>
                        <wps:spPr>
                          <a:xfrm>
                            <a:off x="919480" y="4596765"/>
                            <a:ext cx="537845"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直接箭头连接符 49"/>
                        <wps:cNvCnPr/>
                        <wps:spPr>
                          <a:xfrm>
                            <a:off x="911860" y="3559175"/>
                            <a:ext cx="537845"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直接箭头连接符 50"/>
                        <wps:cNvCnPr/>
                        <wps:spPr>
                          <a:xfrm>
                            <a:off x="906780" y="4067810"/>
                            <a:ext cx="537845"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直接箭头连接符 51"/>
                        <wps:cNvCnPr/>
                        <wps:spPr>
                          <a:xfrm>
                            <a:off x="2434590" y="912495"/>
                            <a:ext cx="537845" cy="0"/>
                          </a:xfrm>
                          <a:prstGeom prst="straightConnector1">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52" name="直接箭头连接符 52"/>
                        <wps:cNvCnPr/>
                        <wps:spPr>
                          <a:xfrm>
                            <a:off x="2428240" y="2182495"/>
                            <a:ext cx="537845" cy="0"/>
                          </a:xfrm>
                          <a:prstGeom prst="straightConnector1">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53" name="直接箭头连接符 53"/>
                        <wps:cNvCnPr/>
                        <wps:spPr>
                          <a:xfrm>
                            <a:off x="2966000" y="1143992"/>
                            <a:ext cx="537845"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直接箭头连接符 54"/>
                        <wps:cNvCnPr/>
                        <wps:spPr>
                          <a:xfrm rot="5400000">
                            <a:off x="3766005" y="1534023"/>
                            <a:ext cx="537845"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直接连接符 21"/>
                        <wps:cNvCnPr/>
                        <wps:spPr>
                          <a:xfrm flipH="1">
                            <a:off x="2968625" y="396240"/>
                            <a:ext cx="3810" cy="17837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文本框 15"/>
                        <wps:cNvSpPr txBox="1"/>
                        <wps:spPr>
                          <a:xfrm>
                            <a:off x="3511445" y="1018685"/>
                            <a:ext cx="995045" cy="245110"/>
                          </a:xfrm>
                          <a:prstGeom prst="rect">
                            <a:avLst/>
                          </a:prstGeom>
                          <a:no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1635D5">
                              <w:pPr>
                                <w:pStyle w:val="38"/>
                                <w:spacing w:before="0" w:beforeAutospacing="0" w:after="0" w:afterAutospacing="0" w:line="300" w:lineRule="exact"/>
                                <w:jc w:val="center"/>
                                <w:rPr>
                                  <w:sz w:val="21"/>
                                  <w:szCs w:val="21"/>
                                </w:rPr>
                              </w:pPr>
                              <w:r>
                                <w:rPr>
                                  <w:rFonts w:hint="eastAsia" w:ascii="Times New Roman" w:hAnsi="Times New Roman" w:cs="Times New Roman"/>
                                  <w:kern w:val="2"/>
                                  <w:sz w:val="21"/>
                                  <w:szCs w:val="21"/>
                                </w:rPr>
                                <w:t>厂内污水</w:t>
                              </w:r>
                              <w:r>
                                <w:rPr>
                                  <w:rFonts w:ascii="Times New Roman" w:hAnsi="Times New Roman" w:cs="Times New Roman"/>
                                  <w:kern w:val="2"/>
                                  <w:sz w:val="21"/>
                                  <w:szCs w:val="21"/>
                                </w:rPr>
                                <w:t>处理站</w:t>
                              </w:r>
                            </w:p>
                          </w:txbxContent>
                        </wps:txbx>
                        <wps:bodyPr rot="0" spcFirstLastPara="0" vert="horz" wrap="square" lIns="0" tIns="0" rIns="0" bIns="0" numCol="1" spcCol="0" rtlCol="0" fromWordArt="0" anchor="t" anchorCtr="0" forceAA="0" compatLnSpc="1">
                          <a:noAutofit/>
                        </wps:bodyPr>
                      </wps:wsp>
                      <wps:wsp>
                        <wps:cNvPr id="56" name="文本框 15"/>
                        <wps:cNvSpPr txBox="1"/>
                        <wps:spPr>
                          <a:xfrm>
                            <a:off x="3540564" y="1802818"/>
                            <a:ext cx="995045"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001D8">
                              <w:pPr>
                                <w:pStyle w:val="38"/>
                                <w:spacing w:before="0" w:beforeAutospacing="0" w:after="0" w:afterAutospacing="0"/>
                                <w:jc w:val="center"/>
                                <w:rPr>
                                  <w:sz w:val="21"/>
                                  <w:szCs w:val="21"/>
                                </w:rPr>
                              </w:pPr>
                              <w:r>
                                <w:rPr>
                                  <w:rFonts w:hint="eastAsia" w:ascii="Times New Roman" w:hAnsi="Times New Roman" w:cs="Times New Roman"/>
                                  <w:kern w:val="2"/>
                                  <w:sz w:val="21"/>
                                  <w:szCs w:val="21"/>
                                </w:rPr>
                                <w:t>农田灌溉</w:t>
                              </w:r>
                            </w:p>
                          </w:txbxContent>
                        </wps:txbx>
                        <wps:bodyPr rot="0" spcFirstLastPara="0" vert="horz" wrap="square" lIns="0" tIns="0" rIns="0" bIns="0" numCol="1" spcCol="0" rtlCol="0" fromWordArt="0" anchor="t" anchorCtr="0" forceAA="0" compatLnSpc="1">
                          <a:noAutofit/>
                        </wps:bodyPr>
                      </wps:wsp>
                      <wps:wsp>
                        <wps:cNvPr id="57" name="直接箭头连接符 57"/>
                        <wps:cNvCnPr/>
                        <wps:spPr>
                          <a:xfrm>
                            <a:off x="373380" y="2773045"/>
                            <a:ext cx="537845"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文本框 15"/>
                        <wps:cNvSpPr txBox="1"/>
                        <wps:spPr>
                          <a:xfrm>
                            <a:off x="340360" y="2544445"/>
                            <a:ext cx="542290"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4A27F1">
                              <w:pPr>
                                <w:pStyle w:val="38"/>
                                <w:spacing w:before="0" w:beforeAutospacing="0" w:after="0" w:afterAutospacing="0"/>
                                <w:jc w:val="center"/>
                                <w:rPr>
                                  <w:sz w:val="21"/>
                                  <w:szCs w:val="21"/>
                                </w:rPr>
                              </w:pPr>
                              <w:r>
                                <w:rPr>
                                  <w:rFonts w:hint="eastAsia" w:ascii="Times New Roman" w:hAnsi="Times New Roman" w:cs="Times New Roman"/>
                                  <w:kern w:val="2"/>
                                  <w:sz w:val="21"/>
                                  <w:szCs w:val="21"/>
                                </w:rPr>
                                <w:t>自来水</w:t>
                              </w:r>
                            </w:p>
                          </w:txbxContent>
                        </wps:txbx>
                        <wps:bodyPr rot="0" spcFirstLastPara="0" vert="horz" wrap="square" lIns="0" tIns="0" rIns="0" bIns="0" numCol="1" spcCol="0" rtlCol="0" fromWordArt="0" anchor="t" anchorCtr="0" forceAA="0" compatLnSpc="1">
                          <a:noAutofit/>
                        </wps:bodyPr>
                      </wps:wsp>
                      <wps:wsp>
                        <wps:cNvPr id="59" name="文本框 15"/>
                        <wps:cNvSpPr txBox="1"/>
                        <wps:spPr>
                          <a:xfrm>
                            <a:off x="316230" y="2774315"/>
                            <a:ext cx="558165"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7973B5">
                              <w:pPr>
                                <w:pStyle w:val="38"/>
                                <w:spacing w:before="0" w:beforeAutospacing="0" w:after="0" w:afterAutospacing="0"/>
                                <w:jc w:val="center"/>
                                <w:rPr>
                                  <w:rFonts w:hint="eastAsia" w:eastAsia="宋体"/>
                                  <w:sz w:val="21"/>
                                  <w:szCs w:val="21"/>
                                  <w:lang w:eastAsia="zh-CN"/>
                                </w:rPr>
                              </w:pPr>
                              <w:r>
                                <w:rPr>
                                  <w:rFonts w:hint="eastAsia" w:ascii="Times New Roman" w:hAnsi="Times New Roman" w:cs="Times New Roman"/>
                                  <w:kern w:val="2"/>
                                  <w:sz w:val="21"/>
                                  <w:szCs w:val="21"/>
                                  <w:lang w:eastAsia="zh-CN"/>
                                </w:rPr>
                                <w:t>7986</w:t>
                              </w:r>
                            </w:p>
                          </w:txbxContent>
                        </wps:txbx>
                        <wps:bodyPr rot="0" spcFirstLastPara="0" vert="horz" wrap="square" lIns="0" tIns="0" rIns="0" bIns="0" numCol="1" spcCol="0" rtlCol="0" fromWordArt="0" anchor="t" anchorCtr="0" forceAA="0" compatLnSpc="1">
                          <a:noAutofit/>
                        </wps:bodyPr>
                      </wps:wsp>
                      <wps:wsp>
                        <wps:cNvPr id="60" name="文本框 15"/>
                        <wps:cNvSpPr txBox="1"/>
                        <wps:spPr>
                          <a:xfrm>
                            <a:off x="937260" y="207645"/>
                            <a:ext cx="48895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3DA29">
                              <w:pPr>
                                <w:pStyle w:val="38"/>
                                <w:spacing w:before="0" w:beforeAutospacing="0" w:after="0" w:afterAutospacing="0"/>
                                <w:jc w:val="center"/>
                                <w:rPr>
                                  <w:rFonts w:ascii="Times New Roman" w:hAnsi="Times New Roman" w:cs="Times New Roman"/>
                                  <w:sz w:val="21"/>
                                  <w:szCs w:val="21"/>
                                </w:rPr>
                              </w:pPr>
                              <w:r>
                                <w:rPr>
                                  <w:rFonts w:ascii="Times New Roman" w:hAnsi="Times New Roman" w:cs="Times New Roman"/>
                                  <w:kern w:val="2"/>
                                  <w:sz w:val="21"/>
                                  <w:szCs w:val="21"/>
                                </w:rPr>
                                <w:t>300</w:t>
                              </w:r>
                            </w:p>
                          </w:txbxContent>
                        </wps:txbx>
                        <wps:bodyPr rot="0" spcFirstLastPara="0" vert="horz" wrap="square" lIns="0" tIns="0" rIns="0" bIns="0" numCol="1" spcCol="0" rtlCol="0" fromWordArt="0" anchor="t" anchorCtr="0" forceAA="0" compatLnSpc="1">
                          <a:noAutofit/>
                        </wps:bodyPr>
                      </wps:wsp>
                      <wps:wsp>
                        <wps:cNvPr id="61" name="文本框 15"/>
                        <wps:cNvSpPr txBox="1"/>
                        <wps:spPr>
                          <a:xfrm>
                            <a:off x="922020" y="773430"/>
                            <a:ext cx="489585"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69344">
                              <w:pPr>
                                <w:pStyle w:val="38"/>
                                <w:spacing w:before="0" w:beforeAutospacing="0" w:after="0" w:afterAutospacing="0"/>
                                <w:jc w:val="center"/>
                                <w:rPr>
                                  <w:rFonts w:ascii="Times New Roman" w:hAnsi="Times New Roman" w:cs="Times New Roman"/>
                                  <w:sz w:val="21"/>
                                  <w:szCs w:val="21"/>
                                </w:rPr>
                              </w:pPr>
                              <w:r>
                                <w:rPr>
                                  <w:rFonts w:ascii="Times New Roman" w:hAnsi="Times New Roman" w:cs="Times New Roman"/>
                                  <w:kern w:val="2"/>
                                  <w:sz w:val="21"/>
                                  <w:szCs w:val="21"/>
                                </w:rPr>
                                <w:t>204</w:t>
                              </w:r>
                            </w:p>
                          </w:txbxContent>
                        </wps:txbx>
                        <wps:bodyPr rot="0" spcFirstLastPara="0" vert="horz" wrap="square" lIns="0" tIns="0" rIns="0" bIns="0" numCol="1" spcCol="0" rtlCol="0" fromWordArt="0" anchor="t" anchorCtr="0" forceAA="0" compatLnSpc="1">
                          <a:noAutofit/>
                        </wps:bodyPr>
                      </wps:wsp>
                      <wps:wsp>
                        <wps:cNvPr id="62" name="文本框 15"/>
                        <wps:cNvSpPr txBox="1"/>
                        <wps:spPr>
                          <a:xfrm>
                            <a:off x="953770" y="1915795"/>
                            <a:ext cx="44577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1C608B">
                              <w:pPr>
                                <w:pStyle w:val="38"/>
                                <w:spacing w:before="0" w:beforeAutospacing="0" w:after="0" w:afterAutospacing="0"/>
                                <w:jc w:val="center"/>
                                <w:rPr>
                                  <w:rFonts w:ascii="Times New Roman" w:hAnsi="Times New Roman" w:cs="Times New Roman"/>
                                  <w:sz w:val="21"/>
                                  <w:szCs w:val="21"/>
                                </w:rPr>
                              </w:pPr>
                              <w:r>
                                <w:rPr>
                                  <w:rFonts w:ascii="Times New Roman" w:hAnsi="Times New Roman" w:cs="Times New Roman"/>
                                  <w:kern w:val="2"/>
                                  <w:sz w:val="21"/>
                                  <w:szCs w:val="21"/>
                                </w:rPr>
                                <w:t>543</w:t>
                              </w:r>
                            </w:p>
                          </w:txbxContent>
                        </wps:txbx>
                        <wps:bodyPr rot="0" spcFirstLastPara="0" vert="horz" wrap="square" lIns="0" tIns="0" rIns="0" bIns="0" numCol="1" spcCol="0" rtlCol="0" fromWordArt="0" anchor="t" anchorCtr="0" forceAA="0" compatLnSpc="1">
                          <a:noAutofit/>
                        </wps:bodyPr>
                      </wps:wsp>
                      <wps:wsp>
                        <wps:cNvPr id="64" name="文本框 15"/>
                        <wps:cNvSpPr txBox="1"/>
                        <wps:spPr>
                          <a:xfrm>
                            <a:off x="960755" y="3373120"/>
                            <a:ext cx="38671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3B020E">
                              <w:pPr>
                                <w:pStyle w:val="38"/>
                                <w:spacing w:before="0" w:beforeAutospacing="0" w:after="0" w:afterAutospacing="0" w:line="300" w:lineRule="exact"/>
                                <w:jc w:val="center"/>
                                <w:rPr>
                                  <w:rFonts w:ascii="Times New Roman" w:hAnsi="Times New Roman" w:cs="Times New Roman"/>
                                  <w:sz w:val="21"/>
                                  <w:szCs w:val="21"/>
                                </w:rPr>
                              </w:pPr>
                              <w:r>
                                <w:rPr>
                                  <w:rFonts w:ascii="Times New Roman" w:hAnsi="Times New Roman" w:cs="Times New Roman"/>
                                  <w:kern w:val="2"/>
                                  <w:sz w:val="21"/>
                                  <w:szCs w:val="21"/>
                                </w:rPr>
                                <w:t>900</w:t>
                              </w:r>
                            </w:p>
                          </w:txbxContent>
                        </wps:txbx>
                        <wps:bodyPr rot="0" spcFirstLastPara="0" vert="horz" wrap="square" lIns="0" tIns="0" rIns="0" bIns="0" numCol="1" spcCol="0" rtlCol="0" fromWordArt="0" anchor="t" anchorCtr="0" forceAA="0" compatLnSpc="1">
                          <a:noAutofit/>
                        </wps:bodyPr>
                      </wps:wsp>
                      <wps:wsp>
                        <wps:cNvPr id="65" name="文本框 15"/>
                        <wps:cNvSpPr txBox="1"/>
                        <wps:spPr>
                          <a:xfrm>
                            <a:off x="994410" y="3877310"/>
                            <a:ext cx="36766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2CCD8">
                              <w:pPr>
                                <w:pStyle w:val="38"/>
                                <w:spacing w:before="0" w:beforeAutospacing="0" w:after="0" w:afterAutospacing="0"/>
                                <w:jc w:val="center"/>
                                <w:rPr>
                                  <w:rFonts w:ascii="Times New Roman" w:hAnsi="Times New Roman" w:cs="Times New Roman"/>
                                  <w:sz w:val="21"/>
                                  <w:szCs w:val="21"/>
                                </w:rPr>
                              </w:pPr>
                              <w:r>
                                <w:rPr>
                                  <w:rFonts w:ascii="Times New Roman" w:hAnsi="Times New Roman" w:cs="Times New Roman"/>
                                  <w:kern w:val="2"/>
                                  <w:sz w:val="21"/>
                                  <w:szCs w:val="21"/>
                                </w:rPr>
                                <w:t>5</w:t>
                              </w:r>
                            </w:p>
                          </w:txbxContent>
                        </wps:txbx>
                        <wps:bodyPr rot="0" spcFirstLastPara="0" vert="horz" wrap="square" lIns="0" tIns="0" rIns="0" bIns="0" numCol="1" spcCol="0" rtlCol="0" fromWordArt="0" anchor="t" anchorCtr="0" forceAA="0" compatLnSpc="1">
                          <a:noAutofit/>
                        </wps:bodyPr>
                      </wps:wsp>
                      <wps:wsp>
                        <wps:cNvPr id="66" name="文本框 15"/>
                        <wps:cNvSpPr txBox="1"/>
                        <wps:spPr>
                          <a:xfrm>
                            <a:off x="967740" y="4417060"/>
                            <a:ext cx="38544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250E5">
                              <w:pPr>
                                <w:pStyle w:val="38"/>
                                <w:spacing w:before="0" w:beforeAutospacing="0" w:after="0" w:afterAutospacing="0"/>
                                <w:jc w:val="center"/>
                                <w:rPr>
                                  <w:rFonts w:hint="default" w:ascii="Times New Roman" w:hAnsi="Times New Roman" w:eastAsia="宋体" w:cs="Times New Roman"/>
                                  <w:sz w:val="21"/>
                                  <w:szCs w:val="21"/>
                                  <w:lang w:val="en-US" w:eastAsia="zh-CN"/>
                                </w:rPr>
                              </w:pPr>
                              <w:r>
                                <w:rPr>
                                  <w:rFonts w:hint="eastAsia" w:ascii="Times New Roman" w:hAnsi="Times New Roman" w:cs="Times New Roman"/>
                                  <w:kern w:val="2"/>
                                  <w:sz w:val="21"/>
                                  <w:szCs w:val="21"/>
                                  <w:lang w:val="en-US" w:eastAsia="zh-CN"/>
                                </w:rPr>
                                <w:t>300</w:t>
                              </w:r>
                            </w:p>
                          </w:txbxContent>
                        </wps:txbx>
                        <wps:bodyPr rot="0" spcFirstLastPara="0" vert="horz" wrap="square" lIns="0" tIns="0" rIns="0" bIns="0" numCol="1" spcCol="0" rtlCol="0" fromWordArt="0" anchor="t" anchorCtr="0" forceAA="0" compatLnSpc="1">
                          <a:noAutofit/>
                        </wps:bodyPr>
                      </wps:wsp>
                      <wps:wsp>
                        <wps:cNvPr id="71" name="任意多边形 71"/>
                        <wps:cNvSpPr/>
                        <wps:spPr>
                          <a:xfrm>
                            <a:off x="1950720" y="3786505"/>
                            <a:ext cx="312420" cy="158115"/>
                          </a:xfrm>
                          <a:custGeom>
                            <a:avLst/>
                            <a:gdLst>
                              <a:gd name="connsiteX0" fmla="*/ 0 w 312576"/>
                              <a:gd name="connsiteY0" fmla="*/ 158621 h 158621"/>
                              <a:gd name="connsiteX1" fmla="*/ 83976 w 312576"/>
                              <a:gd name="connsiteY1" fmla="*/ 55984 h 158621"/>
                              <a:gd name="connsiteX2" fmla="*/ 195943 w 312576"/>
                              <a:gd name="connsiteY2" fmla="*/ 121298 h 158621"/>
                              <a:gd name="connsiteX3" fmla="*/ 312576 w 312576"/>
                              <a:gd name="connsiteY3" fmla="*/ 0 h 158621"/>
                            </a:gdLst>
                            <a:ahLst/>
                            <a:cxnLst>
                              <a:cxn ang="0">
                                <a:pos x="connsiteX0" y="connsiteY0"/>
                              </a:cxn>
                              <a:cxn ang="0">
                                <a:pos x="connsiteX1" y="connsiteY1"/>
                              </a:cxn>
                              <a:cxn ang="0">
                                <a:pos x="connsiteX2" y="connsiteY2"/>
                              </a:cxn>
                              <a:cxn ang="0">
                                <a:pos x="connsiteX3" y="connsiteY3"/>
                              </a:cxn>
                            </a:cxnLst>
                            <a:rect l="l" t="t" r="r" b="b"/>
                            <a:pathLst>
                              <a:path w="312576" h="158621">
                                <a:moveTo>
                                  <a:pt x="0" y="158621"/>
                                </a:moveTo>
                                <a:cubicBezTo>
                                  <a:pt x="25659" y="110412"/>
                                  <a:pt x="51319" y="62204"/>
                                  <a:pt x="83976" y="55984"/>
                                </a:cubicBezTo>
                                <a:cubicBezTo>
                                  <a:pt x="116633" y="49764"/>
                                  <a:pt x="157843" y="130629"/>
                                  <a:pt x="195943" y="121298"/>
                                </a:cubicBezTo>
                                <a:cubicBezTo>
                                  <a:pt x="234043" y="111967"/>
                                  <a:pt x="290027" y="21771"/>
                                  <a:pt x="312576" y="0"/>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2" name="文本框 15"/>
                        <wps:cNvSpPr txBox="1"/>
                        <wps:spPr>
                          <a:xfrm>
                            <a:off x="2242820" y="3695065"/>
                            <a:ext cx="545465"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247F79">
                              <w:pPr>
                                <w:pStyle w:val="38"/>
                                <w:spacing w:before="0" w:beforeAutospacing="0" w:after="0" w:afterAutospacing="0"/>
                                <w:jc w:val="center"/>
                                <w:rPr>
                                  <w:rFonts w:ascii="Times New Roman" w:hAnsi="Times New Roman" w:cs="Times New Roman"/>
                                  <w:sz w:val="21"/>
                                  <w:szCs w:val="21"/>
                                </w:rPr>
                              </w:pPr>
                              <w:r>
                                <w:rPr>
                                  <w:rFonts w:ascii="Times New Roman" w:hAnsi="Times New Roman" w:cs="Times New Roman"/>
                                  <w:kern w:val="2"/>
                                  <w:sz w:val="21"/>
                                  <w:szCs w:val="21"/>
                                </w:rPr>
                                <w:t>损耗5</w:t>
                              </w:r>
                            </w:p>
                          </w:txbxContent>
                        </wps:txbx>
                        <wps:bodyPr rot="0" spcFirstLastPara="0" vert="horz" wrap="square" lIns="0" tIns="0" rIns="0" bIns="0" numCol="1" spcCol="0" rtlCol="0" fromWordArt="0" anchor="t" anchorCtr="0" forceAA="0" compatLnSpc="1">
                          <a:noAutofit/>
                        </wps:bodyPr>
                      </wps:wsp>
                      <wps:wsp>
                        <wps:cNvPr id="73" name="任意多边形 73"/>
                        <wps:cNvSpPr/>
                        <wps:spPr>
                          <a:xfrm>
                            <a:off x="1950720" y="4312285"/>
                            <a:ext cx="312420" cy="158115"/>
                          </a:xfrm>
                          <a:custGeom>
                            <a:avLst/>
                            <a:gdLst>
                              <a:gd name="connsiteX0" fmla="*/ 0 w 312576"/>
                              <a:gd name="connsiteY0" fmla="*/ 158621 h 158621"/>
                              <a:gd name="connsiteX1" fmla="*/ 83976 w 312576"/>
                              <a:gd name="connsiteY1" fmla="*/ 55984 h 158621"/>
                              <a:gd name="connsiteX2" fmla="*/ 195943 w 312576"/>
                              <a:gd name="connsiteY2" fmla="*/ 121298 h 158621"/>
                              <a:gd name="connsiteX3" fmla="*/ 312576 w 312576"/>
                              <a:gd name="connsiteY3" fmla="*/ 0 h 158621"/>
                            </a:gdLst>
                            <a:ahLst/>
                            <a:cxnLst>
                              <a:cxn ang="0">
                                <a:pos x="connsiteX0" y="connsiteY0"/>
                              </a:cxn>
                              <a:cxn ang="0">
                                <a:pos x="connsiteX1" y="connsiteY1"/>
                              </a:cxn>
                              <a:cxn ang="0">
                                <a:pos x="connsiteX2" y="connsiteY2"/>
                              </a:cxn>
                              <a:cxn ang="0">
                                <a:pos x="connsiteX3" y="connsiteY3"/>
                              </a:cxn>
                            </a:cxnLst>
                            <a:rect l="l" t="t" r="r" b="b"/>
                            <a:pathLst>
                              <a:path w="312576" h="158621">
                                <a:moveTo>
                                  <a:pt x="0" y="158621"/>
                                </a:moveTo>
                                <a:cubicBezTo>
                                  <a:pt x="25659" y="110412"/>
                                  <a:pt x="51319" y="62204"/>
                                  <a:pt x="83976" y="55984"/>
                                </a:cubicBezTo>
                                <a:cubicBezTo>
                                  <a:pt x="116633" y="49764"/>
                                  <a:pt x="157843" y="130629"/>
                                  <a:pt x="195943" y="121298"/>
                                </a:cubicBezTo>
                                <a:cubicBezTo>
                                  <a:pt x="234043" y="111967"/>
                                  <a:pt x="290027" y="21771"/>
                                  <a:pt x="312576" y="0"/>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4" name="文本框 15"/>
                        <wps:cNvSpPr txBox="1"/>
                        <wps:spPr>
                          <a:xfrm>
                            <a:off x="2198370" y="4209415"/>
                            <a:ext cx="65786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2D250D">
                              <w:pPr>
                                <w:pStyle w:val="38"/>
                                <w:spacing w:before="0" w:beforeAutospacing="0" w:after="0" w:afterAutospacing="0"/>
                                <w:jc w:val="center"/>
                                <w:rPr>
                                  <w:rFonts w:hint="default" w:ascii="Times New Roman" w:hAnsi="Times New Roman" w:eastAsia="宋体" w:cs="Times New Roman"/>
                                  <w:sz w:val="21"/>
                                  <w:szCs w:val="21"/>
                                  <w:lang w:val="en-US" w:eastAsia="zh-CN"/>
                                </w:rPr>
                              </w:pPr>
                              <w:r>
                                <w:rPr>
                                  <w:rFonts w:ascii="Times New Roman" w:hAnsi="Times New Roman" w:cs="Times New Roman"/>
                                  <w:kern w:val="2"/>
                                  <w:sz w:val="21"/>
                                  <w:szCs w:val="21"/>
                                </w:rPr>
                                <w:t>损耗</w:t>
                              </w:r>
                              <w:r>
                                <w:rPr>
                                  <w:rFonts w:hint="eastAsia" w:ascii="Times New Roman" w:hAnsi="Times New Roman" w:cs="Times New Roman"/>
                                  <w:kern w:val="2"/>
                                  <w:sz w:val="21"/>
                                  <w:szCs w:val="21"/>
                                  <w:lang w:val="en-US" w:eastAsia="zh-CN"/>
                                </w:rPr>
                                <w:t>300</w:t>
                              </w:r>
                            </w:p>
                          </w:txbxContent>
                        </wps:txbx>
                        <wps:bodyPr rot="0" spcFirstLastPara="0" vert="horz" wrap="square" lIns="0" tIns="0" rIns="0" bIns="0" numCol="1" spcCol="0" rtlCol="0" fromWordArt="0" anchor="t" anchorCtr="0" forceAA="0" compatLnSpc="1">
                          <a:noAutofit/>
                        </wps:bodyPr>
                      </wps:wsp>
                      <wps:wsp>
                        <wps:cNvPr id="75" name="任意多边形 75"/>
                        <wps:cNvSpPr/>
                        <wps:spPr>
                          <a:xfrm>
                            <a:off x="1950720" y="3275330"/>
                            <a:ext cx="312420" cy="158115"/>
                          </a:xfrm>
                          <a:custGeom>
                            <a:avLst/>
                            <a:gdLst>
                              <a:gd name="connsiteX0" fmla="*/ 0 w 312576"/>
                              <a:gd name="connsiteY0" fmla="*/ 158621 h 158621"/>
                              <a:gd name="connsiteX1" fmla="*/ 83976 w 312576"/>
                              <a:gd name="connsiteY1" fmla="*/ 55984 h 158621"/>
                              <a:gd name="connsiteX2" fmla="*/ 195943 w 312576"/>
                              <a:gd name="connsiteY2" fmla="*/ 121298 h 158621"/>
                              <a:gd name="connsiteX3" fmla="*/ 312576 w 312576"/>
                              <a:gd name="connsiteY3" fmla="*/ 0 h 158621"/>
                            </a:gdLst>
                            <a:ahLst/>
                            <a:cxnLst>
                              <a:cxn ang="0">
                                <a:pos x="connsiteX0" y="connsiteY0"/>
                              </a:cxn>
                              <a:cxn ang="0">
                                <a:pos x="connsiteX1" y="connsiteY1"/>
                              </a:cxn>
                              <a:cxn ang="0">
                                <a:pos x="connsiteX2" y="connsiteY2"/>
                              </a:cxn>
                              <a:cxn ang="0">
                                <a:pos x="connsiteX3" y="connsiteY3"/>
                              </a:cxn>
                            </a:cxnLst>
                            <a:rect l="l" t="t" r="r" b="b"/>
                            <a:pathLst>
                              <a:path w="312576" h="158621">
                                <a:moveTo>
                                  <a:pt x="0" y="158621"/>
                                </a:moveTo>
                                <a:cubicBezTo>
                                  <a:pt x="25659" y="110412"/>
                                  <a:pt x="51319" y="62204"/>
                                  <a:pt x="83976" y="55984"/>
                                </a:cubicBezTo>
                                <a:cubicBezTo>
                                  <a:pt x="116633" y="49764"/>
                                  <a:pt x="157843" y="130629"/>
                                  <a:pt x="195943" y="121298"/>
                                </a:cubicBezTo>
                                <a:cubicBezTo>
                                  <a:pt x="234043" y="111967"/>
                                  <a:pt x="290027" y="21771"/>
                                  <a:pt x="312576" y="0"/>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6" name="文本框 15"/>
                        <wps:cNvSpPr txBox="1"/>
                        <wps:spPr>
                          <a:xfrm>
                            <a:off x="2231390" y="3155950"/>
                            <a:ext cx="65786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A7694E">
                              <w:pPr>
                                <w:pStyle w:val="38"/>
                                <w:spacing w:before="0" w:beforeAutospacing="0" w:after="0" w:afterAutospacing="0"/>
                                <w:jc w:val="center"/>
                                <w:rPr>
                                  <w:rFonts w:ascii="Times New Roman" w:hAnsi="Times New Roman" w:cs="Times New Roman"/>
                                  <w:sz w:val="21"/>
                                  <w:szCs w:val="21"/>
                                </w:rPr>
                              </w:pPr>
                              <w:r>
                                <w:rPr>
                                  <w:rFonts w:ascii="Times New Roman" w:hAnsi="Times New Roman" w:cs="Times New Roman"/>
                                  <w:kern w:val="2"/>
                                  <w:sz w:val="21"/>
                                  <w:szCs w:val="21"/>
                                </w:rPr>
                                <w:t>损耗900</w:t>
                              </w:r>
                            </w:p>
                          </w:txbxContent>
                        </wps:txbx>
                        <wps:bodyPr rot="0" spcFirstLastPara="0" vert="horz" wrap="square" lIns="0" tIns="0" rIns="0" bIns="0" numCol="1" spcCol="0" rtlCol="0" fromWordArt="0" anchor="t" anchorCtr="0" forceAA="0" compatLnSpc="1">
                          <a:noAutofit/>
                        </wps:bodyPr>
                      </wps:wsp>
                      <wps:wsp>
                        <wps:cNvPr id="77" name="任意多边形 77"/>
                        <wps:cNvSpPr/>
                        <wps:spPr>
                          <a:xfrm>
                            <a:off x="1936115" y="4907280"/>
                            <a:ext cx="312420" cy="158115"/>
                          </a:xfrm>
                          <a:custGeom>
                            <a:avLst/>
                            <a:gdLst>
                              <a:gd name="connsiteX0" fmla="*/ 0 w 312576"/>
                              <a:gd name="connsiteY0" fmla="*/ 158621 h 158621"/>
                              <a:gd name="connsiteX1" fmla="*/ 83976 w 312576"/>
                              <a:gd name="connsiteY1" fmla="*/ 55984 h 158621"/>
                              <a:gd name="connsiteX2" fmla="*/ 195943 w 312576"/>
                              <a:gd name="connsiteY2" fmla="*/ 121298 h 158621"/>
                              <a:gd name="connsiteX3" fmla="*/ 312576 w 312576"/>
                              <a:gd name="connsiteY3" fmla="*/ 0 h 158621"/>
                            </a:gdLst>
                            <a:ahLst/>
                            <a:cxnLst>
                              <a:cxn ang="0">
                                <a:pos x="connsiteX0" y="connsiteY0"/>
                              </a:cxn>
                              <a:cxn ang="0">
                                <a:pos x="connsiteX1" y="connsiteY1"/>
                              </a:cxn>
                              <a:cxn ang="0">
                                <a:pos x="connsiteX2" y="connsiteY2"/>
                              </a:cxn>
                              <a:cxn ang="0">
                                <a:pos x="connsiteX3" y="connsiteY3"/>
                              </a:cxn>
                            </a:cxnLst>
                            <a:rect l="l" t="t" r="r" b="b"/>
                            <a:pathLst>
                              <a:path w="312576" h="158621">
                                <a:moveTo>
                                  <a:pt x="0" y="158621"/>
                                </a:moveTo>
                                <a:cubicBezTo>
                                  <a:pt x="25659" y="110412"/>
                                  <a:pt x="51319" y="62204"/>
                                  <a:pt x="83976" y="55984"/>
                                </a:cubicBezTo>
                                <a:cubicBezTo>
                                  <a:pt x="116633" y="49764"/>
                                  <a:pt x="157843" y="130629"/>
                                  <a:pt x="195943" y="121298"/>
                                </a:cubicBezTo>
                                <a:cubicBezTo>
                                  <a:pt x="234043" y="111967"/>
                                  <a:pt x="290027" y="21771"/>
                                  <a:pt x="312576" y="0"/>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8" name="文本框 15"/>
                        <wps:cNvSpPr txBox="1"/>
                        <wps:spPr>
                          <a:xfrm>
                            <a:off x="2272665" y="4743450"/>
                            <a:ext cx="897890"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8F8CB">
                              <w:pPr>
                                <w:pStyle w:val="38"/>
                                <w:spacing w:before="0" w:beforeAutospacing="0" w:after="0" w:afterAutospacing="0" w:line="260" w:lineRule="exact"/>
                                <w:jc w:val="center"/>
                                <w:rPr>
                                  <w:rFonts w:ascii="Times New Roman" w:hAnsi="Times New Roman" w:cs="Times New Roman"/>
                                  <w:sz w:val="21"/>
                                  <w:szCs w:val="21"/>
                                </w:rPr>
                              </w:pPr>
                              <w:r>
                                <w:rPr>
                                  <w:rFonts w:ascii="Times New Roman" w:hAnsi="Times New Roman" w:cs="Times New Roman"/>
                                  <w:kern w:val="2"/>
                                  <w:sz w:val="21"/>
                                  <w:szCs w:val="21"/>
                                </w:rPr>
                                <w:t>生物消耗或进入鸡粪4500</w:t>
                              </w:r>
                            </w:p>
                          </w:txbxContent>
                        </wps:txbx>
                        <wps:bodyPr rot="0" spcFirstLastPara="0" vert="horz" wrap="square" lIns="0" tIns="0" rIns="0" bIns="0" numCol="1" spcCol="0" rtlCol="0" fromWordArt="0" anchor="t" anchorCtr="0" forceAA="0" compatLnSpc="1">
                          <a:noAutofit/>
                        </wps:bodyPr>
                      </wps:wsp>
                      <wps:wsp>
                        <wps:cNvPr id="79" name="任意多边形 79"/>
                        <wps:cNvSpPr/>
                        <wps:spPr>
                          <a:xfrm>
                            <a:off x="1945640" y="1901825"/>
                            <a:ext cx="312420" cy="158115"/>
                          </a:xfrm>
                          <a:custGeom>
                            <a:avLst/>
                            <a:gdLst>
                              <a:gd name="connsiteX0" fmla="*/ 0 w 312576"/>
                              <a:gd name="connsiteY0" fmla="*/ 158621 h 158621"/>
                              <a:gd name="connsiteX1" fmla="*/ 83976 w 312576"/>
                              <a:gd name="connsiteY1" fmla="*/ 55984 h 158621"/>
                              <a:gd name="connsiteX2" fmla="*/ 195943 w 312576"/>
                              <a:gd name="connsiteY2" fmla="*/ 121298 h 158621"/>
                              <a:gd name="connsiteX3" fmla="*/ 312576 w 312576"/>
                              <a:gd name="connsiteY3" fmla="*/ 0 h 158621"/>
                            </a:gdLst>
                            <a:ahLst/>
                            <a:cxnLst>
                              <a:cxn ang="0">
                                <a:pos x="connsiteX0" y="connsiteY0"/>
                              </a:cxn>
                              <a:cxn ang="0">
                                <a:pos x="connsiteX1" y="connsiteY1"/>
                              </a:cxn>
                              <a:cxn ang="0">
                                <a:pos x="connsiteX2" y="connsiteY2"/>
                              </a:cxn>
                              <a:cxn ang="0">
                                <a:pos x="connsiteX3" y="connsiteY3"/>
                              </a:cxn>
                            </a:cxnLst>
                            <a:rect l="l" t="t" r="r" b="b"/>
                            <a:pathLst>
                              <a:path w="312576" h="158621">
                                <a:moveTo>
                                  <a:pt x="0" y="158621"/>
                                </a:moveTo>
                                <a:cubicBezTo>
                                  <a:pt x="25659" y="110412"/>
                                  <a:pt x="51319" y="62204"/>
                                  <a:pt x="83976" y="55984"/>
                                </a:cubicBezTo>
                                <a:cubicBezTo>
                                  <a:pt x="116633" y="49764"/>
                                  <a:pt x="157843" y="130629"/>
                                  <a:pt x="195943" y="121298"/>
                                </a:cubicBezTo>
                                <a:cubicBezTo>
                                  <a:pt x="234043" y="111967"/>
                                  <a:pt x="290027" y="21771"/>
                                  <a:pt x="312576" y="0"/>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80" name="文本框 15"/>
                        <wps:cNvSpPr txBox="1"/>
                        <wps:spPr>
                          <a:xfrm>
                            <a:off x="2211070" y="1790700"/>
                            <a:ext cx="777875"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F9D81B">
                              <w:pPr>
                                <w:pStyle w:val="38"/>
                                <w:spacing w:before="0" w:beforeAutospacing="0" w:after="0" w:afterAutospacing="0"/>
                                <w:jc w:val="center"/>
                                <w:rPr>
                                  <w:rFonts w:ascii="Times New Roman" w:hAnsi="Times New Roman" w:cs="Times New Roman"/>
                                  <w:sz w:val="21"/>
                                  <w:szCs w:val="21"/>
                                </w:rPr>
                              </w:pPr>
                              <w:r>
                                <w:rPr>
                                  <w:rFonts w:ascii="Times New Roman" w:hAnsi="Times New Roman" w:cs="Times New Roman"/>
                                  <w:kern w:val="2"/>
                                  <w:sz w:val="21"/>
                                  <w:szCs w:val="21"/>
                                </w:rPr>
                                <w:t>损耗</w:t>
                              </w:r>
                              <w:r>
                                <w:rPr>
                                  <w:rFonts w:hint="eastAsia" w:ascii="Times New Roman" w:hAnsi="Times New Roman" w:cs="Times New Roman"/>
                                  <w:kern w:val="2"/>
                                  <w:sz w:val="21"/>
                                  <w:szCs w:val="21"/>
                                </w:rPr>
                                <w:t>182.6</w:t>
                              </w:r>
                            </w:p>
                          </w:txbxContent>
                        </wps:txbx>
                        <wps:bodyPr rot="0" spcFirstLastPara="0" vert="horz" wrap="square" lIns="0" tIns="0" rIns="0" bIns="0" numCol="1" spcCol="0" rtlCol="0" fromWordArt="0" anchor="t" anchorCtr="0" forceAA="0" compatLnSpc="1">
                          <a:noAutofit/>
                        </wps:bodyPr>
                      </wps:wsp>
                      <wps:wsp>
                        <wps:cNvPr id="83" name="任意多边形 83"/>
                        <wps:cNvSpPr/>
                        <wps:spPr>
                          <a:xfrm>
                            <a:off x="2026285" y="125730"/>
                            <a:ext cx="312420" cy="158115"/>
                          </a:xfrm>
                          <a:custGeom>
                            <a:avLst/>
                            <a:gdLst>
                              <a:gd name="connsiteX0" fmla="*/ 0 w 312576"/>
                              <a:gd name="connsiteY0" fmla="*/ 158621 h 158621"/>
                              <a:gd name="connsiteX1" fmla="*/ 83976 w 312576"/>
                              <a:gd name="connsiteY1" fmla="*/ 55984 h 158621"/>
                              <a:gd name="connsiteX2" fmla="*/ 195943 w 312576"/>
                              <a:gd name="connsiteY2" fmla="*/ 121298 h 158621"/>
                              <a:gd name="connsiteX3" fmla="*/ 312576 w 312576"/>
                              <a:gd name="connsiteY3" fmla="*/ 0 h 158621"/>
                            </a:gdLst>
                            <a:ahLst/>
                            <a:cxnLst>
                              <a:cxn ang="0">
                                <a:pos x="connsiteX0" y="connsiteY0"/>
                              </a:cxn>
                              <a:cxn ang="0">
                                <a:pos x="connsiteX1" y="connsiteY1"/>
                              </a:cxn>
                              <a:cxn ang="0">
                                <a:pos x="connsiteX2" y="connsiteY2"/>
                              </a:cxn>
                              <a:cxn ang="0">
                                <a:pos x="connsiteX3" y="connsiteY3"/>
                              </a:cxn>
                            </a:cxnLst>
                            <a:rect l="l" t="t" r="r" b="b"/>
                            <a:pathLst>
                              <a:path w="312576" h="158621">
                                <a:moveTo>
                                  <a:pt x="0" y="158621"/>
                                </a:moveTo>
                                <a:cubicBezTo>
                                  <a:pt x="25659" y="110412"/>
                                  <a:pt x="51319" y="62204"/>
                                  <a:pt x="83976" y="55984"/>
                                </a:cubicBezTo>
                                <a:cubicBezTo>
                                  <a:pt x="116633" y="49764"/>
                                  <a:pt x="157843" y="130629"/>
                                  <a:pt x="195943" y="121298"/>
                                </a:cubicBezTo>
                                <a:cubicBezTo>
                                  <a:pt x="234043" y="111967"/>
                                  <a:pt x="290027" y="21771"/>
                                  <a:pt x="312576" y="0"/>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84" name="文本框 15"/>
                        <wps:cNvSpPr txBox="1"/>
                        <wps:spPr>
                          <a:xfrm>
                            <a:off x="2249170" y="22860"/>
                            <a:ext cx="65786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721C8A">
                              <w:pPr>
                                <w:pStyle w:val="38"/>
                                <w:spacing w:before="0" w:beforeAutospacing="0" w:after="0" w:afterAutospacing="0"/>
                                <w:jc w:val="center"/>
                                <w:rPr>
                                  <w:sz w:val="21"/>
                                  <w:szCs w:val="21"/>
                                </w:rPr>
                              </w:pPr>
                              <w:r>
                                <w:rPr>
                                  <w:rFonts w:hint="eastAsia"/>
                                  <w:kern w:val="2"/>
                                  <w:sz w:val="21"/>
                                  <w:szCs w:val="21"/>
                                </w:rPr>
                                <w:t>损耗</w:t>
                              </w:r>
                              <w:r>
                                <w:rPr>
                                  <w:rFonts w:ascii="Times New Roman" w:hAnsi="Times New Roman" w:cs="Times New Roman"/>
                                  <w:kern w:val="2"/>
                                  <w:sz w:val="21"/>
                                  <w:szCs w:val="21"/>
                                </w:rPr>
                                <w:t>60</w:t>
                              </w:r>
                            </w:p>
                          </w:txbxContent>
                        </wps:txbx>
                        <wps:bodyPr rot="0" spcFirstLastPara="0" vert="horz" wrap="square" lIns="0" tIns="0" rIns="0" bIns="0" numCol="1" spcCol="0" rtlCol="0" fromWordArt="0" anchor="t" anchorCtr="0" forceAA="0" compatLnSpc="1">
                          <a:noAutofit/>
                        </wps:bodyPr>
                      </wps:wsp>
                      <wps:wsp>
                        <wps:cNvPr id="85" name="文本框 15"/>
                        <wps:cNvSpPr txBox="1"/>
                        <wps:spPr>
                          <a:xfrm>
                            <a:off x="2470785" y="2014855"/>
                            <a:ext cx="42989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D9ABC">
                              <w:pPr>
                                <w:pStyle w:val="38"/>
                                <w:spacing w:before="0" w:beforeAutospacing="0" w:after="0" w:afterAutospacing="0"/>
                                <w:jc w:val="center"/>
                                <w:rPr>
                                  <w:rFonts w:ascii="Times New Roman" w:hAnsi="Times New Roman" w:cs="Times New Roman"/>
                                  <w:sz w:val="21"/>
                                  <w:szCs w:val="21"/>
                                </w:rPr>
                              </w:pPr>
                              <w:r>
                                <w:rPr>
                                  <w:rFonts w:ascii="Times New Roman" w:hAnsi="Times New Roman" w:cs="Times New Roman"/>
                                  <w:kern w:val="2"/>
                                  <w:sz w:val="21"/>
                                  <w:szCs w:val="21"/>
                                </w:rPr>
                                <w:t>730.4</w:t>
                              </w:r>
                            </w:p>
                          </w:txbxContent>
                        </wps:txbx>
                        <wps:bodyPr rot="0" spcFirstLastPara="0" vert="horz" wrap="square" lIns="0" tIns="0" rIns="0" bIns="0" numCol="1" spcCol="0" rtlCol="0" fromWordArt="0" anchor="t" anchorCtr="0" forceAA="0" compatLnSpc="1">
                          <a:noAutofit/>
                        </wps:bodyPr>
                      </wps:wsp>
                      <wps:wsp>
                        <wps:cNvPr id="86" name="文本框 15"/>
                        <wps:cNvSpPr txBox="1"/>
                        <wps:spPr>
                          <a:xfrm>
                            <a:off x="2453640" y="743585"/>
                            <a:ext cx="39433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22CD0">
                              <w:pPr>
                                <w:pStyle w:val="38"/>
                                <w:spacing w:before="0" w:beforeAutospacing="0" w:after="0" w:afterAutospacing="0" w:line="300" w:lineRule="exact"/>
                                <w:jc w:val="center"/>
                                <w:rPr>
                                  <w:rFonts w:ascii="Times New Roman" w:hAnsi="Times New Roman" w:cs="Times New Roman"/>
                                  <w:sz w:val="21"/>
                                  <w:szCs w:val="21"/>
                                </w:rPr>
                              </w:pPr>
                              <w:r>
                                <w:rPr>
                                  <w:rFonts w:ascii="Times New Roman" w:hAnsi="Times New Roman" w:cs="Times New Roman"/>
                                  <w:kern w:val="2"/>
                                  <w:sz w:val="21"/>
                                  <w:szCs w:val="21"/>
                                </w:rPr>
                                <w:t>24</w:t>
                              </w:r>
                            </w:p>
                          </w:txbxContent>
                        </wps:txbx>
                        <wps:bodyPr rot="0" spcFirstLastPara="0" vert="horz" wrap="square" lIns="0" tIns="0" rIns="0" bIns="0" numCol="1" spcCol="0" rtlCol="0" fromWordArt="0" anchor="t" anchorCtr="0" forceAA="0" compatLnSpc="1">
                          <a:noAutofit/>
                        </wps:bodyPr>
                      </wps:wsp>
                      <wps:wsp>
                        <wps:cNvPr id="87" name="文本框 15"/>
                        <wps:cNvSpPr txBox="1"/>
                        <wps:spPr>
                          <a:xfrm>
                            <a:off x="2493010" y="226695"/>
                            <a:ext cx="393700"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748BFA">
                              <w:pPr>
                                <w:pStyle w:val="38"/>
                                <w:spacing w:before="0" w:beforeAutospacing="0" w:after="0" w:afterAutospacing="0"/>
                                <w:jc w:val="center"/>
                                <w:rPr>
                                  <w:rFonts w:ascii="Times New Roman" w:hAnsi="Times New Roman" w:cs="Times New Roman"/>
                                  <w:sz w:val="21"/>
                                  <w:szCs w:val="21"/>
                                </w:rPr>
                              </w:pPr>
                              <w:r>
                                <w:rPr>
                                  <w:rFonts w:ascii="Times New Roman" w:hAnsi="Times New Roman" w:cs="Times New Roman"/>
                                  <w:kern w:val="2"/>
                                  <w:sz w:val="21"/>
                                  <w:szCs w:val="21"/>
                                </w:rPr>
                                <w:t>240</w:t>
                              </w:r>
                            </w:p>
                          </w:txbxContent>
                        </wps:txbx>
                        <wps:bodyPr rot="0" spcFirstLastPara="0" vert="horz" wrap="square" lIns="0" tIns="0" rIns="0" bIns="0" numCol="1" spcCol="0" rtlCol="0" fromWordArt="0" anchor="t" anchorCtr="0" forceAA="0" compatLnSpc="1">
                          <a:noAutofit/>
                        </wps:bodyPr>
                      </wps:wsp>
                      <wps:wsp>
                        <wps:cNvPr id="88" name="文本框 15"/>
                        <wps:cNvSpPr txBox="1"/>
                        <wps:spPr>
                          <a:xfrm>
                            <a:off x="2955925" y="934085"/>
                            <a:ext cx="559435" cy="241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899F49">
                              <w:pPr>
                                <w:pStyle w:val="38"/>
                                <w:spacing w:before="0" w:beforeAutospacing="0" w:after="0" w:afterAutospacing="0"/>
                                <w:jc w:val="center"/>
                                <w:rPr>
                                  <w:rFonts w:ascii="Times New Roman" w:hAnsi="Times New Roman" w:cs="Times New Roman"/>
                                  <w:sz w:val="21"/>
                                  <w:szCs w:val="21"/>
                                </w:rPr>
                              </w:pPr>
                              <w:r>
                                <w:rPr>
                                  <w:rFonts w:hint="eastAsia" w:ascii="Times New Roman" w:hAnsi="Times New Roman" w:cs="Times New Roman"/>
                                  <w:kern w:val="2"/>
                                  <w:sz w:val="21"/>
                                  <w:szCs w:val="21"/>
                                </w:rPr>
                                <w:t>136</w:t>
                              </w:r>
                              <w:r>
                                <w:rPr>
                                  <w:rFonts w:ascii="Times New Roman" w:hAnsi="Times New Roman" w:cs="Times New Roman"/>
                                  <w:kern w:val="2"/>
                                  <w:sz w:val="21"/>
                                  <w:szCs w:val="21"/>
                                </w:rPr>
                                <w:t>1.4</w:t>
                              </w:r>
                            </w:p>
                          </w:txbxContent>
                        </wps:txbx>
                        <wps:bodyPr rot="0" spcFirstLastPara="0" vert="horz" wrap="square" lIns="0" tIns="0" rIns="0" bIns="0" numCol="1" spcCol="0" rtlCol="0" fromWordArt="0" anchor="t" anchorCtr="0" forceAA="0" compatLnSpc="1">
                          <a:noAutofit/>
                        </wps:bodyPr>
                      </wps:wsp>
                      <wps:wsp>
                        <wps:cNvPr id="89" name="文本框 15"/>
                        <wps:cNvSpPr txBox="1"/>
                        <wps:spPr>
                          <a:xfrm>
                            <a:off x="3975100" y="1431925"/>
                            <a:ext cx="55054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D3561">
                              <w:pPr>
                                <w:pStyle w:val="38"/>
                                <w:spacing w:before="0" w:beforeAutospacing="0" w:after="0" w:afterAutospacing="0"/>
                                <w:jc w:val="center"/>
                                <w:rPr>
                                  <w:rFonts w:ascii="Times New Roman" w:hAnsi="Times New Roman" w:cs="Times New Roman"/>
                                  <w:sz w:val="21"/>
                                  <w:szCs w:val="21"/>
                                </w:rPr>
                              </w:pPr>
                              <w:r>
                                <w:rPr>
                                  <w:rFonts w:hint="eastAsia" w:ascii="Times New Roman" w:hAnsi="Times New Roman" w:cs="Times New Roman"/>
                                  <w:kern w:val="2"/>
                                  <w:sz w:val="21"/>
                                  <w:szCs w:val="21"/>
                                </w:rPr>
                                <w:t>136</w:t>
                              </w:r>
                              <w:r>
                                <w:rPr>
                                  <w:rFonts w:ascii="Times New Roman" w:hAnsi="Times New Roman" w:cs="Times New Roman"/>
                                  <w:kern w:val="2"/>
                                  <w:sz w:val="21"/>
                                  <w:szCs w:val="21"/>
                                </w:rPr>
                                <w:t>1.4</w:t>
                              </w:r>
                            </w:p>
                          </w:txbxContent>
                        </wps:txbx>
                        <wps:bodyPr rot="0" spcFirstLastPara="0" vert="horz" wrap="square" lIns="0" tIns="0" rIns="0" bIns="0" numCol="1" spcCol="0" rtlCol="0" fromWordArt="0" anchor="t" anchorCtr="0" forceAA="0" compatLnSpc="1">
                          <a:noAutofit/>
                        </wps:bodyPr>
                      </wps:wsp>
                      <wps:wsp>
                        <wps:cNvPr id="46" name="直接箭头连接符 46"/>
                        <wps:cNvCnPr/>
                        <wps:spPr>
                          <a:xfrm flipH="1" flipV="1">
                            <a:off x="1903730" y="2292350"/>
                            <a:ext cx="8255" cy="34988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文本框 15"/>
                        <wps:cNvSpPr txBox="1"/>
                        <wps:spPr>
                          <a:xfrm>
                            <a:off x="1339215" y="2388235"/>
                            <a:ext cx="58420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36F90">
                              <w:pPr>
                                <w:pStyle w:val="38"/>
                                <w:spacing w:before="0" w:beforeAutospacing="0" w:after="0" w:afterAutospacing="0"/>
                                <w:jc w:val="center"/>
                                <w:rPr>
                                  <w:rFonts w:ascii="Times New Roman" w:hAnsi="Times New Roman" w:cs="Times New Roman"/>
                                  <w:sz w:val="21"/>
                                  <w:szCs w:val="21"/>
                                </w:rPr>
                              </w:pPr>
                              <w:r>
                                <w:rPr>
                                  <w:rFonts w:hint="eastAsia" w:ascii="Times New Roman" w:hAnsi="Times New Roman" w:cs="Times New Roman"/>
                                  <w:kern w:val="2"/>
                                  <w:sz w:val="21"/>
                                  <w:szCs w:val="21"/>
                                </w:rPr>
                                <w:t>浓水370</w:t>
                              </w:r>
                            </w:p>
                          </w:txbxContent>
                        </wps:txbx>
                        <wps:bodyPr rot="0" spcFirstLastPara="0" vert="horz" wrap="square" lIns="0" tIns="0" rIns="0" bIns="0" numCol="1" spcCol="0" rtlCol="0" fromWordArt="0" anchor="t" anchorCtr="0" forceAA="0" compatLnSpc="1">
                          <a:noAutofit/>
                        </wps:bodyPr>
                      </wps:wsp>
                      <wps:wsp>
                        <wps:cNvPr id="69" name="文本框 15"/>
                        <wps:cNvSpPr txBox="1"/>
                        <wps:spPr>
                          <a:xfrm>
                            <a:off x="976630" y="4998720"/>
                            <a:ext cx="38544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EDA91">
                              <w:pPr>
                                <w:pStyle w:val="38"/>
                                <w:spacing w:before="0" w:beforeAutospacing="0" w:after="0" w:afterAutospacing="0"/>
                                <w:jc w:val="center"/>
                                <w:rPr>
                                  <w:rFonts w:hint="default" w:ascii="Times New Roman" w:hAnsi="Times New Roman" w:eastAsia="宋体" w:cs="Times New Roman"/>
                                  <w:sz w:val="21"/>
                                  <w:szCs w:val="21"/>
                                  <w:lang w:val="en-US" w:eastAsia="zh-CN"/>
                                </w:rPr>
                              </w:pPr>
                              <w:r>
                                <w:rPr>
                                  <w:rFonts w:hint="eastAsia" w:ascii="Times New Roman" w:hAnsi="Times New Roman" w:cs="Times New Roman"/>
                                  <w:kern w:val="2"/>
                                  <w:sz w:val="21"/>
                                  <w:szCs w:val="21"/>
                                  <w:lang w:val="en-US" w:eastAsia="zh-CN"/>
                                </w:rPr>
                                <w:t>4500</w:t>
                              </w:r>
                            </w:p>
                          </w:txbxContent>
                        </wps:txbx>
                        <wps:bodyPr rot="0" spcFirstLastPara="0" vert="horz" wrap="square" lIns="0" tIns="0" rIns="0" bIns="0" numCol="1" spcCol="0" rtlCol="0" fromWordArt="0" anchor="t" anchorCtr="0" forceAA="0" compatLnSpc="1">
                          <a:noAutofit/>
                        </wps:bodyPr>
                      </wps:wsp>
                      <wps:wsp>
                        <wps:cNvPr id="82" name="直接箭头连接符 82"/>
                        <wps:cNvCnPr/>
                        <wps:spPr>
                          <a:xfrm>
                            <a:off x="916940" y="5202555"/>
                            <a:ext cx="537845"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 name="文本框 15"/>
                        <wps:cNvSpPr txBox="1"/>
                        <wps:spPr>
                          <a:xfrm>
                            <a:off x="1452880" y="2631440"/>
                            <a:ext cx="995045" cy="245110"/>
                          </a:xfrm>
                          <a:prstGeom prst="rect">
                            <a:avLst/>
                          </a:prstGeom>
                          <a:no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130549">
                              <w:pPr>
                                <w:pStyle w:val="38"/>
                                <w:spacing w:before="0" w:beforeAutospacing="0" w:after="0" w:afterAutospacing="0" w:line="320" w:lineRule="exact"/>
                                <w:jc w:val="center"/>
                                <w:rPr>
                                  <w:color w:val="000000" w:themeColor="text1"/>
                                  <w14:textFill>
                                    <w14:solidFill>
                                      <w14:schemeClr w14:val="tx1"/>
                                    </w14:solidFill>
                                  </w14:textFill>
                                </w:rPr>
                              </w:pPr>
                              <w:r>
                                <w:rPr>
                                  <w:rFonts w:hint="eastAsia" w:ascii="Times New Roman" w:hAnsi="Times New Roman" w:cs="Times New Roman"/>
                                  <w:color w:val="000000" w:themeColor="text1"/>
                                  <w:kern w:val="2"/>
                                  <w:sz w:val="21"/>
                                  <w:szCs w:val="21"/>
                                  <w14:textFill>
                                    <w14:solidFill>
                                      <w14:schemeClr w14:val="tx1"/>
                                    </w14:solidFill>
                                  </w14:textFill>
                                </w:rPr>
                                <w:t>锅炉供热补水</w:t>
                              </w:r>
                            </w:p>
                          </w:txbxContent>
                        </wps:txbx>
                        <wps:bodyPr rot="0" spcFirstLastPara="0" vert="horz" wrap="square" lIns="0" tIns="0" rIns="0" bIns="0" numCol="1" spcCol="0" rtlCol="0" fromWordArt="0" anchor="t" anchorCtr="0" forceAA="0" compatLnSpc="1">
                          <a:noAutofit/>
                        </wps:bodyPr>
                      </wps:wsp>
                      <wps:wsp>
                        <wps:cNvPr id="99" name="文本框 15"/>
                        <wps:cNvSpPr txBox="1"/>
                        <wps:spPr>
                          <a:xfrm>
                            <a:off x="967740" y="2584450"/>
                            <a:ext cx="44577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BE26A">
                              <w:pPr>
                                <w:pStyle w:val="38"/>
                                <w:spacing w:before="0" w:beforeAutospacing="0" w:after="0" w:afterAutospacing="0"/>
                                <w:jc w:val="center"/>
                                <w:rPr>
                                  <w:rFonts w:ascii="Times New Roman" w:hAnsi="Times New Roman" w:cs="Times New Roman"/>
                                  <w:sz w:val="21"/>
                                  <w:szCs w:val="21"/>
                                </w:rPr>
                              </w:pPr>
                              <w:r>
                                <w:rPr>
                                  <w:rFonts w:hint="eastAsia" w:ascii="Times New Roman" w:hAnsi="Times New Roman" w:cs="Times New Roman"/>
                                  <w:kern w:val="2"/>
                                  <w:sz w:val="21"/>
                                  <w:szCs w:val="21"/>
                                </w:rPr>
                                <w:t>1234</w:t>
                              </w:r>
                            </w:p>
                          </w:txbxContent>
                        </wps:txbx>
                        <wps:bodyPr rot="0" spcFirstLastPara="0" vert="horz" wrap="square" lIns="0" tIns="0" rIns="0" bIns="0" numCol="1" spcCol="0" rtlCol="0" fromWordArt="0" anchor="t" anchorCtr="0" forceAA="0" compatLnSpc="1">
                          <a:noAutofit/>
                        </wps:bodyPr>
                      </wps:wsp>
                      <wps:wsp>
                        <wps:cNvPr id="142" name="任意多边形 142"/>
                        <wps:cNvSpPr/>
                        <wps:spPr>
                          <a:xfrm>
                            <a:off x="1980565" y="2477135"/>
                            <a:ext cx="312420" cy="158115"/>
                          </a:xfrm>
                          <a:custGeom>
                            <a:avLst/>
                            <a:gdLst>
                              <a:gd name="connsiteX0" fmla="*/ 0 w 312576"/>
                              <a:gd name="connsiteY0" fmla="*/ 158621 h 158621"/>
                              <a:gd name="connsiteX1" fmla="*/ 83976 w 312576"/>
                              <a:gd name="connsiteY1" fmla="*/ 55984 h 158621"/>
                              <a:gd name="connsiteX2" fmla="*/ 195943 w 312576"/>
                              <a:gd name="connsiteY2" fmla="*/ 121298 h 158621"/>
                              <a:gd name="connsiteX3" fmla="*/ 312576 w 312576"/>
                              <a:gd name="connsiteY3" fmla="*/ 0 h 158621"/>
                            </a:gdLst>
                            <a:ahLst/>
                            <a:cxnLst>
                              <a:cxn ang="0">
                                <a:pos x="connsiteX0" y="connsiteY0"/>
                              </a:cxn>
                              <a:cxn ang="0">
                                <a:pos x="connsiteX1" y="connsiteY1"/>
                              </a:cxn>
                              <a:cxn ang="0">
                                <a:pos x="connsiteX2" y="connsiteY2"/>
                              </a:cxn>
                              <a:cxn ang="0">
                                <a:pos x="connsiteX3" y="connsiteY3"/>
                              </a:cxn>
                            </a:cxnLst>
                            <a:rect l="l" t="t" r="r" b="b"/>
                            <a:pathLst>
                              <a:path w="312576" h="158621">
                                <a:moveTo>
                                  <a:pt x="0" y="158621"/>
                                </a:moveTo>
                                <a:cubicBezTo>
                                  <a:pt x="25659" y="110412"/>
                                  <a:pt x="51319" y="62204"/>
                                  <a:pt x="83976" y="55984"/>
                                </a:cubicBezTo>
                                <a:cubicBezTo>
                                  <a:pt x="116633" y="49764"/>
                                  <a:pt x="157843" y="130629"/>
                                  <a:pt x="195943" y="121298"/>
                                </a:cubicBezTo>
                                <a:cubicBezTo>
                                  <a:pt x="234043" y="111967"/>
                                  <a:pt x="290027" y="21771"/>
                                  <a:pt x="312576" y="0"/>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47" name="文本框 15"/>
                        <wps:cNvSpPr txBox="1"/>
                        <wps:spPr>
                          <a:xfrm>
                            <a:off x="2252345" y="2389505"/>
                            <a:ext cx="65786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ED78C">
                              <w:pPr>
                                <w:pStyle w:val="38"/>
                                <w:spacing w:before="0" w:beforeAutospacing="0" w:after="0" w:afterAutospacing="0"/>
                                <w:jc w:val="center"/>
                                <w:rPr>
                                  <w:rFonts w:ascii="Times New Roman" w:hAnsi="Times New Roman" w:cs="Times New Roman"/>
                                  <w:sz w:val="21"/>
                                  <w:szCs w:val="21"/>
                                </w:rPr>
                              </w:pPr>
                              <w:r>
                                <w:rPr>
                                  <w:rFonts w:ascii="Times New Roman" w:hAnsi="Times New Roman" w:cs="Times New Roman"/>
                                  <w:kern w:val="2"/>
                                  <w:sz w:val="21"/>
                                  <w:szCs w:val="21"/>
                                </w:rPr>
                                <w:t>损耗</w:t>
                              </w:r>
                              <w:r>
                                <w:rPr>
                                  <w:rFonts w:hint="eastAsia" w:ascii="Times New Roman" w:hAnsi="Times New Roman" w:cs="Times New Roman"/>
                                  <w:kern w:val="2"/>
                                  <w:sz w:val="21"/>
                                  <w:szCs w:val="21"/>
                                </w:rPr>
                                <w:t>864</w:t>
                              </w:r>
                            </w:p>
                          </w:txbxContent>
                        </wps:txbx>
                        <wps:bodyPr rot="0" spcFirstLastPara="0" vert="horz" wrap="square" lIns="0" tIns="0" rIns="0" bIns="0" numCol="1" spcCol="0" rtlCol="0" fromWordArt="0" anchor="t" anchorCtr="0" forceAA="0" compatLnSpc="1">
                          <a:noAutofit/>
                        </wps:bodyPr>
                      </wps:wsp>
                      <wps:wsp>
                        <wps:cNvPr id="148" name="任意多边形 148"/>
                        <wps:cNvSpPr/>
                        <wps:spPr>
                          <a:xfrm>
                            <a:off x="1972945" y="668655"/>
                            <a:ext cx="312420" cy="158115"/>
                          </a:xfrm>
                          <a:custGeom>
                            <a:avLst/>
                            <a:gdLst>
                              <a:gd name="connsiteX0" fmla="*/ 0 w 312576"/>
                              <a:gd name="connsiteY0" fmla="*/ 158621 h 158621"/>
                              <a:gd name="connsiteX1" fmla="*/ 83976 w 312576"/>
                              <a:gd name="connsiteY1" fmla="*/ 55984 h 158621"/>
                              <a:gd name="connsiteX2" fmla="*/ 195943 w 312576"/>
                              <a:gd name="connsiteY2" fmla="*/ 121298 h 158621"/>
                              <a:gd name="connsiteX3" fmla="*/ 312576 w 312576"/>
                              <a:gd name="connsiteY3" fmla="*/ 0 h 158621"/>
                            </a:gdLst>
                            <a:ahLst/>
                            <a:cxnLst>
                              <a:cxn ang="0">
                                <a:pos x="connsiteX0" y="connsiteY0"/>
                              </a:cxn>
                              <a:cxn ang="0">
                                <a:pos x="connsiteX1" y="connsiteY1"/>
                              </a:cxn>
                              <a:cxn ang="0">
                                <a:pos x="connsiteX2" y="connsiteY2"/>
                              </a:cxn>
                              <a:cxn ang="0">
                                <a:pos x="connsiteX3" y="connsiteY3"/>
                              </a:cxn>
                            </a:cxnLst>
                            <a:rect l="l" t="t" r="r" b="b"/>
                            <a:pathLst>
                              <a:path w="312576" h="158621">
                                <a:moveTo>
                                  <a:pt x="0" y="158621"/>
                                </a:moveTo>
                                <a:cubicBezTo>
                                  <a:pt x="25659" y="110412"/>
                                  <a:pt x="51319" y="62204"/>
                                  <a:pt x="83976" y="55984"/>
                                </a:cubicBezTo>
                                <a:cubicBezTo>
                                  <a:pt x="116633" y="49764"/>
                                  <a:pt x="157843" y="130629"/>
                                  <a:pt x="195943" y="121298"/>
                                </a:cubicBezTo>
                                <a:cubicBezTo>
                                  <a:pt x="234043" y="111967"/>
                                  <a:pt x="290027" y="21771"/>
                                  <a:pt x="312576" y="0"/>
                                </a:cubicBez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53" name="文本框 15"/>
                        <wps:cNvSpPr txBox="1"/>
                        <wps:spPr>
                          <a:xfrm>
                            <a:off x="2228850" y="541020"/>
                            <a:ext cx="65786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F7BCE4">
                              <w:pPr>
                                <w:pStyle w:val="38"/>
                                <w:spacing w:before="0" w:beforeAutospacing="0" w:after="0" w:afterAutospacing="0"/>
                                <w:jc w:val="center"/>
                                <w:rPr>
                                  <w:sz w:val="21"/>
                                  <w:szCs w:val="21"/>
                                </w:rPr>
                              </w:pPr>
                              <w:r>
                                <w:rPr>
                                  <w:rFonts w:hint="eastAsia"/>
                                  <w:kern w:val="2"/>
                                  <w:sz w:val="21"/>
                                  <w:szCs w:val="21"/>
                                </w:rPr>
                                <w:t>损耗</w:t>
                              </w:r>
                              <w:r>
                                <w:rPr>
                                  <w:rFonts w:hint="eastAsia" w:ascii="Times New Roman" w:hAnsi="Times New Roman" w:cs="Times New Roman"/>
                                  <w:kern w:val="2"/>
                                  <w:sz w:val="21"/>
                                  <w:szCs w:val="21"/>
                                </w:rPr>
                                <w:t>180</w:t>
                              </w:r>
                            </w:p>
                          </w:txbxContent>
                        </wps:txbx>
                        <wps:bodyPr rot="0" spcFirstLastPara="0" vert="horz" wrap="square" lIns="0" tIns="0" rIns="0" bIns="0" numCol="1" spcCol="0" rtlCol="0" fromWordArt="0" anchor="t" anchorCtr="0" forceAA="0" compatLnSpc="1">
                          <a:noAutofit/>
                        </wps:bodyPr>
                      </wps:wsp>
                      <wps:wsp>
                        <wps:cNvPr id="154" name="直接箭头连接符 154"/>
                        <wps:cNvCnPr/>
                        <wps:spPr>
                          <a:xfrm>
                            <a:off x="2449195" y="2722245"/>
                            <a:ext cx="537845" cy="0"/>
                          </a:xfrm>
                          <a:prstGeom prst="straightConnector1">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55" name="直接箭头连接符 155"/>
                        <wps:cNvCnPr/>
                        <wps:spPr>
                          <a:xfrm>
                            <a:off x="1895475" y="3121660"/>
                            <a:ext cx="1092200" cy="0"/>
                          </a:xfrm>
                          <a:prstGeom prst="straightConnector1">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56" name="直接箭头连接符 156"/>
                        <wps:cNvCnPr/>
                        <wps:spPr>
                          <a:xfrm flipV="1">
                            <a:off x="1903730" y="2870200"/>
                            <a:ext cx="8255" cy="25971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 name="直接箭头连接符 157"/>
                        <wps:cNvCnPr/>
                        <wps:spPr>
                          <a:xfrm>
                            <a:off x="2985135" y="2733675"/>
                            <a:ext cx="635" cy="389890"/>
                          </a:xfrm>
                          <a:prstGeom prst="straightConnector1">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58" name="文本框 15"/>
                        <wps:cNvSpPr txBox="1"/>
                        <wps:spPr>
                          <a:xfrm>
                            <a:off x="2065655" y="2932430"/>
                            <a:ext cx="79502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0FA97">
                              <w:pPr>
                                <w:pStyle w:val="38"/>
                                <w:spacing w:before="0" w:beforeAutospacing="0" w:after="0" w:afterAutospacing="0"/>
                                <w:jc w:val="center"/>
                                <w:rPr>
                                  <w:rFonts w:ascii="Times New Roman" w:hAnsi="Times New Roman" w:cs="Times New Roman"/>
                                  <w:sz w:val="21"/>
                                  <w:szCs w:val="21"/>
                                </w:rPr>
                              </w:pPr>
                              <w:r>
                                <w:rPr>
                                  <w:rFonts w:hint="eastAsia" w:ascii="Times New Roman" w:hAnsi="Times New Roman" w:cs="Times New Roman"/>
                                  <w:sz w:val="21"/>
                                  <w:szCs w:val="21"/>
                                </w:rPr>
                                <w:t>循环量7776</w:t>
                              </w:r>
                            </w:p>
                          </w:txbxContent>
                        </wps:txbx>
                        <wps:bodyPr rot="0" spcFirstLastPara="0" vert="horz" wrap="square" lIns="0" tIns="0" rIns="0" bIns="0" numCol="1" spcCol="0" rtlCol="0" fromWordArt="0" anchor="t" anchorCtr="0" forceAA="0" compatLnSpc="1">
                          <a:noAutofit/>
                        </wps:bodyPr>
                      </wps:wsp>
                      <wps:wsp>
                        <wps:cNvPr id="159" name="直接箭头连接符 159"/>
                        <wps:cNvCnPr/>
                        <wps:spPr>
                          <a:xfrm>
                            <a:off x="2433320" y="1009015"/>
                            <a:ext cx="398145" cy="0"/>
                          </a:xfrm>
                          <a:prstGeom prst="straightConnector1">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60" name="直接箭头连接符 160"/>
                        <wps:cNvCnPr/>
                        <wps:spPr>
                          <a:xfrm>
                            <a:off x="1931035" y="1399540"/>
                            <a:ext cx="901065" cy="635"/>
                          </a:xfrm>
                          <a:prstGeom prst="straightConnector1">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61" name="直接箭头连接符 161"/>
                        <wps:cNvCnPr/>
                        <wps:spPr>
                          <a:xfrm flipV="1">
                            <a:off x="1946275" y="1140460"/>
                            <a:ext cx="8255" cy="25971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 name="直接箭头连接符 162"/>
                        <wps:cNvCnPr/>
                        <wps:spPr>
                          <a:xfrm>
                            <a:off x="2829560" y="1012190"/>
                            <a:ext cx="635" cy="389890"/>
                          </a:xfrm>
                          <a:prstGeom prst="straightConnector1">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63" name="文本框 15"/>
                        <wps:cNvSpPr txBox="1"/>
                        <wps:spPr>
                          <a:xfrm>
                            <a:off x="2006600" y="1199515"/>
                            <a:ext cx="79502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C2C5F6">
                              <w:pPr>
                                <w:pStyle w:val="38"/>
                                <w:spacing w:before="0" w:beforeAutospacing="0" w:after="0" w:afterAutospacing="0"/>
                                <w:jc w:val="center"/>
                                <w:rPr>
                                  <w:rFonts w:ascii="Times New Roman" w:hAnsi="Times New Roman" w:cs="Times New Roman"/>
                                  <w:sz w:val="21"/>
                                  <w:szCs w:val="21"/>
                                </w:rPr>
                              </w:pPr>
                              <w:r>
                                <w:rPr>
                                  <w:rFonts w:hint="eastAsia" w:ascii="Times New Roman" w:hAnsi="Times New Roman" w:cs="Times New Roman"/>
                                  <w:sz w:val="21"/>
                                  <w:szCs w:val="21"/>
                                </w:rPr>
                                <w:t>循环量35820</w:t>
                              </w:r>
                            </w:p>
                          </w:txbxContent>
                        </wps:txbx>
                        <wps:bodyPr rot="0" spcFirstLastPara="0" vert="horz" wrap="square" lIns="0" tIns="0" rIns="0" bIns="0" numCol="1" spcCol="0" rtlCol="0" fromWordArt="0" anchor="t" anchorCtr="0" forceAA="0" compatLnSpc="1">
                          <a:noAutofit/>
                        </wps:bodyPr>
                      </wps:wsp>
                      <wps:wsp>
                        <wps:cNvPr id="164" name="文本框 15"/>
                        <wps:cNvSpPr txBox="1"/>
                        <wps:spPr>
                          <a:xfrm>
                            <a:off x="1443990" y="1513840"/>
                            <a:ext cx="986790" cy="245745"/>
                          </a:xfrm>
                          <a:prstGeom prst="rect">
                            <a:avLst/>
                          </a:prstGeom>
                          <a:no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824819">
                              <w:pPr>
                                <w:pStyle w:val="38"/>
                                <w:spacing w:before="0" w:beforeAutospacing="0" w:after="0" w:afterAutospacing="0"/>
                                <w:jc w:val="center"/>
                              </w:pPr>
                              <w:r>
                                <w:rPr>
                                  <w:rFonts w:hint="eastAsia" w:ascii="Times New Roman" w:hAnsi="Times New Roman" w:cs="Times New Roman"/>
                                  <w:kern w:val="2"/>
                                  <w:sz w:val="21"/>
                                  <w:szCs w:val="21"/>
                                </w:rPr>
                                <w:t>初期雨水</w:t>
                              </w:r>
                            </w:p>
                          </w:txbxContent>
                        </wps:txbx>
                        <wps:bodyPr rot="0" spcFirstLastPara="0" vert="horz" wrap="square" lIns="0" tIns="0" rIns="0" bIns="0" numCol="1" spcCol="0" rtlCol="0" fromWordArt="0" anchor="t" anchorCtr="0" forceAA="0" compatLnSpc="1">
                          <a:noAutofit/>
                        </wps:bodyPr>
                      </wps:wsp>
                      <wps:wsp>
                        <wps:cNvPr id="165" name="直接箭头连接符 165"/>
                        <wps:cNvCnPr/>
                        <wps:spPr>
                          <a:xfrm>
                            <a:off x="2432050" y="1625600"/>
                            <a:ext cx="537845" cy="0"/>
                          </a:xfrm>
                          <a:prstGeom prst="straightConnector1">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66" name="文本框 15"/>
                        <wps:cNvSpPr txBox="1"/>
                        <wps:spPr>
                          <a:xfrm>
                            <a:off x="2500630" y="1443990"/>
                            <a:ext cx="393700"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597ED2">
                              <w:pPr>
                                <w:pStyle w:val="38"/>
                                <w:spacing w:before="0" w:beforeAutospacing="0" w:after="0" w:afterAutospacing="0"/>
                                <w:jc w:val="center"/>
                                <w:rPr>
                                  <w:rFonts w:ascii="Times New Roman" w:hAnsi="Times New Roman" w:cs="Times New Roman"/>
                                  <w:sz w:val="21"/>
                                  <w:szCs w:val="21"/>
                                </w:rPr>
                              </w:pPr>
                              <w:r>
                                <w:rPr>
                                  <w:rFonts w:hint="eastAsia" w:ascii="Times New Roman" w:hAnsi="Times New Roman" w:cs="Times New Roman"/>
                                  <w:kern w:val="2"/>
                                  <w:sz w:val="21"/>
                                  <w:szCs w:val="21"/>
                                </w:rPr>
                                <w:t>367</w:t>
                              </w:r>
                            </w:p>
                          </w:txbxContent>
                        </wps:txbx>
                        <wps:bodyPr rot="0" spcFirstLastPara="0" vert="horz" wrap="square" lIns="0" tIns="0" rIns="0" bIns="0" numCol="1" spcCol="0" rtlCol="0" fromWordArt="0" anchor="t" anchorCtr="0" forceAA="0" compatLnSpc="1">
                          <a:noAutofit/>
                        </wps:bodyPr>
                      </wps:wsp>
                    </wpc:wpc>
                  </a:graphicData>
                </a:graphic>
              </wp:inline>
            </w:drawing>
          </mc:Choice>
          <mc:Fallback>
            <w:pict>
              <v:group id="_x0000_s1026" o:spid="_x0000_s1026" o:spt="203" style="height:427.6pt;width:414.95pt;" coordsize="5269865,5430520" editas="canvas" o:gfxdata="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">
                <o:lock v:ext="edit" aspectratio="f"/>
                <v:shape id="_x0000_s1026" o:spid="_x0000_s1026" style="position:absolute;left:0;top:0;height:5430520;width:5269865;" filled="f" stroked="f" coordsize="21600,21600" o:gfxdata="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">
                  <v:fill on="f" focussize="0,0"/>
                  <v:stroke on="f"/>
                  <v:imagedata o:title=""/>
                  <o:lock v:ext="edit" aspectratio="t"/>
                </v:shape>
                <v:shape id="_x0000_s1026" o:spid="_x0000_s1026" o:spt="202" type="#_x0000_t202" style="position:absolute;left:1444625;top:288925;height:245745;width:983615;" filled="f" stroked="t" coordsize="21600,21600" o:gfxdata="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GGmIfWAAAABQEA&#10;AA8AAAAAAAAAAQAgAAAAIgAAAGRycy9kb3ducmV2LnhtbFBLAQIUABQAAAAIAIdO4kBE8HZIVQIA&#10;AJgEAAAOAAAAAAAAAAEAIAAAACUBAABkcnMvZTJvRG9jLnhtbFBLBQYAAAAABgAGAFkBAADsBQAA&#10;AAA=&#10;">
                  <v:fill on="f" focussize="0,0"/>
                  <v:stroke color="#000000 [3204]" joinstyle="round"/>
                  <v:imagedata o:title=""/>
                  <o:lock v:ext="edit" aspectratio="f"/>
                  <v:textbox inset="0mm,0mm,0mm,0mm">
                    <w:txbxContent>
                      <w:p w14:paraId="09A40196">
                        <w:pPr>
                          <w:spacing w:line="300" w:lineRule="exact"/>
                          <w:jc w:val="center"/>
                          <w:rPr>
                            <w:sz w:val="21"/>
                          </w:rPr>
                        </w:pPr>
                        <w:r>
                          <w:rPr>
                            <w:rFonts w:hint="eastAsia"/>
                            <w:sz w:val="21"/>
                          </w:rPr>
                          <w:t>员工生活用水</w:t>
                        </w:r>
                      </w:p>
                    </w:txbxContent>
                  </v:textbox>
                </v:shape>
                <v:shape id="文本框 15" o:spid="_x0000_s1026" o:spt="202" type="#_x0000_t202" style="position:absolute;left:1460500;top:5062855;height:245745;width:968375;" filled="f" stroked="t" coordsize="21600,21600" o:gfxdata="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GGmIfWAAAABQEAAA8AAAAAAAAA&#10;AQAgAAAAIgAAAGRycy9kb3ducmV2LnhtbFBLAQIUABQAAAAIAIdO4kAPZPD2TAIAAGkEAAAOAAAA&#10;AAAAAAEAIAAAACUBAABkcnMvZTJvRG9jLnhtbFBLBQYAAAAABgAGAFkBAADjBQAAAAA=&#10;">
                  <v:fill on="f" focussize="0,0"/>
                  <v:stroke color="#000000 [3204]" joinstyle="round"/>
                  <v:imagedata o:title=""/>
                  <o:lock v:ext="edit" aspectratio="f"/>
                  <v:textbox inset="0mm,0mm,0mm,0mm">
                    <w:txbxContent>
                      <w:p w14:paraId="77831722">
                        <w:pPr>
                          <w:pStyle w:val="38"/>
                          <w:spacing w:before="0" w:beforeAutospacing="0" w:after="0" w:afterAutospacing="0" w:line="320" w:lineRule="exact"/>
                          <w:jc w:val="center"/>
                          <w:rPr>
                            <w:sz w:val="21"/>
                            <w:szCs w:val="21"/>
                          </w:rPr>
                        </w:pPr>
                        <w:r>
                          <w:rPr>
                            <w:rFonts w:hint="eastAsia" w:ascii="Times New Roman" w:hAnsi="Times New Roman" w:cs="Times New Roman"/>
                            <w:kern w:val="2"/>
                            <w:sz w:val="21"/>
                            <w:szCs w:val="21"/>
                          </w:rPr>
                          <w:t>鸡饮用水</w:t>
                        </w:r>
                      </w:p>
                    </w:txbxContent>
                  </v:textbox>
                </v:shape>
                <v:shape id="文本框 15" o:spid="_x0000_s1026" o:spt="202" type="#_x0000_t202" style="position:absolute;left:1461135;top:4462145;height:245745;width:995680;" filled="f" stroked="t" coordsize="21600,21600" o:gfxdata="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wYaYh9YAAAAFAQAADwAAAAAAAAAB&#10;ACAAAAAiAAAAZHJzL2Rvd25yZXYueG1sUEsBAhQAFAAAAAgAh07iQI+TgVpLAgAAaQQAAA4AAAAA&#10;AAAAAQAgAAAAJQEAAGRycy9lMm9Eb2MueG1sUEsFBgAAAAAGAAYAWQEAAOIFAAAAAA==&#10;">
                  <v:fill on="f" focussize="0,0"/>
                  <v:stroke color="#000000 [3204]" joinstyle="round"/>
                  <v:imagedata o:title=""/>
                  <o:lock v:ext="edit" aspectratio="f"/>
                  <v:textbox inset="0mm,0mm,0mm,0mm">
                    <w:txbxContent>
                      <w:p w14:paraId="1E0FA8CE">
                        <w:pPr>
                          <w:pStyle w:val="38"/>
                          <w:spacing w:before="0" w:beforeAutospacing="0" w:after="0" w:afterAutospacing="0" w:line="320" w:lineRule="exact"/>
                          <w:jc w:val="center"/>
                        </w:pPr>
                        <w:r>
                          <w:rPr>
                            <w:rFonts w:hint="eastAsia" w:ascii="Times New Roman" w:hAnsi="Times New Roman" w:cs="Times New Roman"/>
                            <w:kern w:val="2"/>
                            <w:sz w:val="21"/>
                            <w:szCs w:val="21"/>
                          </w:rPr>
                          <w:t>除臭剂稀释用水</w:t>
                        </w:r>
                      </w:p>
                    </w:txbxContent>
                  </v:textbox>
                </v:shape>
                <v:shape id="文本框 15" o:spid="_x0000_s1026" o:spt="202" type="#_x0000_t202" style="position:absolute;left:1444625;top:3944620;height:245745;width:1012190;" filled="f" stroked="t" coordsize="21600,21600" o:gfxdata="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BhpiH1gAAAAUBAAAPAAAAAAAAAAEAIAAA&#10;ACIAAABkcnMvZG93bnJldi54bWxQSwECFAAUAAAACACHTuJAegmk/EcCAABqBAAADgAAAAAAAAAB&#10;ACAAAAAlAQAAZHJzL2Uyb0RvYy54bWxQSwUGAAAAAAYABgBZAQAA3gUAAAAA&#10;">
                  <v:fill on="f" focussize="0,0"/>
                  <v:stroke color="#000000 [3204]" joinstyle="round"/>
                  <v:imagedata o:title=""/>
                  <o:lock v:ext="edit" aspectratio="f"/>
                  <v:textbox inset="0mm,0mm,0mm,0mm">
                    <w:txbxContent>
                      <w:p w14:paraId="20A5CF23">
                        <w:pPr>
                          <w:pStyle w:val="38"/>
                          <w:spacing w:before="0" w:beforeAutospacing="0" w:after="0" w:afterAutospacing="0" w:line="320" w:lineRule="exact"/>
                          <w:jc w:val="center"/>
                        </w:pPr>
                        <w:r>
                          <w:rPr>
                            <w:rFonts w:hint="eastAsia" w:ascii="Times New Roman" w:hAnsi="Times New Roman" w:cs="Times New Roman"/>
                            <w:kern w:val="2"/>
                            <w:sz w:val="21"/>
                            <w:szCs w:val="21"/>
                          </w:rPr>
                          <w:t>消毒液稀释用水</w:t>
                        </w:r>
                      </w:p>
                    </w:txbxContent>
                  </v:textbox>
                </v:shape>
                <v:shape id="文本框 15" o:spid="_x0000_s1026" o:spt="202" type="#_x0000_t202" style="position:absolute;left:1441450;top:3433445;height:245745;width:1005840;" filled="f" stroked="t" coordsize="21600,21600" o:gfxdata="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GGmIfWAAAABQEAAA8AAAAAAAAAAQAg&#10;AAAAIgAAAGRycy9kb3ducmV2LnhtbFBLAQIUABQAAAAIAIdO4kDEego1SQIAAGoEAAAOAAAAAAAA&#10;AAEAIAAAACUBAABkcnMvZTJvRG9jLnhtbFBLBQYAAAAABgAGAFkBAADgBQAAAAA=&#10;">
                  <v:fill on="f" focussize="0,0"/>
                  <v:stroke color="#000000 [3204]" joinstyle="round"/>
                  <v:imagedata o:title=""/>
                  <o:lock v:ext="edit" aspectratio="f"/>
                  <v:textbox inset="0mm,0mm,0mm,0mm">
                    <w:txbxContent>
                      <w:p w14:paraId="16C409E8">
                        <w:pPr>
                          <w:pStyle w:val="38"/>
                          <w:spacing w:before="0" w:beforeAutospacing="0" w:after="0" w:afterAutospacing="0" w:line="320" w:lineRule="exact"/>
                          <w:jc w:val="center"/>
                        </w:pPr>
                        <w:r>
                          <w:rPr>
                            <w:rFonts w:hint="eastAsia" w:ascii="Times New Roman" w:hAnsi="Times New Roman" w:cs="Times New Roman"/>
                            <w:kern w:val="2"/>
                            <w:sz w:val="21"/>
                            <w:szCs w:val="21"/>
                          </w:rPr>
                          <w:t>降温湿帘补充水</w:t>
                        </w:r>
                      </w:p>
                    </w:txbxContent>
                  </v:textbox>
                </v:shape>
                <v:shape id="文本框 15" o:spid="_x0000_s1026" o:spt="202" type="#_x0000_t202" style="position:absolute;left:1433195;top:2051685;height:245745;width:995045;" filled="f" stroked="t" coordsize="21600,21600" o:gfxdata="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YaYh9YAAAAFAQAADwAAAAAAAAABACAA&#10;AAAiAAAAZHJzL2Rvd25yZXYueG1sUEsBAhQAFAAAAAgAh07iQA8iAtJIAgAAaQQAAA4AAAAAAAAA&#10;AQAgAAAAJQEAAGRycy9lMm9Eb2MueG1sUEsFBgAAAAAGAAYAWQEAAN8FAAAAAA==&#10;">
                  <v:fill on="f" focussize="0,0"/>
                  <v:stroke color="#000000 [3204]" joinstyle="round"/>
                  <v:imagedata o:title=""/>
                  <o:lock v:ext="edit" aspectratio="f"/>
                  <v:textbox inset="0mm,0mm,0mm,0mm">
                    <w:txbxContent>
                      <w:p w14:paraId="39131D26">
                        <w:pPr>
                          <w:pStyle w:val="38"/>
                          <w:spacing w:before="0" w:beforeAutospacing="0" w:after="0" w:afterAutospacing="0" w:line="300" w:lineRule="exact"/>
                          <w:jc w:val="center"/>
                        </w:pPr>
                        <w:r>
                          <w:rPr>
                            <w:rFonts w:hint="eastAsia" w:ascii="Times New Roman" w:hAnsi="Times New Roman" w:cs="Times New Roman"/>
                            <w:kern w:val="2"/>
                            <w:sz w:val="21"/>
                            <w:szCs w:val="21"/>
                          </w:rPr>
                          <w:t>冲洗</w:t>
                        </w:r>
                        <w:r>
                          <w:rPr>
                            <w:rFonts w:ascii="Times New Roman" w:hAnsi="Times New Roman" w:cs="Times New Roman"/>
                            <w:kern w:val="2"/>
                            <w:sz w:val="21"/>
                            <w:szCs w:val="21"/>
                          </w:rPr>
                          <w:t>用水</w:t>
                        </w:r>
                      </w:p>
                    </w:txbxContent>
                  </v:textbox>
                </v:shape>
                <v:shape id="文本框 15" o:spid="_x0000_s1026" o:spt="202" type="#_x0000_t202" style="position:absolute;left:1443990;top:815975;height:270510;width:995045;" filled="f" stroked="t" coordsize="21600,21600" o:gfxdata="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BhpiH1gAAAAUBAAAPAAAAAAAAAAEA&#10;IAAAACIAAABkcnMvZG93bnJldi54bWxQSwECFAAUAAAACACHTuJAWa9e80oCAABoBAAADgAAAAAA&#10;AAABACAAAAAlAQAAZHJzL2Uyb0RvYy54bWxQSwUGAAAAAAYABgBZAQAA4QUAAAAA&#10;">
                  <v:fill on="f" focussize="0,0"/>
                  <v:stroke color="#000000 [3204]" joinstyle="round"/>
                  <v:imagedata o:title=""/>
                  <o:lock v:ext="edit" aspectratio="f"/>
                  <v:textbox inset="0mm,0mm,0mm,0mm">
                    <w:txbxContent>
                      <w:p w14:paraId="03842A69">
                        <w:pPr>
                          <w:pStyle w:val="38"/>
                          <w:spacing w:before="0" w:beforeAutospacing="0" w:after="0" w:afterAutospacing="0" w:line="300" w:lineRule="exact"/>
                          <w:jc w:val="center"/>
                          <w:rPr>
                            <w:sz w:val="21"/>
                            <w:szCs w:val="21"/>
                          </w:rPr>
                        </w:pPr>
                        <w:r>
                          <w:rPr>
                            <w:rFonts w:hint="eastAsia" w:ascii="Times New Roman" w:hAnsi="Times New Roman" w:cs="Times New Roman"/>
                            <w:kern w:val="2"/>
                            <w:sz w:val="21"/>
                            <w:szCs w:val="21"/>
                          </w:rPr>
                          <w:t>除臭喷淋用水</w:t>
                        </w:r>
                      </w:p>
                    </w:txbxContent>
                  </v:textbox>
                </v:shape>
                <v:line id="_x0000_s1026" o:spid="_x0000_s1026" o:spt="20" style="position:absolute;left:908050;top:389255;height:4812665;width:7620;" filled="f" stroked="t" coordsize="21600,21600" o:gfxdata="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UKgqzWAAAABQEAAA8AAAAAAAAAAQAgAAAAIgAAAGRycy9kb3ducmV2LnhtbFBLAQIUABQA&#10;AAAIAIdO4kBgPLaW8gEAAMADAAAOAAAAAAAAAAEAIAAAACUBAABkcnMvZTJvRG9jLnhtbFBLBQYA&#10;AAAABgAGAFkBAACJBQAAAAA=&#10;">
                  <v:fill on="f" focussize="0,0"/>
                  <v:stroke color="#000000 [3213]" miterlimit="8" joinstyle="miter"/>
                  <v:imagedata o:title=""/>
                  <o:lock v:ext="edit" aspectratio="f"/>
                </v:line>
                <v:shape id="_x0000_s1026" o:spid="_x0000_s1026" o:spt="32" type="#_x0000_t32" style="position:absolute;left:915035;top:395605;height:0;width:537845;" filled="f" stroked="t" coordsize="21600,21600" o:gfxdata="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jMYNP0wAAAAUBAAAPAAAAAAAAAAEAIAAA&#10;ACIAAABkcnMvZG93bnJldi54bWxQSwECFAAUAAAACACHTuJAp/2XNhECAADsAwAADgAAAAAAAAAB&#10;ACAAAAAiAQAAZHJzL2Uyb0RvYy54bWxQSwUGAAAAAAYABgBZAQAApQUAAAAA&#10;">
                  <v:fill on="f" focussize="0,0"/>
                  <v:stroke color="#000000 [3213]" miterlimit="8" joinstyle="miter" endarrow="block"/>
                  <v:imagedata o:title=""/>
                  <o:lock v:ext="edit" aspectratio="f"/>
                </v:shape>
                <v:shape id="_x0000_s1026" o:spid="_x0000_s1026" o:spt="32" type="#_x0000_t32" style="position:absolute;left:915035;top:970280;height:0;width:537845;" filled="f" stroked="t" coordsize="21600,21600" o:gfxdata="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Mxg0/TAAAABQEAAA8AAAAAAAAAAQAgAAAA&#10;IgAAAGRycy9kb3ducmV2LnhtbFBLAQIUABQAAAAIAIdO4kAs9spSEAIAAOwDAAAOAAAAAAAAAAEA&#10;IAAAACIBAABkcnMvZTJvRG9jLnhtbFBLBQYAAAAABgAGAFkBAACkBQAAAAA=&#10;">
                  <v:fill on="f" focussize="0,0"/>
                  <v:stroke color="#000000 [3213]" miterlimit="8" joinstyle="miter" endarrow="block"/>
                  <v:imagedata o:title=""/>
                  <o:lock v:ext="edit" aspectratio="f"/>
                </v:shape>
                <v:shape id="_x0000_s1026" o:spid="_x0000_s1026" o:spt="32" type="#_x0000_t32" style="position:absolute;left:911860;top:2092960;height:0;width:537845;" filled="f" stroked="t" coordsize="21600,21600" o:gfxdata="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zGDT9MAAAAFAQAADwAAAAAAAAABACAA&#10;AAAiAAAAZHJzL2Rvd25yZXYueG1sUEsBAhQAFAAAAAgAh07iQBXZ/5ESAgAA7QMAAA4AAAAAAAAA&#10;AQAgAAAAIgEAAGRycy9lMm9Eb2MueG1sUEsFBgAAAAAGAAYAWQEAAKYFAAAAAA==&#10;">
                  <v:fill on="f" focussize="0,0"/>
                  <v:stroke color="#000000 [3213]" miterlimit="8" joinstyle="miter" endarrow="block"/>
                  <v:imagedata o:title=""/>
                  <o:lock v:ext="edit" aspectratio="f"/>
                </v:shape>
                <v:shape id="_x0000_s1026" o:spid="_x0000_s1026" o:spt="32" type="#_x0000_t32" style="position:absolute;left:911860;top:2774950;height:0;width:537845;" filled="f" stroked="t" coordsize="21600,21600" o:gfxdata="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Mxg0/TAAAABQEAAA8AAAAAAAAAAQAg&#10;AAAAIgAAAGRycy9kb3ducmV2LnhtbFBLAQIUABQAAAAIAIdO4kAHCFd4EwIAAO0DAAAOAAAAAAAA&#10;AAEAIAAAACIBAABkcnMvZTJvRG9jLnhtbFBLBQYAAAAABgAGAFkBAACnBQAAAAA=&#10;">
                  <v:fill on="f" focussize="0,0"/>
                  <v:stroke color="#000000 [3213]" miterlimit="8" joinstyle="miter" endarrow="block"/>
                  <v:imagedata o:title=""/>
                  <o:lock v:ext="edit" aspectratio="f"/>
                </v:shape>
                <v:shape id="_x0000_s1026" o:spid="_x0000_s1026" o:spt="32" type="#_x0000_t32" style="position:absolute;left:2429510;top:403860;height:0;width:537845;" filled="f" stroked="t" coordsize="21600,21600" o:gfxdata="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waV3z0gAAAAUBAAAPAAAAAAAAAAEAIAAAACIA&#10;AABkcnMvZG93bnJldi54bWxQSwECFAAUAAAACACHTuJA4slwcw8CAADpAwAADgAAAAAAAAABACAA&#10;AAAhAQAAZHJzL2Uyb0RvYy54bWxQSwUGAAAAAAYABgBZAQAAogUAAAAA&#10;">
                  <v:fill on="f" focussize="0,0"/>
                  <v:stroke color="#000000 [3213]" miterlimit="8" joinstyle="miter"/>
                  <v:imagedata o:title=""/>
                  <o:lock v:ext="edit" aspectratio="f"/>
                </v:shape>
                <v:shape id="_x0000_s1026" o:spid="_x0000_s1026" o:spt="32" type="#_x0000_t32" style="position:absolute;left:919480;top:4596765;height:0;width:537845;" filled="f" stroked="t" coordsize="21600,21600" o:gfxdata="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Mxg0/TAAAABQEAAA8AAAAAAAAAAQAg&#10;AAAAIgAAAGRycy9kb3ducmV2LnhtbFBLAQIUABQAAAAIAIdO4kDBeUw8EwIAAO0DAAAOAAAAAAAA&#10;AAEAIAAAACIBAABkcnMvZTJvRG9jLnhtbFBLBQYAAAAABgAGAFkBAACnBQAAAAA=&#10;">
                  <v:fill on="f" focussize="0,0"/>
                  <v:stroke color="#000000 [3213]" miterlimit="8" joinstyle="miter" endarrow="block"/>
                  <v:imagedata o:title=""/>
                  <o:lock v:ext="edit" aspectratio="f"/>
                </v:shape>
                <v:shape id="_x0000_s1026" o:spid="_x0000_s1026" o:spt="32" type="#_x0000_t32" style="position:absolute;left:911860;top:3559175;height:0;width:537845;" filled="f" stroked="t" coordsize="21600,21600" o:gfxdata="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4zGDT9MAAAAFAQAADwAAAAAAAAAB&#10;ACAAAAAiAAAAZHJzL2Rvd25yZXYueG1sUEsBAhQAFAAAAAgAh07iQLFh5WoVAgAA7QMAAA4AAAAA&#10;AAAAAQAgAAAAIgEAAGRycy9lMm9Eb2MueG1sUEsFBgAAAAAGAAYAWQEAAKkFAAAAAA==&#10;">
                  <v:fill on="f" focussize="0,0"/>
                  <v:stroke color="#000000 [3213]" miterlimit="8" joinstyle="miter" endarrow="block"/>
                  <v:imagedata o:title=""/>
                  <o:lock v:ext="edit" aspectratio="f"/>
                </v:shape>
                <v:shape id="_x0000_s1026" o:spid="_x0000_s1026" o:spt="32" type="#_x0000_t32" style="position:absolute;left:906780;top:4067810;height:0;width:537845;" filled="f" stroked="t" coordsize="21600,21600" o:gfxdata="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Mxg0/TAAAABQEAAA8AAAAAAAAAAQAgAAAA&#10;IgAAAGRycy9kb3ducmV2LnhtbFBLAQIUABQAAAAIAIdO4kDoiH/PEAIAAO0DAAAOAAAAAAAAAAEA&#10;IAAAACIBAABkcnMvZTJvRG9jLnhtbFBLBQYAAAAABgAGAFkBAACkBQAAAAA=&#10;">
                  <v:fill on="f" focussize="0,0"/>
                  <v:stroke color="#000000 [3213]" miterlimit="8" joinstyle="miter" endarrow="block"/>
                  <v:imagedata o:title=""/>
                  <o:lock v:ext="edit" aspectratio="f"/>
                </v:shape>
                <v:shape id="_x0000_s1026" o:spid="_x0000_s1026" o:spt="32" type="#_x0000_t32" style="position:absolute;left:2434590;top:912495;height:0;width:537845;" filled="f" stroked="t" coordsize="21600,21600" o:gfxdata="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BpXfPSAAAABQEAAA8AAAAAAAAAAQAgAAAA&#10;IgAAAGRycy9kb3ducmV2LnhtbFBLAQIUABQAAAAIAIdO4kBQUI6YEQIAAOkDAAAOAAAAAAAAAAEA&#10;IAAAACEBAABkcnMvZTJvRG9jLnhtbFBLBQYAAAAABgAGAFkBAACkBQAAAAA=&#10;">
                  <v:fill on="f" focussize="0,0"/>
                  <v:stroke color="#000000 [3213]" miterlimit="8" joinstyle="miter"/>
                  <v:imagedata o:title=""/>
                  <o:lock v:ext="edit" aspectratio="f"/>
                </v:shape>
                <v:shape id="_x0000_s1026" o:spid="_x0000_s1026" o:spt="32" type="#_x0000_t32" style="position:absolute;left:2428240;top:2182495;height:0;width:537845;" filled="f" stroked="t" coordsize="21600,21600" o:gfxdata="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Gld89IAAAAFAQAADwAAAAAAAAABACAAAAAi&#10;AAAAZHJzL2Rvd25yZXYueG1sUEsBAhQAFAAAAAgAh07iQK363yIQAgAA6gMAAA4AAAAAAAAAAQAg&#10;AAAAIQEAAGRycy9lMm9Eb2MueG1sUEsFBgAAAAAGAAYAWQEAAKMFAAAAAA==&#10;">
                  <v:fill on="f" focussize="0,0"/>
                  <v:stroke color="#000000 [3213]" miterlimit="8" joinstyle="miter"/>
                  <v:imagedata o:title=""/>
                  <o:lock v:ext="edit" aspectratio="f"/>
                </v:shape>
                <v:shape id="_x0000_s1026" o:spid="_x0000_s1026" o:spt="32" type="#_x0000_t32" style="position:absolute;left:2966000;top:1143992;height:0;width:537845;" filled="f" stroked="t" coordsize="21600,21600" o:gfxdata="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Mxg0/TAAAABQEAAA8AAAAAAAAA&#10;AQAgAAAAIgAAAGRycy9kb3ducmV2LnhtbFBLAQIUABQAAAAIAIdO4kCkxohCFgIAAO4DAAAOAAAA&#10;AAAAAAEAIAAAACIBAABkcnMvZTJvRG9jLnhtbFBLBQYAAAAABgAGAFkBAACqBQAAAAA=&#10;">
                  <v:fill on="f" focussize="0,0"/>
                  <v:stroke color="#000000 [3213]" miterlimit="8" joinstyle="miter" endarrow="block"/>
                  <v:imagedata o:title=""/>
                  <o:lock v:ext="edit" aspectratio="f"/>
                </v:shape>
                <v:shape id="_x0000_s1026" o:spid="_x0000_s1026" o:spt="32" type="#_x0000_t32" style="position:absolute;left:3766005;top:1534023;height:0;width:537845;rotation:5898240f;" filled="f" stroked="t" coordsize="21600,21600" o:gfxdata="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jN1qLVAAAABQEA&#10;AA8AAAAAAAAAAQAgAAAAIgAAAGRycy9kb3ducmV2LnhtbFBLAQIUABQAAAAIAIdO4kDV5h8uHQIA&#10;APwDAAAOAAAAAAAAAAEAIAAAACQBAABkcnMvZTJvRG9jLnhtbFBLBQYAAAAABgAGAFkBAACzBQAA&#10;AAA=&#10;">
                  <v:fill on="f" focussize="0,0"/>
                  <v:stroke color="#000000 [3213]" miterlimit="8" joinstyle="miter" endarrow="block"/>
                  <v:imagedata o:title=""/>
                  <o:lock v:ext="edit" aspectratio="f"/>
                </v:shape>
                <v:line id="_x0000_s1026" o:spid="_x0000_s1026" o:spt="20" style="position:absolute;left:2968625;top:396240;flip:x;height:1783715;width:3810;" filled="f" stroked="t" coordsize="21600,21600" o:gfxdata="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SaqIPWAAAABQEAAA8AAAAAAAAAAQAgAAAAIgAAAGRycy9kb3ducmV2Lnht&#10;bFBLAQIUABQAAAAIAIdO4kCzhH4c+wEAAMsDAAAOAAAAAAAAAAEAIAAAACUBAABkcnMvZTJvRG9j&#10;LnhtbFBLBQYAAAAABgAGAFkBAACSBQAAAAA=&#10;">
                  <v:fill on="f" focussize="0,0"/>
                  <v:stroke color="#000000 [3213]" miterlimit="8" joinstyle="miter"/>
                  <v:imagedata o:title=""/>
                  <o:lock v:ext="edit" aspectratio="f"/>
                </v:line>
                <v:shape id="文本框 15" o:spid="_x0000_s1026" o:spt="202" type="#_x0000_t202" style="position:absolute;left:3511445;top:1018685;height:245110;width:995045;" filled="f" stroked="t" coordsize="21600,21600" o:gfxdata="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YaYh9YAAAAFAQAADwAAAAAAAAABACAA&#10;AAAiAAAAZHJzL2Rvd25yZXYueG1sUEsBAhQAFAAAAAgAh07iQBJl3zFIAgAAaQQAAA4AAAAAAAAA&#10;AQAgAAAAJQEAAGRycy9lMm9Eb2MueG1sUEsFBgAAAAAGAAYAWQEAAN8FAAAAAA==&#10;">
                  <v:fill on="f" focussize="0,0"/>
                  <v:stroke color="#000000 [3204]" joinstyle="round"/>
                  <v:imagedata o:title=""/>
                  <o:lock v:ext="edit" aspectratio="f"/>
                  <v:textbox inset="0mm,0mm,0mm,0mm">
                    <w:txbxContent>
                      <w:p w14:paraId="691635D5">
                        <w:pPr>
                          <w:pStyle w:val="38"/>
                          <w:spacing w:before="0" w:beforeAutospacing="0" w:after="0" w:afterAutospacing="0" w:line="300" w:lineRule="exact"/>
                          <w:jc w:val="center"/>
                          <w:rPr>
                            <w:sz w:val="21"/>
                            <w:szCs w:val="21"/>
                          </w:rPr>
                        </w:pPr>
                        <w:r>
                          <w:rPr>
                            <w:rFonts w:hint="eastAsia" w:ascii="Times New Roman" w:hAnsi="Times New Roman" w:cs="Times New Roman"/>
                            <w:kern w:val="2"/>
                            <w:sz w:val="21"/>
                            <w:szCs w:val="21"/>
                          </w:rPr>
                          <w:t>厂内污水</w:t>
                        </w:r>
                        <w:r>
                          <w:rPr>
                            <w:rFonts w:ascii="Times New Roman" w:hAnsi="Times New Roman" w:cs="Times New Roman"/>
                            <w:kern w:val="2"/>
                            <w:sz w:val="21"/>
                            <w:szCs w:val="21"/>
                          </w:rPr>
                          <w:t>处理站</w:t>
                        </w:r>
                      </w:p>
                    </w:txbxContent>
                  </v:textbox>
                </v:shape>
                <v:shape id="文本框 15" o:spid="_x0000_s1026" o:spt="202" type="#_x0000_t202" style="position:absolute;left:3540564;top:1802818;height:244475;width:995045;"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CEUwbVAAAABQEAAA8AAAAAAAAAAQAgAAAAIgAAAGRycy9kb3ducmV2Lnht&#10;bFBLAQIUABQAAAAIAIdO4kBWynNYNQIAAEEEAAAOAAAAAAAAAAEAIAAAACQBAABkcnMvZTJvRG9j&#10;LnhtbFBLBQYAAAAABgAGAFkBAADLBQAAAAA=&#10;">
                  <v:fill on="f" focussize="0,0"/>
                  <v:stroke on="f" weight="0.5pt"/>
                  <v:imagedata o:title=""/>
                  <o:lock v:ext="edit" aspectratio="f"/>
                  <v:textbox inset="0mm,0mm,0mm,0mm">
                    <w:txbxContent>
                      <w:p w14:paraId="3BA001D8">
                        <w:pPr>
                          <w:pStyle w:val="38"/>
                          <w:spacing w:before="0" w:beforeAutospacing="0" w:after="0" w:afterAutospacing="0"/>
                          <w:jc w:val="center"/>
                          <w:rPr>
                            <w:sz w:val="21"/>
                            <w:szCs w:val="21"/>
                          </w:rPr>
                        </w:pPr>
                        <w:r>
                          <w:rPr>
                            <w:rFonts w:hint="eastAsia" w:ascii="Times New Roman" w:hAnsi="Times New Roman" w:cs="Times New Roman"/>
                            <w:kern w:val="2"/>
                            <w:sz w:val="21"/>
                            <w:szCs w:val="21"/>
                          </w:rPr>
                          <w:t>农田灌溉</w:t>
                        </w:r>
                      </w:p>
                    </w:txbxContent>
                  </v:textbox>
                </v:shape>
                <v:shape id="_x0000_s1026" o:spid="_x0000_s1026" o:spt="32" type="#_x0000_t32" style="position:absolute;left:373380;top:2773045;height:0;width:537845;" filled="f" stroked="t" coordsize="21600,21600" o:gfxdata="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Mxg0/TAAAABQEAAA8AAAAAAAAAAQAg&#10;AAAAIgAAAGRycy9kb3ducmV2LnhtbFBLAQIUABQAAAAIAIdO4kAne2WHEwIAAO0DAAAOAAAAAAAA&#10;AAEAIAAAACIBAABkcnMvZTJvRG9jLnhtbFBLBQYAAAAABgAGAFkBAACnBQAAAAA=&#10;">
                  <v:fill on="f" focussize="0,0"/>
                  <v:stroke color="#000000 [3213]" miterlimit="8" joinstyle="miter" endarrow="block"/>
                  <v:imagedata o:title=""/>
                  <o:lock v:ext="edit" aspectratio="f"/>
                </v:shape>
                <v:shape id="文本框 15" o:spid="_x0000_s1026" o:spt="202" type="#_x0000_t202" style="position:absolute;left:340360;top:2544445;height:245110;width:542290;"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AhFMG1QAAAAUBAAAPAAAAAAAAAAEAIAAAACIAAABkcnMvZG93bnJldi54bWxQ&#10;SwECFAAUAAAACACHTuJAyaIt5jMCAABABAAADgAAAAAAAAABACAAAAAkAQAAZHJzL2Uyb0RvYy54&#10;bWxQSwUGAAAAAAYABgBZAQAAyQUAAAAA&#10;">
                  <v:fill on="f" focussize="0,0"/>
                  <v:stroke on="f" weight="0.5pt"/>
                  <v:imagedata o:title=""/>
                  <o:lock v:ext="edit" aspectratio="f"/>
                  <v:textbox inset="0mm,0mm,0mm,0mm">
                    <w:txbxContent>
                      <w:p w14:paraId="064A27F1">
                        <w:pPr>
                          <w:pStyle w:val="38"/>
                          <w:spacing w:before="0" w:beforeAutospacing="0" w:after="0" w:afterAutospacing="0"/>
                          <w:jc w:val="center"/>
                          <w:rPr>
                            <w:sz w:val="21"/>
                            <w:szCs w:val="21"/>
                          </w:rPr>
                        </w:pPr>
                        <w:r>
                          <w:rPr>
                            <w:rFonts w:hint="eastAsia" w:ascii="Times New Roman" w:hAnsi="Times New Roman" w:cs="Times New Roman"/>
                            <w:kern w:val="2"/>
                            <w:sz w:val="21"/>
                            <w:szCs w:val="21"/>
                          </w:rPr>
                          <w:t>自来水</w:t>
                        </w:r>
                      </w:p>
                    </w:txbxContent>
                  </v:textbox>
                </v:shape>
                <v:shape id="文本框 15" o:spid="_x0000_s1026" o:spt="202" type="#_x0000_t202" style="position:absolute;left:316230;top:2774315;height:244475;width:558165;"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IRTBtUAAAAFAQAADwAAAAAAAAABACAAAAAiAAAAZHJzL2Rvd25yZXYueG1s&#10;UEsBAhQAFAAAAAgAh07iQLqliPM0AgAAQAQAAA4AAAAAAAAAAQAgAAAAJAEAAGRycy9lMm9Eb2Mu&#10;eG1sUEsFBgAAAAAGAAYAWQEAAMoFAAAAAA==&#10;">
                  <v:fill on="f" focussize="0,0"/>
                  <v:stroke on="f" weight="0.5pt"/>
                  <v:imagedata o:title=""/>
                  <o:lock v:ext="edit" aspectratio="f"/>
                  <v:textbox inset="0mm,0mm,0mm,0mm">
                    <w:txbxContent>
                      <w:p w14:paraId="2F7973B5">
                        <w:pPr>
                          <w:pStyle w:val="38"/>
                          <w:spacing w:before="0" w:beforeAutospacing="0" w:after="0" w:afterAutospacing="0"/>
                          <w:jc w:val="center"/>
                          <w:rPr>
                            <w:rFonts w:hint="eastAsia" w:eastAsia="宋体"/>
                            <w:sz w:val="21"/>
                            <w:szCs w:val="21"/>
                            <w:lang w:eastAsia="zh-CN"/>
                          </w:rPr>
                        </w:pPr>
                        <w:r>
                          <w:rPr>
                            <w:rFonts w:hint="eastAsia" w:ascii="Times New Roman" w:hAnsi="Times New Roman" w:cs="Times New Roman"/>
                            <w:kern w:val="2"/>
                            <w:sz w:val="21"/>
                            <w:szCs w:val="21"/>
                            <w:lang w:eastAsia="zh-CN"/>
                          </w:rPr>
                          <w:t>7986</w:t>
                        </w:r>
                      </w:p>
                    </w:txbxContent>
                  </v:textbox>
                </v:shape>
                <v:shape id="文本框 15" o:spid="_x0000_s1026" o:spt="202" type="#_x0000_t202" style="position:absolute;left:937260;top:207645;height:243840;width:488950;"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AhFMG1QAAAAUBAAAPAAAAAAAAAAEAIAAAACIAAABkcnMvZG93bnJldi54bWxQSwEC&#10;FAAUAAAACACHTuJAld4ozTACAAA/BAAADgAAAAAAAAABACAAAAAkAQAAZHJzL2Uyb0RvYy54bWxQ&#10;SwUGAAAAAAYABgBZAQAAxgUAAAAA&#10;">
                  <v:fill on="f" focussize="0,0"/>
                  <v:stroke on="f" weight="0.5pt"/>
                  <v:imagedata o:title=""/>
                  <o:lock v:ext="edit" aspectratio="f"/>
                  <v:textbox inset="0mm,0mm,0mm,0mm">
                    <w:txbxContent>
                      <w:p w14:paraId="1463DA29">
                        <w:pPr>
                          <w:pStyle w:val="38"/>
                          <w:spacing w:before="0" w:beforeAutospacing="0" w:after="0" w:afterAutospacing="0"/>
                          <w:jc w:val="center"/>
                          <w:rPr>
                            <w:rFonts w:ascii="Times New Roman" w:hAnsi="Times New Roman" w:cs="Times New Roman"/>
                            <w:sz w:val="21"/>
                            <w:szCs w:val="21"/>
                          </w:rPr>
                        </w:pPr>
                        <w:r>
                          <w:rPr>
                            <w:rFonts w:ascii="Times New Roman" w:hAnsi="Times New Roman" w:cs="Times New Roman"/>
                            <w:kern w:val="2"/>
                            <w:sz w:val="21"/>
                            <w:szCs w:val="21"/>
                          </w:rPr>
                          <w:t>300</w:t>
                        </w:r>
                      </w:p>
                    </w:txbxContent>
                  </v:textbox>
                </v:shape>
                <v:shape id="文本框 15" o:spid="_x0000_s1026" o:spt="202" type="#_x0000_t202" style="position:absolute;left:922020;top:773430;height:243205;width:489585;"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CEUwbVAAAABQEAAA8AAAAAAAAAAQAgAAAAIgAAAGRycy9kb3ducmV2LnhtbFBL&#10;AQIUABQAAAAIAIdO4kCwIbGfMgIAAD8EAAAOAAAAAAAAAAEAIAAAACQBAABkcnMvZTJvRG9jLnht&#10;bFBLBQYAAAAABgAGAFkBAADIBQAAAAA=&#10;">
                  <v:fill on="f" focussize="0,0"/>
                  <v:stroke on="f" weight="0.5pt"/>
                  <v:imagedata o:title=""/>
                  <o:lock v:ext="edit" aspectratio="f"/>
                  <v:textbox inset="0mm,0mm,0mm,0mm">
                    <w:txbxContent>
                      <w:p w14:paraId="66169344">
                        <w:pPr>
                          <w:pStyle w:val="38"/>
                          <w:spacing w:before="0" w:beforeAutospacing="0" w:after="0" w:afterAutospacing="0"/>
                          <w:jc w:val="center"/>
                          <w:rPr>
                            <w:rFonts w:ascii="Times New Roman" w:hAnsi="Times New Roman" w:cs="Times New Roman"/>
                            <w:sz w:val="21"/>
                            <w:szCs w:val="21"/>
                          </w:rPr>
                        </w:pPr>
                        <w:r>
                          <w:rPr>
                            <w:rFonts w:ascii="Times New Roman" w:hAnsi="Times New Roman" w:cs="Times New Roman"/>
                            <w:kern w:val="2"/>
                            <w:sz w:val="21"/>
                            <w:szCs w:val="21"/>
                          </w:rPr>
                          <w:t>204</w:t>
                        </w:r>
                      </w:p>
                    </w:txbxContent>
                  </v:textbox>
                </v:shape>
                <v:shape id="文本框 15" o:spid="_x0000_s1026" o:spt="202" type="#_x0000_t202" style="position:absolute;left:953770;top:1915795;height:243205;width:445770;"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IRTBtUAAAAFAQAADwAAAAAAAAABACAAAAAiAAAAZHJzL2Rvd25yZXYueG1sUEsB&#10;AhQAFAAAAAgAh07iQB5Ie0gxAgAAQAQAAA4AAAAAAAAAAQAgAAAAJAEAAGRycy9lMm9Eb2MueG1s&#10;UEsFBgAAAAAGAAYAWQEAAMcFAAAAAA==&#10;">
                  <v:fill on="f" focussize="0,0"/>
                  <v:stroke on="f" weight="0.5pt"/>
                  <v:imagedata o:title=""/>
                  <o:lock v:ext="edit" aspectratio="f"/>
                  <v:textbox inset="0mm,0mm,0mm,0mm">
                    <w:txbxContent>
                      <w:p w14:paraId="231C608B">
                        <w:pPr>
                          <w:pStyle w:val="38"/>
                          <w:spacing w:before="0" w:beforeAutospacing="0" w:after="0" w:afterAutospacing="0"/>
                          <w:jc w:val="center"/>
                          <w:rPr>
                            <w:rFonts w:ascii="Times New Roman" w:hAnsi="Times New Roman" w:cs="Times New Roman"/>
                            <w:sz w:val="21"/>
                            <w:szCs w:val="21"/>
                          </w:rPr>
                        </w:pPr>
                        <w:r>
                          <w:rPr>
                            <w:rFonts w:ascii="Times New Roman" w:hAnsi="Times New Roman" w:cs="Times New Roman"/>
                            <w:kern w:val="2"/>
                            <w:sz w:val="21"/>
                            <w:szCs w:val="21"/>
                          </w:rPr>
                          <w:t>543</w:t>
                        </w:r>
                      </w:p>
                    </w:txbxContent>
                  </v:textbox>
                </v:shape>
                <v:shape id="文本框 15" o:spid="_x0000_s1026" o:spt="202" type="#_x0000_t202" style="position:absolute;left:960755;top:3373120;height:242570;width:386715;"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AhFMG1QAAAAUBAAAPAAAAAAAAAAEAIAAAACIAAABkcnMvZG93bnJldi54bWxQ&#10;SwECFAAUAAAACACHTuJAv2RzQjMCAABABAAADgAAAAAAAAABACAAAAAkAQAAZHJzL2Uyb0RvYy54&#10;bWxQSwUGAAAAAAYABgBZAQAAyQUAAAAA&#10;">
                  <v:fill on="f" focussize="0,0"/>
                  <v:stroke on="f" weight="0.5pt"/>
                  <v:imagedata o:title=""/>
                  <o:lock v:ext="edit" aspectratio="f"/>
                  <v:textbox inset="0mm,0mm,0mm,0mm">
                    <w:txbxContent>
                      <w:p w14:paraId="243B020E">
                        <w:pPr>
                          <w:pStyle w:val="38"/>
                          <w:spacing w:before="0" w:beforeAutospacing="0" w:after="0" w:afterAutospacing="0" w:line="300" w:lineRule="exact"/>
                          <w:jc w:val="center"/>
                          <w:rPr>
                            <w:rFonts w:ascii="Times New Roman" w:hAnsi="Times New Roman" w:cs="Times New Roman"/>
                            <w:sz w:val="21"/>
                            <w:szCs w:val="21"/>
                          </w:rPr>
                        </w:pPr>
                        <w:r>
                          <w:rPr>
                            <w:rFonts w:ascii="Times New Roman" w:hAnsi="Times New Roman" w:cs="Times New Roman"/>
                            <w:kern w:val="2"/>
                            <w:sz w:val="21"/>
                            <w:szCs w:val="21"/>
                          </w:rPr>
                          <w:t>900</w:t>
                        </w:r>
                      </w:p>
                    </w:txbxContent>
                  </v:textbox>
                </v:shape>
                <v:shape id="文本框 15" o:spid="_x0000_s1026" o:spt="202" type="#_x0000_t202" style="position:absolute;left:994410;top:3877310;height:242570;width:367665;"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IRTBtUAAAAFAQAADwAAAAAAAAABACAAAAAiAAAAZHJzL2Rvd25yZXYueG1sUEsB&#10;AhQAFAAAAAgAh07iQOmQRSExAgAAQAQAAA4AAAAAAAAAAQAgAAAAJAEAAGRycy9lMm9Eb2MueG1s&#10;UEsFBgAAAAAGAAYAWQEAAMcFAAAAAA==&#10;">
                  <v:fill on="f" focussize="0,0"/>
                  <v:stroke on="f" weight="0.5pt"/>
                  <v:imagedata o:title=""/>
                  <o:lock v:ext="edit" aspectratio="f"/>
                  <v:textbox inset="0mm,0mm,0mm,0mm">
                    <w:txbxContent>
                      <w:p w14:paraId="5DC2CCD8">
                        <w:pPr>
                          <w:pStyle w:val="38"/>
                          <w:spacing w:before="0" w:beforeAutospacing="0" w:after="0" w:afterAutospacing="0"/>
                          <w:jc w:val="center"/>
                          <w:rPr>
                            <w:rFonts w:ascii="Times New Roman" w:hAnsi="Times New Roman" w:cs="Times New Roman"/>
                            <w:sz w:val="21"/>
                            <w:szCs w:val="21"/>
                          </w:rPr>
                        </w:pPr>
                        <w:r>
                          <w:rPr>
                            <w:rFonts w:ascii="Times New Roman" w:hAnsi="Times New Roman" w:cs="Times New Roman"/>
                            <w:kern w:val="2"/>
                            <w:sz w:val="21"/>
                            <w:szCs w:val="21"/>
                          </w:rPr>
                          <w:t>5</w:t>
                        </w:r>
                      </w:p>
                    </w:txbxContent>
                  </v:textbox>
                </v:shape>
                <v:shape id="文本框 15" o:spid="_x0000_s1026" o:spt="202" type="#_x0000_t202" style="position:absolute;left:967740;top:4417060;height:242570;width:385445;"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AhFMG1QAAAAUBAAAPAAAAAAAAAAEAIAAAACIAAABkcnMvZG93bnJldi54bWxQ&#10;SwECFAAUAAAACACHTuJAlhp2VDMCAABABAAADgAAAAAAAAABACAAAAAkAQAAZHJzL2Uyb0RvYy54&#10;bWxQSwUGAAAAAAYABgBZAQAAyQUAAAAA&#10;">
                  <v:fill on="f" focussize="0,0"/>
                  <v:stroke on="f" weight="0.5pt"/>
                  <v:imagedata o:title=""/>
                  <o:lock v:ext="edit" aspectratio="f"/>
                  <v:textbox inset="0mm,0mm,0mm,0mm">
                    <w:txbxContent>
                      <w:p w14:paraId="73B250E5">
                        <w:pPr>
                          <w:pStyle w:val="38"/>
                          <w:spacing w:before="0" w:beforeAutospacing="0" w:after="0" w:afterAutospacing="0"/>
                          <w:jc w:val="center"/>
                          <w:rPr>
                            <w:rFonts w:hint="default" w:ascii="Times New Roman" w:hAnsi="Times New Roman" w:eastAsia="宋体" w:cs="Times New Roman"/>
                            <w:sz w:val="21"/>
                            <w:szCs w:val="21"/>
                            <w:lang w:val="en-US" w:eastAsia="zh-CN"/>
                          </w:rPr>
                        </w:pPr>
                        <w:r>
                          <w:rPr>
                            <w:rFonts w:hint="eastAsia" w:ascii="Times New Roman" w:hAnsi="Times New Roman" w:cs="Times New Roman"/>
                            <w:kern w:val="2"/>
                            <w:sz w:val="21"/>
                            <w:szCs w:val="21"/>
                            <w:lang w:val="en-US" w:eastAsia="zh-CN"/>
                          </w:rPr>
                          <w:t>300</w:t>
                        </w:r>
                      </w:p>
                    </w:txbxContent>
                  </v:textbox>
                </v:shape>
                <v:shape id="_x0000_s1026" o:spid="_x0000_s1026" o:spt="100" style="position:absolute;left:1950720;top:3786505;height:158115;width:312420;v-text-anchor:middle;" filled="f" stroked="t" coordsize="312576,158621" o:gfxdata="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" path="m0,158621c25659,110412,51319,62204,83976,55984c116633,49764,157843,130629,195943,121298c234043,111967,290027,21771,312576,0e">
                  <v:path o:connectlocs="0,158115;83934,55805;195845,120911;312420,0" o:connectangles="0,0,0,0"/>
                  <v:fill on="f" focussize="0,0"/>
                  <v:stroke color="#000000 [3213]" miterlimit="8" joinstyle="miter" endarrow="block"/>
                  <v:imagedata o:title=""/>
                  <o:lock v:ext="edit" aspectratio="f"/>
                </v:shape>
                <v:shape id="文本框 15" o:spid="_x0000_s1026" o:spt="202" type="#_x0000_t202" style="position:absolute;left:2242820;top:3695065;height:240665;width:545465;"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IRTBtUAAAAFAQAADwAAAAAAAAABACAAAAAiAAAAZHJzL2Rvd25yZXYueG1s&#10;UEsBAhQAFAAAAAgAh07iQGMKlf00AgAAQQQAAA4AAAAAAAAAAQAgAAAAJAEAAGRycy9lMm9Eb2Mu&#10;eG1sUEsFBgAAAAAGAAYAWQEAAMoFAAAAAA==&#10;">
                  <v:fill on="f" focussize="0,0"/>
                  <v:stroke on="f" weight="0.5pt"/>
                  <v:imagedata o:title=""/>
                  <o:lock v:ext="edit" aspectratio="f"/>
                  <v:textbox inset="0mm,0mm,0mm,0mm">
                    <w:txbxContent>
                      <w:p w14:paraId="14247F79">
                        <w:pPr>
                          <w:pStyle w:val="38"/>
                          <w:spacing w:before="0" w:beforeAutospacing="0" w:after="0" w:afterAutospacing="0"/>
                          <w:jc w:val="center"/>
                          <w:rPr>
                            <w:rFonts w:ascii="Times New Roman" w:hAnsi="Times New Roman" w:cs="Times New Roman"/>
                            <w:sz w:val="21"/>
                            <w:szCs w:val="21"/>
                          </w:rPr>
                        </w:pPr>
                        <w:r>
                          <w:rPr>
                            <w:rFonts w:ascii="Times New Roman" w:hAnsi="Times New Roman" w:cs="Times New Roman"/>
                            <w:kern w:val="2"/>
                            <w:sz w:val="21"/>
                            <w:szCs w:val="21"/>
                          </w:rPr>
                          <w:t>损耗5</w:t>
                        </w:r>
                      </w:p>
                    </w:txbxContent>
                  </v:textbox>
                </v:shape>
                <v:shape id="_x0000_s1026" o:spid="_x0000_s1026" o:spt="100" style="position:absolute;left:1950720;top:4312285;height:158115;width:312420;v-text-anchor:middle;" filled="f" stroked="t" coordsize="312576,158621" o:gfxdata="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" path="m0,158621c25659,110412,51319,62204,83976,55984c116633,49764,157843,130629,195943,121298c234043,111967,290027,21771,312576,0e">
                  <v:path o:connectlocs="0,158115;83934,55805;195845,120911;312420,0" o:connectangles="0,0,0,0"/>
                  <v:fill on="f" focussize="0,0"/>
                  <v:stroke color="#000000 [3213]" miterlimit="8" joinstyle="miter" endarrow="block"/>
                  <v:imagedata o:title=""/>
                  <o:lock v:ext="edit" aspectratio="f"/>
                </v:shape>
                <v:shape id="文本框 15" o:spid="_x0000_s1026" o:spt="202" type="#_x0000_t202" style="position:absolute;left:2198370;top:4209415;height:240665;width:657860;"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IRTBtUAAAAFAQAADwAAAAAAAAABACAAAAAiAAAAZHJzL2Rvd25yZXYueG1s&#10;UEsBAhQAFAAAAAgAh07iQBApzLw0AgAAQQQAAA4AAAAAAAAAAQAgAAAAJAEAAGRycy9lMm9Eb2Mu&#10;eG1sUEsFBgAAAAAGAAYAWQEAAMoFAAAAAA==&#10;">
                  <v:fill on="f" focussize="0,0"/>
                  <v:stroke on="f" weight="0.5pt"/>
                  <v:imagedata o:title=""/>
                  <o:lock v:ext="edit" aspectratio="f"/>
                  <v:textbox inset="0mm,0mm,0mm,0mm">
                    <w:txbxContent>
                      <w:p w14:paraId="702D250D">
                        <w:pPr>
                          <w:pStyle w:val="38"/>
                          <w:spacing w:before="0" w:beforeAutospacing="0" w:after="0" w:afterAutospacing="0"/>
                          <w:jc w:val="center"/>
                          <w:rPr>
                            <w:rFonts w:hint="default" w:ascii="Times New Roman" w:hAnsi="Times New Roman" w:eastAsia="宋体" w:cs="Times New Roman"/>
                            <w:sz w:val="21"/>
                            <w:szCs w:val="21"/>
                            <w:lang w:val="en-US" w:eastAsia="zh-CN"/>
                          </w:rPr>
                        </w:pPr>
                        <w:r>
                          <w:rPr>
                            <w:rFonts w:ascii="Times New Roman" w:hAnsi="Times New Roman" w:cs="Times New Roman"/>
                            <w:kern w:val="2"/>
                            <w:sz w:val="21"/>
                            <w:szCs w:val="21"/>
                          </w:rPr>
                          <w:t>损耗</w:t>
                        </w:r>
                        <w:r>
                          <w:rPr>
                            <w:rFonts w:hint="eastAsia" w:ascii="Times New Roman" w:hAnsi="Times New Roman" w:cs="Times New Roman"/>
                            <w:kern w:val="2"/>
                            <w:sz w:val="21"/>
                            <w:szCs w:val="21"/>
                            <w:lang w:val="en-US" w:eastAsia="zh-CN"/>
                          </w:rPr>
                          <w:t>300</w:t>
                        </w:r>
                      </w:p>
                    </w:txbxContent>
                  </v:textbox>
                </v:shape>
                <v:shape id="_x0000_s1026" o:spid="_x0000_s1026" o:spt="100" style="position:absolute;left:1950720;top:3275330;height:158115;width:312420;v-text-anchor:middle;" filled="f" stroked="t" coordsize="312576,158621" o:gfxdata="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" path="m0,158621c25659,110412,51319,62204,83976,55984c116633,49764,157843,130629,195943,121298c234043,111967,290027,21771,312576,0e">
                  <v:path o:connectlocs="0,158115;83934,55805;195845,120911;312420,0" o:connectangles="0,0,0,0"/>
                  <v:fill on="f" focussize="0,0"/>
                  <v:stroke color="#000000 [3213]" miterlimit="8" joinstyle="miter" endarrow="block"/>
                  <v:imagedata o:title=""/>
                  <o:lock v:ext="edit" aspectratio="f"/>
                </v:shape>
                <v:shape id="文本框 15" o:spid="_x0000_s1026" o:spt="202" type="#_x0000_t202" style="position:absolute;left:2231390;top:3155950;height:240665;width:657860;"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AhFMG1QAAAAUBAAAPAAAAAAAAAAEAIAAAACIAAABkcnMvZG93bnJldi54bWxQ&#10;SwECFAAUAAAACACHTuJA6vsNxDMCAABBBAAADgAAAAAAAAABACAAAAAkAQAAZHJzL2Uyb0RvYy54&#10;bWxQSwUGAAAAAAYABgBZAQAAyQUAAAAA&#10;">
                  <v:fill on="f" focussize="0,0"/>
                  <v:stroke on="f" weight="0.5pt"/>
                  <v:imagedata o:title=""/>
                  <o:lock v:ext="edit" aspectratio="f"/>
                  <v:textbox inset="0mm,0mm,0mm,0mm">
                    <w:txbxContent>
                      <w:p w14:paraId="28A7694E">
                        <w:pPr>
                          <w:pStyle w:val="38"/>
                          <w:spacing w:before="0" w:beforeAutospacing="0" w:after="0" w:afterAutospacing="0"/>
                          <w:jc w:val="center"/>
                          <w:rPr>
                            <w:rFonts w:ascii="Times New Roman" w:hAnsi="Times New Roman" w:cs="Times New Roman"/>
                            <w:sz w:val="21"/>
                            <w:szCs w:val="21"/>
                          </w:rPr>
                        </w:pPr>
                        <w:r>
                          <w:rPr>
                            <w:rFonts w:ascii="Times New Roman" w:hAnsi="Times New Roman" w:cs="Times New Roman"/>
                            <w:kern w:val="2"/>
                            <w:sz w:val="21"/>
                            <w:szCs w:val="21"/>
                          </w:rPr>
                          <w:t>损耗900</w:t>
                        </w:r>
                      </w:p>
                    </w:txbxContent>
                  </v:textbox>
                </v:shape>
                <v:shape id="_x0000_s1026" o:spid="_x0000_s1026" o:spt="100" style="position:absolute;left:1936115;top:4907280;height:158115;width:312420;v-text-anchor:middle;" filled="f" stroked="t" coordsize="312576,158621" o:gfxdata="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" path="m0,158621c25659,110412,51319,62204,83976,55984c116633,49764,157843,130629,195943,121298c234043,111967,290027,21771,312576,0e">
                  <v:path o:connectlocs="0,158115;83934,55805;195845,120911;312420,0" o:connectangles="0,0,0,0"/>
                  <v:fill on="f" focussize="0,0"/>
                  <v:stroke color="#000000 [3213]" miterlimit="8" joinstyle="miter" endarrow="block"/>
                  <v:imagedata o:title=""/>
                  <o:lock v:ext="edit" aspectratio="f"/>
                </v:shape>
                <v:shape id="文本框 15" o:spid="_x0000_s1026" o:spt="202" type="#_x0000_t202" style="position:absolute;left:2272665;top:4743450;height:347345;width:897890;"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IRTBtUAAAAFAQAADwAAAAAAAAABACAAAAAiAAAAZHJzL2Rvd25yZXYueG1sUEsB&#10;AhQAFAAAAAgAh07iQN/C1VUxAgAAQQQAAA4AAAAAAAAAAQAgAAAAJAEAAGRycy9lMm9Eb2MueG1s&#10;UEsFBgAAAAAGAAYAWQEAAMcFAAAAAA==&#10;">
                  <v:fill on="f" focussize="0,0"/>
                  <v:stroke on="f" weight="0.5pt"/>
                  <v:imagedata o:title=""/>
                  <o:lock v:ext="edit" aspectratio="f"/>
                  <v:textbox inset="0mm,0mm,0mm,0mm">
                    <w:txbxContent>
                      <w:p w14:paraId="0388F8CB">
                        <w:pPr>
                          <w:pStyle w:val="38"/>
                          <w:spacing w:before="0" w:beforeAutospacing="0" w:after="0" w:afterAutospacing="0" w:line="260" w:lineRule="exact"/>
                          <w:jc w:val="center"/>
                          <w:rPr>
                            <w:rFonts w:ascii="Times New Roman" w:hAnsi="Times New Roman" w:cs="Times New Roman"/>
                            <w:sz w:val="21"/>
                            <w:szCs w:val="21"/>
                          </w:rPr>
                        </w:pPr>
                        <w:r>
                          <w:rPr>
                            <w:rFonts w:ascii="Times New Roman" w:hAnsi="Times New Roman" w:cs="Times New Roman"/>
                            <w:kern w:val="2"/>
                            <w:sz w:val="21"/>
                            <w:szCs w:val="21"/>
                          </w:rPr>
                          <w:t>生物消耗或进入鸡粪4500</w:t>
                        </w:r>
                      </w:p>
                    </w:txbxContent>
                  </v:textbox>
                </v:shape>
                <v:shape id="_x0000_s1026" o:spid="_x0000_s1026" o:spt="100" style="position:absolute;left:1945640;top:1901825;height:158115;width:312420;v-text-anchor:middle;" filled="f" stroked="t" coordsize="312576,158621" o:gfxdata="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" path="m0,158621c25659,110412,51319,62204,83976,55984c116633,49764,157843,130629,195943,121298c234043,111967,290027,21771,312576,0e">
                  <v:path o:connectlocs="0,158115;83934,55805;195845,120911;312420,0" o:connectangles="0,0,0,0"/>
                  <v:fill on="f" focussize="0,0"/>
                  <v:stroke color="#000000 [3213]" miterlimit="8" joinstyle="miter" endarrow="block"/>
                  <v:imagedata o:title=""/>
                  <o:lock v:ext="edit" aspectratio="f"/>
                </v:shape>
                <v:shape id="文本框 15" o:spid="_x0000_s1026" o:spt="202" type="#_x0000_t202" style="position:absolute;left:2211070;top:1790700;height:240665;width:777875;"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CEUwbVAAAABQEAAA8AAAAAAAAAAQAgAAAAIgAAAGRycy9kb3ducmV2LnhtbFBL&#10;AQIUABQAAAAIAIdO4kB8ILcXMgIAAEEEAAAOAAAAAAAAAAEAIAAAACQBAABkcnMvZTJvRG9jLnht&#10;bFBLBQYAAAAABgAGAFkBAADIBQAAAAA=&#10;">
                  <v:fill on="f" focussize="0,0"/>
                  <v:stroke on="f" weight="0.5pt"/>
                  <v:imagedata o:title=""/>
                  <o:lock v:ext="edit" aspectratio="f"/>
                  <v:textbox inset="0mm,0mm,0mm,0mm">
                    <w:txbxContent>
                      <w:p w14:paraId="5EF9D81B">
                        <w:pPr>
                          <w:pStyle w:val="38"/>
                          <w:spacing w:before="0" w:beforeAutospacing="0" w:after="0" w:afterAutospacing="0"/>
                          <w:jc w:val="center"/>
                          <w:rPr>
                            <w:rFonts w:ascii="Times New Roman" w:hAnsi="Times New Roman" w:cs="Times New Roman"/>
                            <w:sz w:val="21"/>
                            <w:szCs w:val="21"/>
                          </w:rPr>
                        </w:pPr>
                        <w:r>
                          <w:rPr>
                            <w:rFonts w:ascii="Times New Roman" w:hAnsi="Times New Roman" w:cs="Times New Roman"/>
                            <w:kern w:val="2"/>
                            <w:sz w:val="21"/>
                            <w:szCs w:val="21"/>
                          </w:rPr>
                          <w:t>损耗</w:t>
                        </w:r>
                        <w:r>
                          <w:rPr>
                            <w:rFonts w:hint="eastAsia" w:ascii="Times New Roman" w:hAnsi="Times New Roman" w:cs="Times New Roman"/>
                            <w:kern w:val="2"/>
                            <w:sz w:val="21"/>
                            <w:szCs w:val="21"/>
                          </w:rPr>
                          <w:t>182.6</w:t>
                        </w:r>
                      </w:p>
                    </w:txbxContent>
                  </v:textbox>
                </v:shape>
                <v:shape id="_x0000_s1026" o:spid="_x0000_s1026" o:spt="100" style="position:absolute;left:2026285;top:125730;height:158115;width:312420;v-text-anchor:middle;" filled="f" stroked="t" coordsize="312576,158621" o:gfxdata="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" path="m0,158621c25659,110412,51319,62204,83976,55984c116633,49764,157843,130629,195943,121298c234043,111967,290027,21771,312576,0e">
                  <v:path o:connectlocs="0,158115;83934,55805;195845,120911;312420,0" o:connectangles="0,0,0,0"/>
                  <v:fill on="f" focussize="0,0"/>
                  <v:stroke color="#000000 [3213]" miterlimit="8" joinstyle="miter" endarrow="block"/>
                  <v:imagedata o:title=""/>
                  <o:lock v:ext="edit" aspectratio="f"/>
                </v:shape>
                <v:shape id="文本框 15" o:spid="_x0000_s1026" o:spt="202" type="#_x0000_t202" style="position:absolute;left:2249170;top:22860;height:240665;width:657860;"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IRTBtUAAAAFAQAADwAAAAAAAAABACAAAAAiAAAAZHJzL2Rvd25yZXYueG1sUEsBAhQA&#10;FAAAAAgAh07iQOAhtJ4uAgAAPwQAAA4AAAAAAAAAAQAgAAAAJAEAAGRycy9lMm9Eb2MueG1sUEsF&#10;BgAAAAAGAAYAWQEAAMQFAAAAAA==&#10;">
                  <v:fill on="f" focussize="0,0"/>
                  <v:stroke on="f" weight="0.5pt"/>
                  <v:imagedata o:title=""/>
                  <o:lock v:ext="edit" aspectratio="f"/>
                  <v:textbox inset="0mm,0mm,0mm,0mm">
                    <w:txbxContent>
                      <w:p w14:paraId="55721C8A">
                        <w:pPr>
                          <w:pStyle w:val="38"/>
                          <w:spacing w:before="0" w:beforeAutospacing="0" w:after="0" w:afterAutospacing="0"/>
                          <w:jc w:val="center"/>
                          <w:rPr>
                            <w:sz w:val="21"/>
                            <w:szCs w:val="21"/>
                          </w:rPr>
                        </w:pPr>
                        <w:r>
                          <w:rPr>
                            <w:rFonts w:hint="eastAsia"/>
                            <w:kern w:val="2"/>
                            <w:sz w:val="21"/>
                            <w:szCs w:val="21"/>
                          </w:rPr>
                          <w:t>损耗</w:t>
                        </w:r>
                        <w:r>
                          <w:rPr>
                            <w:rFonts w:ascii="Times New Roman" w:hAnsi="Times New Roman" w:cs="Times New Roman"/>
                            <w:kern w:val="2"/>
                            <w:sz w:val="21"/>
                            <w:szCs w:val="21"/>
                          </w:rPr>
                          <w:t>60</w:t>
                        </w:r>
                      </w:p>
                    </w:txbxContent>
                  </v:textbox>
                </v:shape>
                <v:shape id="文本框 15" o:spid="_x0000_s1026" o:spt="202" type="#_x0000_t202" style="position:absolute;left:2470785;top:2014855;height:242570;width:429895;"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AhFMG1QAAAAUBAAAPAAAAAAAAAAEAIAAAACIAAABkcnMvZG93bnJldi54bWxQ&#10;SwECFAAUAAAACACHTuJApBiwJjMCAABBBAAADgAAAAAAAAABACAAAAAkAQAAZHJzL2Uyb0RvYy54&#10;bWxQSwUGAAAAAAYABgBZAQAAyQUAAAAA&#10;">
                  <v:fill on="f" focussize="0,0"/>
                  <v:stroke on="f" weight="0.5pt"/>
                  <v:imagedata o:title=""/>
                  <o:lock v:ext="edit" aspectratio="f"/>
                  <v:textbox inset="0mm,0mm,0mm,0mm">
                    <w:txbxContent>
                      <w:p w14:paraId="3C2D9ABC">
                        <w:pPr>
                          <w:pStyle w:val="38"/>
                          <w:spacing w:before="0" w:beforeAutospacing="0" w:after="0" w:afterAutospacing="0"/>
                          <w:jc w:val="center"/>
                          <w:rPr>
                            <w:rFonts w:ascii="Times New Roman" w:hAnsi="Times New Roman" w:cs="Times New Roman"/>
                            <w:sz w:val="21"/>
                            <w:szCs w:val="21"/>
                          </w:rPr>
                        </w:pPr>
                        <w:r>
                          <w:rPr>
                            <w:rFonts w:ascii="Times New Roman" w:hAnsi="Times New Roman" w:cs="Times New Roman"/>
                            <w:kern w:val="2"/>
                            <w:sz w:val="21"/>
                            <w:szCs w:val="21"/>
                          </w:rPr>
                          <w:t>730.4</w:t>
                        </w:r>
                      </w:p>
                    </w:txbxContent>
                  </v:textbox>
                </v:shape>
                <v:shape id="文本框 15" o:spid="_x0000_s1026" o:spt="202" type="#_x0000_t202" style="position:absolute;left:2453640;top:743585;height:242570;width:394335;"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AhFMG1QAAAAUBAAAPAAAAAAAAAAEAIAAAACIAAABkcnMvZG93bnJldi54&#10;bWxQSwECFAAUAAAACACHTuJACmc9ejYCAABABAAADgAAAAAAAAABACAAAAAkAQAAZHJzL2Uyb0Rv&#10;Yy54bWxQSwUGAAAAAAYABgBZAQAAzAUAAAAA&#10;">
                  <v:fill on="f" focussize="0,0"/>
                  <v:stroke on="f" weight="0.5pt"/>
                  <v:imagedata o:title=""/>
                  <o:lock v:ext="edit" aspectratio="f"/>
                  <v:textbox inset="0mm,0mm,0mm,0mm">
                    <w:txbxContent>
                      <w:p w14:paraId="71722CD0">
                        <w:pPr>
                          <w:pStyle w:val="38"/>
                          <w:spacing w:before="0" w:beforeAutospacing="0" w:after="0" w:afterAutospacing="0" w:line="300" w:lineRule="exact"/>
                          <w:jc w:val="center"/>
                          <w:rPr>
                            <w:rFonts w:ascii="Times New Roman" w:hAnsi="Times New Roman" w:cs="Times New Roman"/>
                            <w:sz w:val="21"/>
                            <w:szCs w:val="21"/>
                          </w:rPr>
                        </w:pPr>
                        <w:r>
                          <w:rPr>
                            <w:rFonts w:ascii="Times New Roman" w:hAnsi="Times New Roman" w:cs="Times New Roman"/>
                            <w:kern w:val="2"/>
                            <w:sz w:val="21"/>
                            <w:szCs w:val="21"/>
                          </w:rPr>
                          <w:t>24</w:t>
                        </w:r>
                      </w:p>
                    </w:txbxContent>
                  </v:textbox>
                </v:shape>
                <v:shape id="文本框 15" o:spid="_x0000_s1026" o:spt="202" type="#_x0000_t202" style="position:absolute;left:2493010;top:226695;height:242570;width:393700;"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AhFMG1QAAAAUBAAAPAAAAAAAAAAEAIAAAACIAAABkcnMvZG93bnJldi54bWxQ&#10;SwECFAAUAAAACACHTuJAzarepDMCAABABAAADgAAAAAAAAABACAAAAAkAQAAZHJzL2Uyb0RvYy54&#10;bWxQSwUGAAAAAAYABgBZAQAAyQUAAAAA&#10;">
                  <v:fill on="f" focussize="0,0"/>
                  <v:stroke on="f" weight="0.5pt"/>
                  <v:imagedata o:title=""/>
                  <o:lock v:ext="edit" aspectratio="f"/>
                  <v:textbox inset="0mm,0mm,0mm,0mm">
                    <w:txbxContent>
                      <w:p w14:paraId="4E748BFA">
                        <w:pPr>
                          <w:pStyle w:val="38"/>
                          <w:spacing w:before="0" w:beforeAutospacing="0" w:after="0" w:afterAutospacing="0"/>
                          <w:jc w:val="center"/>
                          <w:rPr>
                            <w:rFonts w:ascii="Times New Roman" w:hAnsi="Times New Roman" w:cs="Times New Roman"/>
                            <w:sz w:val="21"/>
                            <w:szCs w:val="21"/>
                          </w:rPr>
                        </w:pPr>
                        <w:r>
                          <w:rPr>
                            <w:rFonts w:ascii="Times New Roman" w:hAnsi="Times New Roman" w:cs="Times New Roman"/>
                            <w:kern w:val="2"/>
                            <w:sz w:val="21"/>
                            <w:szCs w:val="21"/>
                          </w:rPr>
                          <w:t>240</w:t>
                        </w:r>
                      </w:p>
                    </w:txbxContent>
                  </v:textbox>
                </v:shape>
                <v:shape id="文本框 15" o:spid="_x0000_s1026" o:spt="202" type="#_x0000_t202" style="position:absolute;left:2955925;top:934085;height:241935;width:559435;"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IRTBtUAAAAFAQAADwAAAAAAAAABACAAAAAiAAAAZHJzL2Rvd25yZXYueG1sUEsB&#10;AhQAFAAAAAgAh07iQFWxcGUxAgAAQAQAAA4AAAAAAAAAAQAgAAAAJAEAAGRycy9lMm9Eb2MueG1s&#10;UEsFBgAAAAAGAAYAWQEAAMcFAAAAAA==&#10;">
                  <v:fill on="f" focussize="0,0"/>
                  <v:stroke on="f" weight="0.5pt"/>
                  <v:imagedata o:title=""/>
                  <o:lock v:ext="edit" aspectratio="f"/>
                  <v:textbox inset="0mm,0mm,0mm,0mm">
                    <w:txbxContent>
                      <w:p w14:paraId="74899F49">
                        <w:pPr>
                          <w:pStyle w:val="38"/>
                          <w:spacing w:before="0" w:beforeAutospacing="0" w:after="0" w:afterAutospacing="0"/>
                          <w:jc w:val="center"/>
                          <w:rPr>
                            <w:rFonts w:ascii="Times New Roman" w:hAnsi="Times New Roman" w:cs="Times New Roman"/>
                            <w:sz w:val="21"/>
                            <w:szCs w:val="21"/>
                          </w:rPr>
                        </w:pPr>
                        <w:r>
                          <w:rPr>
                            <w:rFonts w:hint="eastAsia" w:ascii="Times New Roman" w:hAnsi="Times New Roman" w:cs="Times New Roman"/>
                            <w:kern w:val="2"/>
                            <w:sz w:val="21"/>
                            <w:szCs w:val="21"/>
                          </w:rPr>
                          <w:t>136</w:t>
                        </w:r>
                        <w:r>
                          <w:rPr>
                            <w:rFonts w:ascii="Times New Roman" w:hAnsi="Times New Roman" w:cs="Times New Roman"/>
                            <w:kern w:val="2"/>
                            <w:sz w:val="21"/>
                            <w:szCs w:val="21"/>
                          </w:rPr>
                          <w:t>1.4</w:t>
                        </w:r>
                      </w:p>
                    </w:txbxContent>
                  </v:textbox>
                </v:shape>
                <v:shape id="文本框 15" o:spid="_x0000_s1026" o:spt="202" type="#_x0000_t202" style="position:absolute;left:3975100;top:1431925;height:241300;width:550545;"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AhFMG1QAAAAUBAAAPAAAAAAAAAAEAIAAAACIAAABkcnMvZG93bnJldi54bWxQ&#10;SwECFAAUAAAACACHTuJAiPRNpzMCAABBBAAADgAAAAAAAAABACAAAAAkAQAAZHJzL2Uyb0RvYy54&#10;bWxQSwUGAAAAAAYABgBZAQAAyQUAAAAA&#10;">
                  <v:fill on="f" focussize="0,0"/>
                  <v:stroke on="f" weight="0.5pt"/>
                  <v:imagedata o:title=""/>
                  <o:lock v:ext="edit" aspectratio="f"/>
                  <v:textbox inset="0mm,0mm,0mm,0mm">
                    <w:txbxContent>
                      <w:p w14:paraId="4B8D3561">
                        <w:pPr>
                          <w:pStyle w:val="38"/>
                          <w:spacing w:before="0" w:beforeAutospacing="0" w:after="0" w:afterAutospacing="0"/>
                          <w:jc w:val="center"/>
                          <w:rPr>
                            <w:rFonts w:ascii="Times New Roman" w:hAnsi="Times New Roman" w:cs="Times New Roman"/>
                            <w:sz w:val="21"/>
                            <w:szCs w:val="21"/>
                          </w:rPr>
                        </w:pPr>
                        <w:r>
                          <w:rPr>
                            <w:rFonts w:hint="eastAsia" w:ascii="Times New Roman" w:hAnsi="Times New Roman" w:cs="Times New Roman"/>
                            <w:kern w:val="2"/>
                            <w:sz w:val="21"/>
                            <w:szCs w:val="21"/>
                          </w:rPr>
                          <w:t>136</w:t>
                        </w:r>
                        <w:r>
                          <w:rPr>
                            <w:rFonts w:ascii="Times New Roman" w:hAnsi="Times New Roman" w:cs="Times New Roman"/>
                            <w:kern w:val="2"/>
                            <w:sz w:val="21"/>
                            <w:szCs w:val="21"/>
                          </w:rPr>
                          <w:t>1.4</w:t>
                        </w:r>
                      </w:p>
                    </w:txbxContent>
                  </v:textbox>
                </v:shape>
                <v:shape id="_x0000_s1026" o:spid="_x0000_s1026" o:spt="32" type="#_x0000_t32" style="position:absolute;left:1903730;top:2292350;flip:x y;height:349885;width:8255;" filled="f" stroked="t" coordsize="21600,21600" o:gfxdata="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3A1GLW&#10;AAAABQEAAA8AAAAAAAAAAQAgAAAAIgAAAGRycy9kb3ducmV2LnhtbFBLAQIUABQAAAAIAIdO4kB2&#10;KkkDIgIAAAUEAAAOAAAAAAAAAAEAIAAAACUBAABkcnMvZTJvRG9jLnhtbFBLBQYAAAAABgAGAFkB&#10;AAC5BQAAAAA=&#10;">
                  <v:fill on="f" focussize="0,0"/>
                  <v:stroke color="#000000 [3213]" miterlimit="8" joinstyle="miter" endarrow="block"/>
                  <v:imagedata o:title=""/>
                  <o:lock v:ext="edit" aspectratio="f"/>
                </v:shape>
                <v:shape id="文本框 15" o:spid="_x0000_s1026" o:spt="202" type="#_x0000_t202" style="position:absolute;left:1339215;top:2388235;height:243840;width:584200;"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AhFMG1QAAAAUBAAAPAAAAAAAAAAEAIAAAACIAAABkcnMvZG93bnJldi54bWxQ&#10;SwECFAAUAAAACACHTuJA78tq+TMCAABBBAAADgAAAAAAAAABACAAAAAkAQAAZHJzL2Uyb0RvYy54&#10;bWxQSwUGAAAAAAYABgBZAQAAyQUAAAAA&#10;">
                  <v:fill on="f" focussize="0,0"/>
                  <v:stroke on="f" weight="0.5pt"/>
                  <v:imagedata o:title=""/>
                  <o:lock v:ext="edit" aspectratio="f"/>
                  <v:textbox inset="0mm,0mm,0mm,0mm">
                    <w:txbxContent>
                      <w:p w14:paraId="7A436F90">
                        <w:pPr>
                          <w:pStyle w:val="38"/>
                          <w:spacing w:before="0" w:beforeAutospacing="0" w:after="0" w:afterAutospacing="0"/>
                          <w:jc w:val="center"/>
                          <w:rPr>
                            <w:rFonts w:ascii="Times New Roman" w:hAnsi="Times New Roman" w:cs="Times New Roman"/>
                            <w:sz w:val="21"/>
                            <w:szCs w:val="21"/>
                          </w:rPr>
                        </w:pPr>
                        <w:r>
                          <w:rPr>
                            <w:rFonts w:hint="eastAsia" w:ascii="Times New Roman" w:hAnsi="Times New Roman" w:cs="Times New Roman"/>
                            <w:kern w:val="2"/>
                            <w:sz w:val="21"/>
                            <w:szCs w:val="21"/>
                          </w:rPr>
                          <w:t>浓水370</w:t>
                        </w:r>
                      </w:p>
                    </w:txbxContent>
                  </v:textbox>
                </v:shape>
                <v:shape id="文本框 15" o:spid="_x0000_s1026" o:spt="202" type="#_x0000_t202" style="position:absolute;left:976630;top:4998720;height:242570;width:385445;"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CEUwbVAAAABQEAAA8AAAAAAAAAAQAgAAAAIgAAAGRycy9kb3ducmV2LnhtbFBL&#10;AQIUABQAAAAIAIdO4kAvVlACMgIAAEAEAAAOAAAAAAAAAAEAIAAAACQBAABkcnMvZTJvRG9jLnht&#10;bFBLBQYAAAAABgAGAFkBAADIBQAAAAA=&#10;">
                  <v:fill on="f" focussize="0,0"/>
                  <v:stroke on="f" weight="0.5pt"/>
                  <v:imagedata o:title=""/>
                  <o:lock v:ext="edit" aspectratio="f"/>
                  <v:textbox inset="0mm,0mm,0mm,0mm">
                    <w:txbxContent>
                      <w:p w14:paraId="745EDA91">
                        <w:pPr>
                          <w:pStyle w:val="38"/>
                          <w:spacing w:before="0" w:beforeAutospacing="0" w:after="0" w:afterAutospacing="0"/>
                          <w:jc w:val="center"/>
                          <w:rPr>
                            <w:rFonts w:hint="default" w:ascii="Times New Roman" w:hAnsi="Times New Roman" w:eastAsia="宋体" w:cs="Times New Roman"/>
                            <w:sz w:val="21"/>
                            <w:szCs w:val="21"/>
                            <w:lang w:val="en-US" w:eastAsia="zh-CN"/>
                          </w:rPr>
                        </w:pPr>
                        <w:r>
                          <w:rPr>
                            <w:rFonts w:hint="eastAsia" w:ascii="Times New Roman" w:hAnsi="Times New Roman" w:cs="Times New Roman"/>
                            <w:kern w:val="2"/>
                            <w:sz w:val="21"/>
                            <w:szCs w:val="21"/>
                            <w:lang w:val="en-US" w:eastAsia="zh-CN"/>
                          </w:rPr>
                          <w:t>4500</w:t>
                        </w:r>
                      </w:p>
                    </w:txbxContent>
                  </v:textbox>
                </v:shape>
                <v:shape id="_x0000_s1026" o:spid="_x0000_s1026" o:spt="32" type="#_x0000_t32" style="position:absolute;left:916940;top:5202555;height:0;width:537845;" filled="f" stroked="t" coordsize="21600,21600" o:gfxdata="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Mxg0/TAAAABQEAAA8AAAAAAAAAAQAg&#10;AAAAIgAAAGRycy9kb3ducmV2LnhtbFBLAQIUABQAAAAIAIdO4kD/gaMFEwIAAO0DAAAOAAAAAAAA&#10;AAEAIAAAACIBAABkcnMvZTJvRG9jLnhtbFBLBQYAAAAABgAGAFkBAACnBQAAAAA=&#10;">
                  <v:fill on="f" focussize="0,0"/>
                  <v:stroke color="#000000 [3213]" miterlimit="8" joinstyle="miter" endarrow="block"/>
                  <v:imagedata o:title=""/>
                  <o:lock v:ext="edit" aspectratio="f"/>
                </v:shape>
                <v:shape id="文本框 15" o:spid="_x0000_s1026" o:spt="202" type="#_x0000_t202" style="position:absolute;left:1452880;top:2631440;height:245110;width:995045;" filled="f" stroked="t" coordsize="21600,21600" o:gfxdata="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GGmIfWAAAABQEAAA8AAAAAAAAAAQAg&#10;AAAAIgAAAGRycy9kb3ducmV2LnhtbFBLAQIUABQAAAAIAIdO4kAq0T0wSQIAAGkEAAAOAAAAAAAA&#10;AAEAIAAAACUBAABkcnMvZTJvRG9jLnhtbFBLBQYAAAAABgAGAFkBAADgBQAAAAA=&#10;">
                  <v:fill on="f" focussize="0,0"/>
                  <v:stroke color="#000000 [3204]" joinstyle="round"/>
                  <v:imagedata o:title=""/>
                  <o:lock v:ext="edit" aspectratio="f"/>
                  <v:textbox inset="0mm,0mm,0mm,0mm">
                    <w:txbxContent>
                      <w:p w14:paraId="34130549">
                        <w:pPr>
                          <w:pStyle w:val="38"/>
                          <w:spacing w:before="0" w:beforeAutospacing="0" w:after="0" w:afterAutospacing="0" w:line="320" w:lineRule="exact"/>
                          <w:jc w:val="center"/>
                          <w:rPr>
                            <w:color w:val="000000" w:themeColor="text1"/>
                            <w14:textFill>
                              <w14:solidFill>
                                <w14:schemeClr w14:val="tx1"/>
                              </w14:solidFill>
                            </w14:textFill>
                          </w:rPr>
                        </w:pPr>
                        <w:r>
                          <w:rPr>
                            <w:rFonts w:hint="eastAsia" w:ascii="Times New Roman" w:hAnsi="Times New Roman" w:cs="Times New Roman"/>
                            <w:color w:val="000000" w:themeColor="text1"/>
                            <w:kern w:val="2"/>
                            <w:sz w:val="21"/>
                            <w:szCs w:val="21"/>
                            <w14:textFill>
                              <w14:solidFill>
                                <w14:schemeClr w14:val="tx1"/>
                              </w14:solidFill>
                            </w14:textFill>
                          </w:rPr>
                          <w:t>锅炉供热补水</w:t>
                        </w:r>
                      </w:p>
                    </w:txbxContent>
                  </v:textbox>
                </v:shape>
                <v:shape id="文本框 15" o:spid="_x0000_s1026" o:spt="202" type="#_x0000_t202" style="position:absolute;left:967740;top:2584450;height:243205;width:445770;"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IRTBtUAAAAFAQAADwAAAAAAAAABACAAAAAiAAAAZHJzL2Rvd25yZXYueG1sUEsB&#10;AhQAFAAAAAgAh07iQJ1qs7UxAgAAQAQAAA4AAAAAAAAAAQAgAAAAJAEAAGRycy9lMm9Eb2MueG1s&#10;UEsFBgAAAAAGAAYAWQEAAMcFAAAAAA==&#10;">
                  <v:fill on="f" focussize="0,0"/>
                  <v:stroke on="f" weight="0.5pt"/>
                  <v:imagedata o:title=""/>
                  <o:lock v:ext="edit" aspectratio="f"/>
                  <v:textbox inset="0mm,0mm,0mm,0mm">
                    <w:txbxContent>
                      <w:p w14:paraId="074BE26A">
                        <w:pPr>
                          <w:pStyle w:val="38"/>
                          <w:spacing w:before="0" w:beforeAutospacing="0" w:after="0" w:afterAutospacing="0"/>
                          <w:jc w:val="center"/>
                          <w:rPr>
                            <w:rFonts w:ascii="Times New Roman" w:hAnsi="Times New Roman" w:cs="Times New Roman"/>
                            <w:sz w:val="21"/>
                            <w:szCs w:val="21"/>
                          </w:rPr>
                        </w:pPr>
                        <w:r>
                          <w:rPr>
                            <w:rFonts w:hint="eastAsia" w:ascii="Times New Roman" w:hAnsi="Times New Roman" w:cs="Times New Roman"/>
                            <w:kern w:val="2"/>
                            <w:sz w:val="21"/>
                            <w:szCs w:val="21"/>
                          </w:rPr>
                          <w:t>1234</w:t>
                        </w:r>
                      </w:p>
                    </w:txbxContent>
                  </v:textbox>
                </v:shape>
                <v:shape id="_x0000_s1026" o:spid="_x0000_s1026" o:spt="100" style="position:absolute;left:1980565;top:2477135;height:158115;width:312420;v-text-anchor:middle;" filled="f" stroked="t" coordsize="312576,158621" o:gfxdata="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" path="m0,158621c25659,110412,51319,62204,83976,55984c116633,49764,157843,130629,195943,121298c234043,111967,290027,21771,312576,0e">
                  <v:path o:connectlocs="0,158115;83934,55805;195845,120911;312420,0" o:connectangles="0,0,0,0"/>
                  <v:fill on="f" focussize="0,0"/>
                  <v:stroke color="#000000 [3213]" miterlimit="8" joinstyle="miter" endarrow="block"/>
                  <v:imagedata o:title=""/>
                  <o:lock v:ext="edit" aspectratio="f"/>
                </v:shape>
                <v:shape id="文本框 15" o:spid="_x0000_s1026" o:spt="202" type="#_x0000_t202" style="position:absolute;left:2252345;top:2389505;height:240665;width:657860;"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IRTBtUAAAAFAQAADwAAAAAAAAABACAAAAAiAAAAZHJzL2Rvd25yZXYueG1s&#10;UEsBAhQAFAAAAAgAh07iQPXRVHA0AgAAQgQAAA4AAAAAAAAAAQAgAAAAJAEAAGRycy9lMm9Eb2Mu&#10;eG1sUEsFBgAAAAAGAAYAWQEAAMoFAAAAAA==&#10;">
                  <v:fill on="f" focussize="0,0"/>
                  <v:stroke on="f" weight="0.5pt"/>
                  <v:imagedata o:title=""/>
                  <o:lock v:ext="edit" aspectratio="f"/>
                  <v:textbox inset="0mm,0mm,0mm,0mm">
                    <w:txbxContent>
                      <w:p w14:paraId="523ED78C">
                        <w:pPr>
                          <w:pStyle w:val="38"/>
                          <w:spacing w:before="0" w:beforeAutospacing="0" w:after="0" w:afterAutospacing="0"/>
                          <w:jc w:val="center"/>
                          <w:rPr>
                            <w:rFonts w:ascii="Times New Roman" w:hAnsi="Times New Roman" w:cs="Times New Roman"/>
                            <w:sz w:val="21"/>
                            <w:szCs w:val="21"/>
                          </w:rPr>
                        </w:pPr>
                        <w:r>
                          <w:rPr>
                            <w:rFonts w:ascii="Times New Roman" w:hAnsi="Times New Roman" w:cs="Times New Roman"/>
                            <w:kern w:val="2"/>
                            <w:sz w:val="21"/>
                            <w:szCs w:val="21"/>
                          </w:rPr>
                          <w:t>损耗</w:t>
                        </w:r>
                        <w:r>
                          <w:rPr>
                            <w:rFonts w:hint="eastAsia" w:ascii="Times New Roman" w:hAnsi="Times New Roman" w:cs="Times New Roman"/>
                            <w:kern w:val="2"/>
                            <w:sz w:val="21"/>
                            <w:szCs w:val="21"/>
                          </w:rPr>
                          <w:t>864</w:t>
                        </w:r>
                      </w:p>
                    </w:txbxContent>
                  </v:textbox>
                </v:shape>
                <v:shape id="_x0000_s1026" o:spid="_x0000_s1026" o:spt="100" style="position:absolute;left:1972945;top:668655;height:158115;width:312420;v-text-anchor:middle;" filled="f" stroked="t" coordsize="312576,158621" o:gfxdata="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" path="m0,158621c25659,110412,51319,62204,83976,55984c116633,49764,157843,130629,195943,121298c234043,111967,290027,21771,312576,0e">
                  <v:path o:connectlocs="0,158115;83934,55805;195845,120911;312420,0" o:connectangles="0,0,0,0"/>
                  <v:fill on="f" focussize="0,0"/>
                  <v:stroke color="#000000 [3213]" miterlimit="8" joinstyle="miter" endarrow="block"/>
                  <v:imagedata o:title=""/>
                  <o:lock v:ext="edit" aspectratio="f"/>
                </v:shape>
                <v:shape id="文本框 15" o:spid="_x0000_s1026" o:spt="202" type="#_x0000_t202" style="position:absolute;left:2228850;top:541020;height:240665;width:657860;"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IRTBtUAAAAFAQAADwAAAAAAAAABACAAAAAiAAAAZHJzL2Rvd25yZXYueG1sUEsB&#10;AhQAFAAAAAgAh07iQMNs1dQxAgAAQQQAAA4AAAAAAAAAAQAgAAAAJAEAAGRycy9lMm9Eb2MueG1s&#10;UEsFBgAAAAAGAAYAWQEAAMcFAAAAAA==&#10;">
                  <v:fill on="f" focussize="0,0"/>
                  <v:stroke on="f" weight="0.5pt"/>
                  <v:imagedata o:title=""/>
                  <o:lock v:ext="edit" aspectratio="f"/>
                  <v:textbox inset="0mm,0mm,0mm,0mm">
                    <w:txbxContent>
                      <w:p w14:paraId="77F7BCE4">
                        <w:pPr>
                          <w:pStyle w:val="38"/>
                          <w:spacing w:before="0" w:beforeAutospacing="0" w:after="0" w:afterAutospacing="0"/>
                          <w:jc w:val="center"/>
                          <w:rPr>
                            <w:sz w:val="21"/>
                            <w:szCs w:val="21"/>
                          </w:rPr>
                        </w:pPr>
                        <w:r>
                          <w:rPr>
                            <w:rFonts w:hint="eastAsia"/>
                            <w:kern w:val="2"/>
                            <w:sz w:val="21"/>
                            <w:szCs w:val="21"/>
                          </w:rPr>
                          <w:t>损耗</w:t>
                        </w:r>
                        <w:r>
                          <w:rPr>
                            <w:rFonts w:hint="eastAsia" w:ascii="Times New Roman" w:hAnsi="Times New Roman" w:cs="Times New Roman"/>
                            <w:kern w:val="2"/>
                            <w:sz w:val="21"/>
                            <w:szCs w:val="21"/>
                          </w:rPr>
                          <w:t>180</w:t>
                        </w:r>
                      </w:p>
                    </w:txbxContent>
                  </v:textbox>
                </v:shape>
                <v:shape id="_x0000_s1026" o:spid="_x0000_s1026" o:spt="32" type="#_x0000_t32" style="position:absolute;left:2449195;top:2722245;height:0;width:537845;" filled="f" stroked="t" coordsize="21600,21600" o:gfxdata="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aV3z0gAAAAUBAAAPAAAAAAAAAAEAIAAA&#10;ACIAAABkcnMvZG93bnJldi54bWxQSwECFAAUAAAACACHTuJAtEzKFxICAADsAwAADgAAAAAAAAAB&#10;ACAAAAAhAQAAZHJzL2Uyb0RvYy54bWxQSwUGAAAAAAYABgBZAQAApQUAAAAA&#10;">
                  <v:fill on="f" focussize="0,0"/>
                  <v:stroke color="#000000 [3213]" miterlimit="8" joinstyle="miter"/>
                  <v:imagedata o:title=""/>
                  <o:lock v:ext="edit" aspectratio="f"/>
                </v:shape>
                <v:shape id="_x0000_s1026" o:spid="_x0000_s1026" o:spt="32" type="#_x0000_t32" style="position:absolute;left:1895475;top:3121660;height:0;width:1092200;" filled="f" stroked="t" coordsize="21600,21600" o:gfxdata="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aV3z0gAAAAUBAAAPAAAAAAAAAAEAIAAA&#10;ACIAAABkcnMvZG93bnJldi54bWxQSwECFAAUAAAACACHTuJA/SscYhICAADtAwAADgAAAAAAAAAB&#10;ACAAAAAhAQAAZHJzL2Uyb0RvYy54bWxQSwUGAAAAAAYABgBZAQAApQUAAAAA&#10;">
                  <v:fill on="f" focussize="0,0"/>
                  <v:stroke color="#000000 [3213]" miterlimit="8" joinstyle="miter"/>
                  <v:imagedata o:title=""/>
                  <o:lock v:ext="edit" aspectratio="f"/>
                </v:shape>
                <v:shape id="_x0000_s1026" o:spid="_x0000_s1026" o:spt="32" type="#_x0000_t32" style="position:absolute;left:1903730;top:2870200;flip:y;height:259715;width:8255;" filled="f" stroked="t" coordsize="21600,21600" o:gfxdata="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aWfmdQAAAAFAQAADwAA&#10;AAAAAAABACAAAAAiAAAAZHJzL2Rvd25yZXYueG1sUEsBAhQAFAAAAAgAh07iQKYM/xoaAgAA/QMA&#10;AA4AAAAAAAAAAQAgAAAAIwEAAGRycy9lMm9Eb2MueG1sUEsFBgAAAAAGAAYAWQEAAK8FAAAAAA==&#10;">
                  <v:fill on="f" focussize="0,0"/>
                  <v:stroke color="#000000 [3213]" miterlimit="8" joinstyle="miter" endarrow="block"/>
                  <v:imagedata o:title=""/>
                  <o:lock v:ext="edit" aspectratio="f"/>
                </v:shape>
                <v:shape id="_x0000_s1026" o:spid="_x0000_s1026" o:spt="32" type="#_x0000_t32" style="position:absolute;left:2985135;top:2733675;height:389890;width:635;" filled="f" stroked="t" coordsize="21600,21600" o:gfxdata="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Gld89IAAAAFAQAADwAAAAAAAAABACAA&#10;AAAiAAAAZHJzL2Rvd25yZXYueG1sUEsBAhQAFAAAAAgAh07iQHcwTssTAgAA7gMAAA4AAAAAAAAA&#10;AQAgAAAAIQEAAGRycy9lMm9Eb2MueG1sUEsFBgAAAAAGAAYAWQEAAKYFAAAAAA==&#10;">
                  <v:fill on="f" focussize="0,0"/>
                  <v:stroke color="#000000 [3213]" miterlimit="8" joinstyle="miter"/>
                  <v:imagedata o:title=""/>
                  <o:lock v:ext="edit" aspectratio="f"/>
                </v:shape>
                <v:shape id="文本框 15" o:spid="_x0000_s1026" o:spt="202" type="#_x0000_t202" style="position:absolute;left:2065655;top:2932430;height:240665;width:795020;"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IRTBtUAAAAFAQAADwAAAAAAAAABACAAAAAiAAAAZHJzL2Rvd25yZXYueG1s&#10;UEsBAhQAFAAAAAgAh07iQIivNJk0AgAAQgQAAA4AAAAAAAAAAQAgAAAAJAEAAGRycy9lMm9Eb2Mu&#10;eG1sUEsFBgAAAAAGAAYAWQEAAMoFAAAAAA==&#10;">
                  <v:fill on="f" focussize="0,0"/>
                  <v:stroke on="f" weight="0.5pt"/>
                  <v:imagedata o:title=""/>
                  <o:lock v:ext="edit" aspectratio="f"/>
                  <v:textbox inset="0mm,0mm,0mm,0mm">
                    <w:txbxContent>
                      <w:p w14:paraId="6720FA97">
                        <w:pPr>
                          <w:pStyle w:val="38"/>
                          <w:spacing w:before="0" w:beforeAutospacing="0" w:after="0" w:afterAutospacing="0"/>
                          <w:jc w:val="center"/>
                          <w:rPr>
                            <w:rFonts w:ascii="Times New Roman" w:hAnsi="Times New Roman" w:cs="Times New Roman"/>
                            <w:sz w:val="21"/>
                            <w:szCs w:val="21"/>
                          </w:rPr>
                        </w:pPr>
                        <w:r>
                          <w:rPr>
                            <w:rFonts w:hint="eastAsia" w:ascii="Times New Roman" w:hAnsi="Times New Roman" w:cs="Times New Roman"/>
                            <w:sz w:val="21"/>
                            <w:szCs w:val="21"/>
                          </w:rPr>
                          <w:t>循环量7776</w:t>
                        </w:r>
                      </w:p>
                    </w:txbxContent>
                  </v:textbox>
                </v:shape>
                <v:shape id="_x0000_s1026" o:spid="_x0000_s1026" o:spt="32" type="#_x0000_t32" style="position:absolute;left:2433320;top:1009015;height:0;width:398145;" filled="f" stroked="t" coordsize="21600,21600" o:gfxdata="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Gld89IAAAAFAQAADwAAAAAAAAABACAA&#10;AAAiAAAAZHJzL2Rvd25yZXYueG1sUEsBAhQAFAAAAAgAh07iQIG7NWITAgAA7AMAAA4AAAAAAAAA&#10;AQAgAAAAIQEAAGRycy9lMm9Eb2MueG1sUEsFBgAAAAAGAAYAWQEAAKYFAAAAAA==&#10;">
                  <v:fill on="f" focussize="0,0"/>
                  <v:stroke color="#000000 [3213]" miterlimit="8" joinstyle="miter"/>
                  <v:imagedata o:title=""/>
                  <o:lock v:ext="edit" aspectratio="f"/>
                </v:shape>
                <v:shape id="_x0000_s1026" o:spid="_x0000_s1026" o:spt="32" type="#_x0000_t32" style="position:absolute;left:1931035;top:1399540;height:635;width:901065;" filled="f" stroked="t" coordsize="21600,21600" o:gfxdata="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Gld89IAAAAFAQAADwAAAAAAAAABACAAAAAi&#10;AAAAZHJzL2Rvd25yZXYueG1sUEsBAhQAFAAAAAgAh07iQHmTLZAQAgAA7gMAAA4AAAAAAAAAAQAg&#10;AAAAIQEAAGRycy9lMm9Eb2MueG1sUEsFBgAAAAAGAAYAWQEAAKMFAAAAAA==&#10;">
                  <v:fill on="f" focussize="0,0"/>
                  <v:stroke color="#000000 [3213]" miterlimit="8" joinstyle="miter"/>
                  <v:imagedata o:title=""/>
                  <o:lock v:ext="edit" aspectratio="f"/>
                </v:shape>
                <v:shape id="_x0000_s1026" o:spid="_x0000_s1026" o:spt="32" type="#_x0000_t32" style="position:absolute;left:1946275;top:1140460;flip:y;height:259715;width:8255;" filled="f" stroked="t" coordsize="21600,21600" o:gfxdata="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2ln5nUAAAABQEAAA8A&#10;AAAAAAAAAQAgAAAAIgAAAGRycy9kb3ducmV2LnhtbFBLAQIUABQAAAAIAIdO4kDhG/7sGwIAAP0D&#10;AAAOAAAAAAAAAAEAIAAAACMBAABkcnMvZTJvRG9jLnhtbFBLBQYAAAAABgAGAFkBAACwBQAAAAA=&#10;">
                  <v:fill on="f" focussize="0,0"/>
                  <v:stroke color="#000000 [3213]" miterlimit="8" joinstyle="miter" endarrow="block"/>
                  <v:imagedata o:title=""/>
                  <o:lock v:ext="edit" aspectratio="f"/>
                </v:shape>
                <v:shape id="_x0000_s1026" o:spid="_x0000_s1026" o:spt="32" type="#_x0000_t32" style="position:absolute;left:2829560;top:1012190;height:389890;width:635;" filled="f" stroked="t" coordsize="21600,21600" o:gfxdata="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aV3z0gAAAAUBAAAPAAAAAAAAAAEAIAAA&#10;ACIAAABkcnMvZG93bnJldi54bWxQSwECFAAUAAAACACHTuJAKQ3h4hICAADuAwAADgAAAAAAAAAB&#10;ACAAAAAhAQAAZHJzL2Uyb0RvYy54bWxQSwUGAAAAAAYABgBZAQAApQUAAAAA&#10;">
                  <v:fill on="f" focussize="0,0"/>
                  <v:stroke color="#000000 [3213]" miterlimit="8" joinstyle="miter"/>
                  <v:imagedata o:title=""/>
                  <o:lock v:ext="edit" aspectratio="f"/>
                </v:shape>
                <v:shape id="文本框 15" o:spid="_x0000_s1026" o:spt="202" type="#_x0000_t202" style="position:absolute;left:2006600;top:1199515;height:240665;width:795020;"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AhFMG1QAAAAUBAAAPAAAAAAAAAAEAIAAAACIAAABkcnMvZG93bnJldi54bWxQSwEC&#10;FAAUAAAACACHTuJArXWDrzACAABCBAAADgAAAAAAAAABACAAAAAkAQAAZHJzL2Uyb0RvYy54bWxQ&#10;SwUGAAAAAAYABgBZAQAAxgUAAAAA&#10;">
                  <v:fill on="f" focussize="0,0"/>
                  <v:stroke on="f" weight="0.5pt"/>
                  <v:imagedata o:title=""/>
                  <o:lock v:ext="edit" aspectratio="f"/>
                  <v:textbox inset="0mm,0mm,0mm,0mm">
                    <w:txbxContent>
                      <w:p w14:paraId="4EC2C5F6">
                        <w:pPr>
                          <w:pStyle w:val="38"/>
                          <w:spacing w:before="0" w:beforeAutospacing="0" w:after="0" w:afterAutospacing="0"/>
                          <w:jc w:val="center"/>
                          <w:rPr>
                            <w:rFonts w:ascii="Times New Roman" w:hAnsi="Times New Roman" w:cs="Times New Roman"/>
                            <w:sz w:val="21"/>
                            <w:szCs w:val="21"/>
                          </w:rPr>
                        </w:pPr>
                        <w:r>
                          <w:rPr>
                            <w:rFonts w:hint="eastAsia" w:ascii="Times New Roman" w:hAnsi="Times New Roman" w:cs="Times New Roman"/>
                            <w:sz w:val="21"/>
                            <w:szCs w:val="21"/>
                          </w:rPr>
                          <w:t>循环量35820</w:t>
                        </w:r>
                      </w:p>
                    </w:txbxContent>
                  </v:textbox>
                </v:shape>
                <v:shape id="文本框 15" o:spid="_x0000_s1026" o:spt="202" type="#_x0000_t202" style="position:absolute;left:1443990;top:1513840;height:245745;width:986790;" filled="f" stroked="t" coordsize="21600,21600" o:gfxdata="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YaYh9YAAAAFAQAADwAAAAAAAAABACAA&#10;AAAiAAAAZHJzL2Rvd25yZXYueG1sUEsBAhQAFAAAAAgAh07iQBqN2N5IAgAAagQAAA4AAAAAAAAA&#10;AQAgAAAAJQEAAGRycy9lMm9Eb2MueG1sUEsFBgAAAAAGAAYAWQEAAN8FAAAAAA==&#10;">
                  <v:fill on="f" focussize="0,0"/>
                  <v:stroke color="#000000 [3204]" joinstyle="round"/>
                  <v:imagedata o:title=""/>
                  <o:lock v:ext="edit" aspectratio="f"/>
                  <v:textbox inset="0mm,0mm,0mm,0mm">
                    <w:txbxContent>
                      <w:p w14:paraId="77824819">
                        <w:pPr>
                          <w:pStyle w:val="38"/>
                          <w:spacing w:before="0" w:beforeAutospacing="0" w:after="0" w:afterAutospacing="0"/>
                          <w:jc w:val="center"/>
                        </w:pPr>
                        <w:r>
                          <w:rPr>
                            <w:rFonts w:hint="eastAsia" w:ascii="Times New Roman" w:hAnsi="Times New Roman" w:cs="Times New Roman"/>
                            <w:kern w:val="2"/>
                            <w:sz w:val="21"/>
                            <w:szCs w:val="21"/>
                          </w:rPr>
                          <w:t>初期雨水</w:t>
                        </w:r>
                      </w:p>
                    </w:txbxContent>
                  </v:textbox>
                </v:shape>
                <v:shape id="_x0000_s1026" o:spid="_x0000_s1026" o:spt="32" type="#_x0000_t32" style="position:absolute;left:2432050;top:1625600;height:0;width:537845;" filled="f" stroked="t" coordsize="21600,21600" o:gfxdata="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Gld89IAAAAFAQAADwAAAAAAAAABACAAAAAi&#10;AAAAZHJzL2Rvd25yZXYueG1sUEsBAhQAFAAAAAgAh07iQKUCf/AQAgAA7AMAAA4AAAAAAAAAAQAg&#10;AAAAIQEAAGRycy9lMm9Eb2MueG1sUEsFBgAAAAAGAAYAWQEAAKMFAAAAAA==&#10;">
                  <v:fill on="f" focussize="0,0"/>
                  <v:stroke color="#000000 [3213]" miterlimit="8" joinstyle="miter"/>
                  <v:imagedata o:title=""/>
                  <o:lock v:ext="edit" aspectratio="f"/>
                </v:shape>
                <v:shape id="文本框 15" o:spid="_x0000_s1026" o:spt="202" type="#_x0000_t202" style="position:absolute;left:2500630;top:1443990;height:242570;width:393700;" filled="f" stroked="f" coordsize="21600,21600" o:gfxdata="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CEUwbVAAAABQEAAA8AAAAAAAAAAQAgAAAAIgAAAGRycy9kb3ducmV2LnhtbFBL&#10;AQIUABQAAAAIAIdO4kCpgCrRMgIAAEIEAAAOAAAAAAAAAAEAIAAAACQBAABkcnMvZTJvRG9jLnht&#10;bFBLBQYAAAAABgAGAFkBAADIBQAAAAA=&#10;">
                  <v:fill on="f" focussize="0,0"/>
                  <v:stroke on="f" weight="0.5pt"/>
                  <v:imagedata o:title=""/>
                  <o:lock v:ext="edit" aspectratio="f"/>
                  <v:textbox inset="0mm,0mm,0mm,0mm">
                    <w:txbxContent>
                      <w:p w14:paraId="18597ED2">
                        <w:pPr>
                          <w:pStyle w:val="38"/>
                          <w:spacing w:before="0" w:beforeAutospacing="0" w:after="0" w:afterAutospacing="0"/>
                          <w:jc w:val="center"/>
                          <w:rPr>
                            <w:rFonts w:ascii="Times New Roman" w:hAnsi="Times New Roman" w:cs="Times New Roman"/>
                            <w:sz w:val="21"/>
                            <w:szCs w:val="21"/>
                          </w:rPr>
                        </w:pPr>
                        <w:r>
                          <w:rPr>
                            <w:rFonts w:hint="eastAsia" w:ascii="Times New Roman" w:hAnsi="Times New Roman" w:cs="Times New Roman"/>
                            <w:kern w:val="2"/>
                            <w:sz w:val="21"/>
                            <w:szCs w:val="21"/>
                          </w:rPr>
                          <w:t>367</w:t>
                        </w:r>
                      </w:p>
                    </w:txbxContent>
                  </v:textbox>
                </v:shape>
                <w10:wrap type="none"/>
                <w10:anchorlock/>
              </v:group>
            </w:pict>
          </mc:Fallback>
        </mc:AlternateContent>
      </w:r>
    </w:p>
    <w:p w14:paraId="0E84D331">
      <w:pPr>
        <w:pStyle w:val="38"/>
        <w:spacing w:before="0" w:beforeAutospacing="0" w:after="0" w:afterAutospacing="0" w:line="460" w:lineRule="exact"/>
        <w:jc w:val="center"/>
        <w:rPr>
          <w:b/>
          <w:bCs/>
          <w:color w:val="000000" w:themeColor="text1"/>
          <w14:textFill>
            <w14:solidFill>
              <w14:schemeClr w14:val="tx1"/>
            </w14:solidFill>
          </w14:textFill>
        </w:rPr>
      </w:pPr>
      <w:r>
        <w:rPr>
          <w:rFonts w:hint="eastAsia" w:ascii="Times New Roman" w:hAnsi="Times New Roman" w:cs="Times New Roman"/>
          <w:b/>
          <w:bCs/>
          <w:color w:val="000000" w:themeColor="text1"/>
          <w:kern w:val="2"/>
          <w14:textFill>
            <w14:solidFill>
              <w14:schemeClr w14:val="tx1"/>
            </w14:solidFill>
          </w14:textFill>
        </w:rPr>
        <w:t>图3.</w:t>
      </w:r>
      <w:r>
        <w:rPr>
          <w:rFonts w:ascii="Times New Roman" w:hAnsi="Times New Roman" w:cs="Times New Roman"/>
          <w:b/>
          <w:bCs/>
          <w:color w:val="000000" w:themeColor="text1"/>
          <w:kern w:val="2"/>
          <w14:textFill>
            <w14:solidFill>
              <w14:schemeClr w14:val="tx1"/>
            </w14:solidFill>
          </w14:textFill>
        </w:rPr>
        <w:t>6</w:t>
      </w:r>
      <w:r>
        <w:rPr>
          <w:rFonts w:hint="eastAsia" w:ascii="Times New Roman" w:hAnsi="Times New Roman" w:cs="Times New Roman"/>
          <w:b/>
          <w:bCs/>
          <w:color w:val="000000" w:themeColor="text1"/>
          <w:kern w:val="2"/>
          <w14:textFill>
            <w14:solidFill>
              <w14:schemeClr w14:val="tx1"/>
            </w14:solidFill>
          </w14:textFill>
        </w:rPr>
        <w:t>-1  建设项目水平衡图（单位m</w:t>
      </w:r>
      <w:r>
        <w:rPr>
          <w:rFonts w:hint="eastAsia" w:ascii="Times New Roman" w:hAnsi="Times New Roman" w:cs="Times New Roman"/>
          <w:b/>
          <w:bCs/>
          <w:color w:val="000000" w:themeColor="text1"/>
          <w:kern w:val="2"/>
          <w:vertAlign w:val="superscript"/>
          <w14:textFill>
            <w14:solidFill>
              <w14:schemeClr w14:val="tx1"/>
            </w14:solidFill>
          </w14:textFill>
        </w:rPr>
        <w:t>3</w:t>
      </w:r>
      <w:r>
        <w:rPr>
          <w:rFonts w:hint="eastAsia" w:ascii="Times New Roman" w:hAnsi="Times New Roman" w:cs="Times New Roman"/>
          <w:b/>
          <w:bCs/>
          <w:color w:val="000000" w:themeColor="text1"/>
          <w:kern w:val="2"/>
          <w14:textFill>
            <w14:solidFill>
              <w14:schemeClr w14:val="tx1"/>
            </w14:solidFill>
          </w14:textFill>
        </w:rPr>
        <w:t>/a）</w:t>
      </w:r>
    </w:p>
    <w:p w14:paraId="7528736F">
      <w:pPr>
        <w:pStyle w:val="4"/>
        <w:spacing w:line="460" w:lineRule="exact"/>
        <w:jc w:val="both"/>
      </w:pPr>
      <w:bookmarkStart w:id="54" w:name="_Toc28842"/>
      <w:r>
        <w:rPr>
          <w:rFonts w:hint="eastAsia"/>
        </w:rPr>
        <w:t>3</w:t>
      </w:r>
      <w:r>
        <w:t xml:space="preserve">.7 </w:t>
      </w:r>
      <w:r>
        <w:rPr>
          <w:rFonts w:hint="eastAsia"/>
        </w:rPr>
        <w:t>污染源强及污染物排放量分析</w:t>
      </w:r>
      <w:bookmarkEnd w:id="54"/>
    </w:p>
    <w:p w14:paraId="3BB95BAD">
      <w:pPr>
        <w:pStyle w:val="7"/>
        <w:spacing w:line="460" w:lineRule="exact"/>
        <w:rPr>
          <w:rFonts w:hint="eastAsia"/>
        </w:rPr>
      </w:pPr>
      <w:r>
        <w:t xml:space="preserve">3.7.1 </w:t>
      </w:r>
      <w:r>
        <w:rPr>
          <w:rFonts w:hint="eastAsia"/>
        </w:rPr>
        <w:t>废气污染源</w:t>
      </w:r>
    </w:p>
    <w:p w14:paraId="2061FC92">
      <w:pPr>
        <w:rPr>
          <w:rFonts w:hint="eastAsia"/>
        </w:rPr>
      </w:pPr>
    </w:p>
    <w:p w14:paraId="081929FC">
      <w:pPr>
        <w:pStyle w:val="2"/>
        <w:rPr>
          <w:rFonts w:hint="eastAsia"/>
        </w:rPr>
      </w:pPr>
    </w:p>
    <w:p w14:paraId="11C1A5DC">
      <w:pPr>
        <w:rPr>
          <w:rFonts w:hint="eastAsia"/>
          <w:b/>
          <w:bCs/>
        </w:rPr>
      </w:pPr>
    </w:p>
    <w:p w14:paraId="2EB96867">
      <w:pPr>
        <w:pStyle w:val="2"/>
        <w:jc w:val="center"/>
        <w:rPr>
          <w:rFonts w:hint="default" w:eastAsia="宋体"/>
          <w:b/>
          <w:bCs/>
          <w:lang w:val="en-US" w:eastAsia="zh-CN"/>
        </w:rPr>
      </w:pPr>
      <w:r>
        <w:rPr>
          <w:rFonts w:hint="eastAsia"/>
          <w:b/>
          <w:bCs/>
          <w:lang w:val="en-US" w:eastAsia="zh-CN"/>
        </w:rPr>
        <w:t>以下内容涉密</w:t>
      </w:r>
    </w:p>
    <w:p w14:paraId="680C2DDF">
      <w:pPr>
        <w:rPr>
          <w:rFonts w:hint="eastAsia"/>
        </w:rPr>
      </w:pPr>
    </w:p>
    <w:p w14:paraId="09E5996A">
      <w:pPr>
        <w:pStyle w:val="2"/>
        <w:rPr>
          <w:rFonts w:hint="eastAsia"/>
        </w:rPr>
      </w:pPr>
    </w:p>
    <w:p w14:paraId="5C96C2D0">
      <w:pPr>
        <w:rPr>
          <w:rFonts w:hint="eastAsia"/>
        </w:rPr>
      </w:pPr>
    </w:p>
    <w:p w14:paraId="78695F22"/>
    <w:p w14:paraId="292BC455">
      <w:pPr>
        <w:spacing w:line="480" w:lineRule="exact"/>
        <w:ind w:firstLine="480" w:firstLineChars="200"/>
        <w:rPr>
          <w:rFonts w:hint="eastAsia"/>
        </w:rPr>
      </w:pPr>
    </w:p>
    <w:p w14:paraId="136235D5">
      <w:pPr>
        <w:spacing w:line="480" w:lineRule="exact"/>
        <w:ind w:firstLine="480" w:firstLineChars="200"/>
        <w:rPr>
          <w:rFonts w:hint="eastAsia"/>
        </w:rPr>
      </w:pPr>
    </w:p>
    <w:p w14:paraId="1AC338F1">
      <w:pPr>
        <w:spacing w:line="480" w:lineRule="exact"/>
        <w:ind w:firstLine="480" w:firstLineChars="200"/>
        <w:rPr>
          <w:rFonts w:hint="eastAsia"/>
        </w:rPr>
      </w:pPr>
    </w:p>
    <w:p w14:paraId="26CEA1BE">
      <w:pPr>
        <w:spacing w:line="480" w:lineRule="exact"/>
        <w:ind w:firstLine="480" w:firstLineChars="200"/>
        <w:rPr>
          <w:rFonts w:hint="eastAsia"/>
        </w:rPr>
      </w:pPr>
    </w:p>
    <w:p w14:paraId="26415429">
      <w:pPr>
        <w:spacing w:line="480" w:lineRule="exact"/>
        <w:ind w:firstLine="480" w:firstLineChars="200"/>
        <w:rPr>
          <w:rFonts w:hint="eastAsia"/>
        </w:rPr>
      </w:pPr>
    </w:p>
    <w:p w14:paraId="59BA5B35">
      <w:pPr>
        <w:spacing w:line="480" w:lineRule="exact"/>
        <w:ind w:firstLine="480" w:firstLineChars="200"/>
        <w:rPr>
          <w:rFonts w:hint="eastAsia"/>
        </w:rPr>
      </w:pPr>
    </w:p>
    <w:p w14:paraId="247D959D">
      <w:pPr>
        <w:spacing w:line="480" w:lineRule="exact"/>
        <w:ind w:firstLine="480" w:firstLineChars="200"/>
        <w:rPr>
          <w:rFonts w:hint="eastAsia"/>
        </w:rPr>
      </w:pPr>
    </w:p>
    <w:p w14:paraId="5E6AC615">
      <w:pPr>
        <w:spacing w:line="480" w:lineRule="exact"/>
        <w:ind w:firstLine="480" w:firstLineChars="200"/>
        <w:rPr>
          <w:rFonts w:hint="eastAsia"/>
        </w:rPr>
      </w:pPr>
    </w:p>
    <w:p w14:paraId="54F61C1C">
      <w:pPr>
        <w:spacing w:line="480" w:lineRule="exact"/>
        <w:ind w:firstLine="480" w:firstLineChars="200"/>
        <w:rPr>
          <w:rFonts w:hint="eastAsia"/>
        </w:rPr>
      </w:pPr>
    </w:p>
    <w:p w14:paraId="7C8A003B">
      <w:pPr>
        <w:spacing w:line="480" w:lineRule="exact"/>
        <w:ind w:firstLine="480" w:firstLineChars="200"/>
        <w:rPr>
          <w:rFonts w:hint="eastAsia"/>
        </w:rPr>
      </w:pPr>
    </w:p>
    <w:p w14:paraId="4EE2C9C3">
      <w:pPr>
        <w:spacing w:line="480" w:lineRule="exact"/>
        <w:ind w:firstLine="480" w:firstLineChars="200"/>
        <w:rPr>
          <w:rFonts w:hint="eastAsia"/>
        </w:rPr>
      </w:pPr>
    </w:p>
    <w:p w14:paraId="2ABDB59D">
      <w:pPr>
        <w:spacing w:line="480" w:lineRule="exact"/>
        <w:ind w:firstLine="480" w:firstLineChars="200"/>
        <w:rPr>
          <w:rFonts w:hint="eastAsia"/>
        </w:rPr>
      </w:pPr>
    </w:p>
    <w:p w14:paraId="638CBE35">
      <w:pPr>
        <w:spacing w:line="480" w:lineRule="exact"/>
        <w:ind w:firstLine="480" w:firstLineChars="200"/>
        <w:rPr>
          <w:rFonts w:hint="eastAsia"/>
        </w:rPr>
      </w:pPr>
    </w:p>
    <w:p w14:paraId="36B3C98E">
      <w:pPr>
        <w:spacing w:line="480" w:lineRule="exact"/>
        <w:ind w:firstLine="480" w:firstLineChars="200"/>
        <w:rPr>
          <w:rFonts w:hint="eastAsia"/>
        </w:rPr>
      </w:pPr>
    </w:p>
    <w:p w14:paraId="0E94859D">
      <w:pPr>
        <w:spacing w:line="480" w:lineRule="exact"/>
        <w:ind w:firstLine="480" w:firstLineChars="200"/>
        <w:rPr>
          <w:rFonts w:hint="eastAsia"/>
        </w:rPr>
      </w:pPr>
    </w:p>
    <w:p w14:paraId="61E9D252">
      <w:pPr>
        <w:spacing w:line="480" w:lineRule="exact"/>
        <w:ind w:firstLine="480" w:firstLineChars="200"/>
        <w:rPr>
          <w:rFonts w:hint="eastAsia"/>
        </w:rPr>
      </w:pPr>
    </w:p>
    <w:p w14:paraId="148E4672">
      <w:pPr>
        <w:spacing w:line="480" w:lineRule="exact"/>
        <w:ind w:firstLine="480" w:firstLineChars="200"/>
        <w:rPr>
          <w:rFonts w:hint="eastAsia"/>
        </w:rPr>
      </w:pPr>
    </w:p>
    <w:p w14:paraId="50286E97">
      <w:pPr>
        <w:spacing w:line="480" w:lineRule="exact"/>
        <w:ind w:firstLine="480" w:firstLineChars="200"/>
        <w:rPr>
          <w:rFonts w:hint="eastAsia"/>
        </w:rPr>
      </w:pPr>
    </w:p>
    <w:p w14:paraId="3092230E">
      <w:pPr>
        <w:spacing w:line="480" w:lineRule="exact"/>
        <w:ind w:firstLine="480" w:firstLineChars="200"/>
        <w:rPr>
          <w:rFonts w:hint="eastAsia"/>
        </w:rPr>
      </w:pPr>
    </w:p>
    <w:p w14:paraId="4B0E7584">
      <w:pPr>
        <w:spacing w:line="480" w:lineRule="exact"/>
        <w:ind w:firstLine="480" w:firstLineChars="200"/>
        <w:rPr>
          <w:rFonts w:hint="eastAsia"/>
        </w:rPr>
      </w:pPr>
    </w:p>
    <w:p w14:paraId="003C4390">
      <w:pPr>
        <w:spacing w:line="480" w:lineRule="exact"/>
        <w:ind w:firstLine="480" w:firstLineChars="200"/>
        <w:rPr>
          <w:rFonts w:hint="eastAsia"/>
        </w:rPr>
      </w:pPr>
    </w:p>
    <w:p w14:paraId="74283B23">
      <w:pPr>
        <w:spacing w:line="480" w:lineRule="exact"/>
        <w:ind w:firstLine="480" w:firstLineChars="200"/>
        <w:rPr>
          <w:rFonts w:hint="eastAsia"/>
        </w:rPr>
      </w:pPr>
    </w:p>
    <w:p w14:paraId="6A91CEB0">
      <w:pPr>
        <w:spacing w:line="480" w:lineRule="exact"/>
        <w:ind w:firstLine="480" w:firstLineChars="200"/>
        <w:rPr>
          <w:rFonts w:hint="eastAsia"/>
        </w:rPr>
      </w:pPr>
    </w:p>
    <w:p w14:paraId="19A525EE">
      <w:pPr>
        <w:spacing w:line="480" w:lineRule="exact"/>
        <w:ind w:firstLine="480" w:firstLineChars="200"/>
        <w:rPr>
          <w:rFonts w:hint="eastAsia"/>
        </w:rPr>
      </w:pPr>
    </w:p>
    <w:p w14:paraId="43174663">
      <w:pPr>
        <w:spacing w:line="480" w:lineRule="exact"/>
        <w:ind w:firstLine="480" w:firstLineChars="200"/>
        <w:rPr>
          <w:rFonts w:hint="eastAsia"/>
        </w:rPr>
      </w:pPr>
    </w:p>
    <w:p w14:paraId="060A11E5">
      <w:pPr>
        <w:spacing w:line="480" w:lineRule="exact"/>
        <w:ind w:firstLine="480" w:firstLineChars="200"/>
        <w:rPr>
          <w:rFonts w:hint="eastAsia"/>
        </w:rPr>
      </w:pPr>
    </w:p>
    <w:p w14:paraId="5F4341E7">
      <w:pPr>
        <w:spacing w:line="480" w:lineRule="exact"/>
        <w:ind w:firstLine="480" w:firstLineChars="200"/>
        <w:rPr>
          <w:rFonts w:hint="eastAsia"/>
        </w:rPr>
      </w:pPr>
    </w:p>
    <w:p w14:paraId="250E9EED">
      <w:pPr>
        <w:spacing w:line="480" w:lineRule="exact"/>
        <w:ind w:firstLine="480" w:firstLineChars="200"/>
        <w:rPr>
          <w:rFonts w:hint="eastAsia"/>
        </w:rPr>
      </w:pPr>
    </w:p>
    <w:p w14:paraId="6112D664">
      <w:pPr>
        <w:spacing w:line="480" w:lineRule="exact"/>
        <w:ind w:firstLine="480" w:firstLineChars="200"/>
        <w:rPr>
          <w:rFonts w:hint="eastAsia"/>
        </w:rPr>
      </w:pPr>
    </w:p>
    <w:p w14:paraId="1BE5220B">
      <w:pPr>
        <w:spacing w:line="480" w:lineRule="exact"/>
        <w:ind w:firstLine="480" w:firstLineChars="200"/>
        <w:rPr>
          <w:rFonts w:hint="eastAsia"/>
        </w:rPr>
      </w:pPr>
    </w:p>
    <w:p w14:paraId="0D558C13">
      <w:pPr>
        <w:spacing w:line="480" w:lineRule="exact"/>
        <w:ind w:firstLine="480" w:firstLineChars="200"/>
        <w:rPr>
          <w:rFonts w:hint="eastAsia"/>
        </w:rPr>
      </w:pPr>
    </w:p>
    <w:p w14:paraId="678B5F39">
      <w:pPr>
        <w:spacing w:line="480" w:lineRule="exact"/>
        <w:ind w:firstLine="480" w:firstLineChars="200"/>
        <w:rPr>
          <w:rFonts w:hint="eastAsia"/>
        </w:rPr>
      </w:pPr>
    </w:p>
    <w:p w14:paraId="05E388A3">
      <w:pPr>
        <w:spacing w:line="480" w:lineRule="exact"/>
        <w:ind w:firstLine="480" w:firstLineChars="200"/>
        <w:rPr>
          <w:rFonts w:hint="eastAsia"/>
        </w:rPr>
      </w:pPr>
    </w:p>
    <w:p w14:paraId="5BD51B6D">
      <w:pPr>
        <w:spacing w:line="480" w:lineRule="exact"/>
        <w:ind w:firstLine="480" w:firstLineChars="200"/>
        <w:rPr>
          <w:rFonts w:hint="eastAsia"/>
        </w:rPr>
      </w:pPr>
    </w:p>
    <w:p w14:paraId="7760472D">
      <w:pPr>
        <w:spacing w:line="480" w:lineRule="exact"/>
        <w:ind w:firstLine="480" w:firstLineChars="200"/>
        <w:rPr>
          <w:rFonts w:hint="eastAsia"/>
        </w:rPr>
      </w:pPr>
    </w:p>
    <w:p w14:paraId="2CBC3A6B">
      <w:pPr>
        <w:spacing w:line="480" w:lineRule="exact"/>
        <w:ind w:firstLine="480" w:firstLineChars="200"/>
        <w:rPr>
          <w:rFonts w:hint="eastAsia"/>
        </w:rPr>
      </w:pPr>
    </w:p>
    <w:p w14:paraId="6F676733">
      <w:pPr>
        <w:spacing w:line="480" w:lineRule="exact"/>
        <w:ind w:firstLine="480" w:firstLineChars="200"/>
        <w:rPr>
          <w:rFonts w:hint="eastAsia"/>
        </w:rPr>
      </w:pPr>
    </w:p>
    <w:p w14:paraId="71A8455A">
      <w:pPr>
        <w:spacing w:line="480" w:lineRule="exact"/>
        <w:ind w:firstLine="480" w:firstLineChars="200"/>
        <w:rPr>
          <w:rFonts w:hint="eastAsia"/>
        </w:rPr>
      </w:pPr>
    </w:p>
    <w:p w14:paraId="7A2B63FE">
      <w:pPr>
        <w:spacing w:line="480" w:lineRule="exact"/>
        <w:ind w:firstLine="480" w:firstLineChars="200"/>
        <w:rPr>
          <w:rFonts w:hint="eastAsia"/>
        </w:rPr>
      </w:pPr>
    </w:p>
    <w:p w14:paraId="3C18C94A">
      <w:pPr>
        <w:spacing w:line="480" w:lineRule="exact"/>
        <w:ind w:firstLine="480" w:firstLineChars="200"/>
        <w:rPr>
          <w:rFonts w:hint="eastAsia"/>
        </w:rPr>
      </w:pPr>
    </w:p>
    <w:p w14:paraId="474B8F60">
      <w:pPr>
        <w:spacing w:line="480" w:lineRule="exact"/>
        <w:ind w:firstLine="480" w:firstLineChars="200"/>
        <w:rPr>
          <w:rFonts w:hint="eastAsia"/>
        </w:rPr>
      </w:pPr>
    </w:p>
    <w:p w14:paraId="1DC8E427">
      <w:pPr>
        <w:spacing w:line="480" w:lineRule="exact"/>
        <w:ind w:firstLine="480" w:firstLineChars="200"/>
        <w:rPr>
          <w:rFonts w:hint="eastAsia"/>
        </w:rPr>
      </w:pPr>
    </w:p>
    <w:p w14:paraId="7B6E3BED">
      <w:pPr>
        <w:spacing w:line="480" w:lineRule="exact"/>
        <w:ind w:firstLine="480" w:firstLineChars="200"/>
        <w:rPr>
          <w:rFonts w:hint="eastAsia"/>
        </w:rPr>
      </w:pPr>
    </w:p>
    <w:p w14:paraId="1BF62659">
      <w:pPr>
        <w:spacing w:line="480" w:lineRule="exact"/>
        <w:ind w:firstLine="480" w:firstLineChars="200"/>
        <w:rPr>
          <w:rFonts w:hint="eastAsia"/>
        </w:rPr>
      </w:pPr>
    </w:p>
    <w:p w14:paraId="1D40DA75">
      <w:pPr>
        <w:spacing w:line="480" w:lineRule="exact"/>
        <w:ind w:firstLine="480" w:firstLineChars="200"/>
        <w:rPr>
          <w:rFonts w:hint="eastAsia"/>
        </w:rPr>
      </w:pPr>
    </w:p>
    <w:p w14:paraId="5BA8E0FD">
      <w:pPr>
        <w:spacing w:line="480" w:lineRule="exact"/>
        <w:ind w:firstLine="480" w:firstLineChars="200"/>
        <w:rPr>
          <w:rFonts w:hint="eastAsia"/>
        </w:rPr>
      </w:pPr>
    </w:p>
    <w:p w14:paraId="5007E04F">
      <w:pPr>
        <w:spacing w:line="480" w:lineRule="exact"/>
        <w:ind w:firstLine="480" w:firstLineChars="200"/>
        <w:rPr>
          <w:rFonts w:hint="eastAsia"/>
        </w:rPr>
      </w:pPr>
    </w:p>
    <w:p w14:paraId="33D2A7C0">
      <w:pPr>
        <w:spacing w:line="480" w:lineRule="exact"/>
        <w:ind w:firstLine="480" w:firstLineChars="200"/>
        <w:rPr>
          <w:rFonts w:hint="eastAsia"/>
        </w:rPr>
      </w:pPr>
    </w:p>
    <w:p w14:paraId="69DAEF48">
      <w:pPr>
        <w:spacing w:line="480" w:lineRule="exact"/>
        <w:ind w:firstLine="480" w:firstLineChars="200"/>
        <w:rPr>
          <w:rFonts w:hint="eastAsia"/>
        </w:rPr>
      </w:pPr>
    </w:p>
    <w:p w14:paraId="23933A23">
      <w:pPr>
        <w:spacing w:line="480" w:lineRule="exact"/>
        <w:ind w:firstLine="480" w:firstLineChars="200"/>
        <w:rPr>
          <w:rFonts w:hint="eastAsia"/>
        </w:rPr>
      </w:pPr>
    </w:p>
    <w:p w14:paraId="53BBCA30">
      <w:pPr>
        <w:spacing w:line="480" w:lineRule="exact"/>
        <w:ind w:firstLine="480" w:firstLineChars="200"/>
        <w:rPr>
          <w:rFonts w:hint="eastAsia"/>
        </w:rPr>
      </w:pPr>
    </w:p>
    <w:p w14:paraId="03CBC6E2">
      <w:pPr>
        <w:spacing w:line="480" w:lineRule="exact"/>
        <w:ind w:firstLine="480" w:firstLineChars="200"/>
        <w:rPr>
          <w:rFonts w:hint="eastAsia"/>
        </w:rPr>
      </w:pPr>
    </w:p>
    <w:p w14:paraId="2E97D83D">
      <w:pPr>
        <w:spacing w:line="480" w:lineRule="exact"/>
        <w:ind w:firstLine="480" w:firstLineChars="200"/>
        <w:rPr>
          <w:rFonts w:hint="eastAsia"/>
        </w:rPr>
      </w:pPr>
    </w:p>
    <w:p w14:paraId="4859E1D6">
      <w:pPr>
        <w:spacing w:line="480" w:lineRule="exact"/>
        <w:ind w:firstLine="480" w:firstLineChars="200"/>
        <w:rPr>
          <w:rFonts w:hint="eastAsia"/>
        </w:rPr>
      </w:pPr>
    </w:p>
    <w:p w14:paraId="26BAE300">
      <w:pPr>
        <w:spacing w:line="480" w:lineRule="exact"/>
        <w:ind w:firstLine="480" w:firstLineChars="200"/>
        <w:rPr>
          <w:rFonts w:hint="eastAsia"/>
        </w:rPr>
      </w:pPr>
    </w:p>
    <w:p w14:paraId="5B7BBF0F">
      <w:pPr>
        <w:spacing w:line="480" w:lineRule="exact"/>
        <w:ind w:firstLine="480" w:firstLineChars="200"/>
        <w:rPr>
          <w:rFonts w:hint="eastAsia"/>
        </w:rPr>
      </w:pPr>
    </w:p>
    <w:p w14:paraId="14C10887">
      <w:pPr>
        <w:spacing w:line="480" w:lineRule="exact"/>
        <w:ind w:firstLine="480" w:firstLineChars="200"/>
        <w:rPr>
          <w:rFonts w:hint="eastAsia"/>
        </w:rPr>
      </w:pPr>
    </w:p>
    <w:p w14:paraId="1BD59700">
      <w:pPr>
        <w:spacing w:line="480" w:lineRule="exact"/>
        <w:ind w:firstLine="480" w:firstLineChars="200"/>
        <w:rPr>
          <w:rFonts w:hint="eastAsia"/>
        </w:rPr>
      </w:pPr>
    </w:p>
    <w:p w14:paraId="72C2AB1C">
      <w:pPr>
        <w:spacing w:line="480" w:lineRule="exact"/>
        <w:ind w:firstLine="480" w:firstLineChars="200"/>
        <w:rPr>
          <w:rFonts w:hint="eastAsia"/>
        </w:rPr>
      </w:pPr>
    </w:p>
    <w:p w14:paraId="543478C8">
      <w:pPr>
        <w:spacing w:line="480" w:lineRule="exact"/>
        <w:ind w:firstLine="480" w:firstLineChars="200"/>
        <w:rPr>
          <w:rFonts w:hint="eastAsia"/>
        </w:rPr>
      </w:pPr>
    </w:p>
    <w:p w14:paraId="72DA1736">
      <w:pPr>
        <w:spacing w:line="480" w:lineRule="exact"/>
        <w:ind w:firstLine="480" w:firstLineChars="200"/>
        <w:rPr>
          <w:rFonts w:hint="eastAsia"/>
        </w:rPr>
      </w:pPr>
    </w:p>
    <w:p w14:paraId="55887596">
      <w:pPr>
        <w:spacing w:line="480" w:lineRule="exact"/>
        <w:ind w:firstLine="480" w:firstLineChars="200"/>
        <w:rPr>
          <w:rFonts w:hint="eastAsia"/>
        </w:rPr>
      </w:pPr>
    </w:p>
    <w:p w14:paraId="03CC2D73">
      <w:pPr>
        <w:spacing w:line="480" w:lineRule="exact"/>
        <w:ind w:firstLine="480" w:firstLineChars="200"/>
        <w:rPr>
          <w:rFonts w:hint="eastAsia"/>
        </w:rPr>
      </w:pPr>
    </w:p>
    <w:p w14:paraId="7E839217">
      <w:pPr>
        <w:spacing w:line="480" w:lineRule="exact"/>
        <w:ind w:firstLine="480" w:firstLineChars="200"/>
        <w:rPr>
          <w:rFonts w:hint="eastAsia"/>
        </w:rPr>
      </w:pPr>
    </w:p>
    <w:p w14:paraId="58A18541">
      <w:pPr>
        <w:spacing w:line="480" w:lineRule="exact"/>
        <w:ind w:firstLine="480" w:firstLineChars="200"/>
        <w:rPr>
          <w:rFonts w:hint="eastAsia"/>
        </w:rPr>
      </w:pPr>
    </w:p>
    <w:p w14:paraId="1CF68F7F">
      <w:pPr>
        <w:spacing w:line="480" w:lineRule="exact"/>
        <w:ind w:firstLine="480" w:firstLineChars="200"/>
        <w:rPr>
          <w:rFonts w:hint="eastAsia"/>
        </w:rPr>
      </w:pPr>
    </w:p>
    <w:p w14:paraId="60DE1CF3">
      <w:pPr>
        <w:spacing w:line="480" w:lineRule="exact"/>
        <w:ind w:firstLine="480" w:firstLineChars="200"/>
        <w:rPr>
          <w:rFonts w:hint="eastAsia"/>
        </w:rPr>
      </w:pPr>
    </w:p>
    <w:p w14:paraId="2F8A7950">
      <w:pPr>
        <w:spacing w:line="480" w:lineRule="exact"/>
        <w:ind w:firstLine="480" w:firstLineChars="200"/>
        <w:rPr>
          <w:rFonts w:hint="eastAsia"/>
        </w:rPr>
      </w:pPr>
    </w:p>
    <w:p w14:paraId="3941D35A">
      <w:pPr>
        <w:spacing w:line="480" w:lineRule="exact"/>
        <w:ind w:firstLine="480" w:firstLineChars="200"/>
        <w:rPr>
          <w:rFonts w:hint="eastAsia"/>
        </w:rPr>
      </w:pPr>
    </w:p>
    <w:p w14:paraId="08969323">
      <w:pPr>
        <w:spacing w:line="480" w:lineRule="exact"/>
        <w:ind w:firstLine="480" w:firstLineChars="200"/>
      </w:pPr>
      <w:r>
        <w:rPr>
          <w:rFonts w:hint="eastAsia"/>
        </w:rPr>
        <w:t>综上，项目有组织废气排放状况见表3.</w:t>
      </w:r>
      <w:r>
        <w:t>7</w:t>
      </w:r>
      <w:r>
        <w:rPr>
          <w:rFonts w:hint="eastAsia"/>
        </w:rPr>
        <w:t>-4，无组织废气排放状况见表3.</w:t>
      </w:r>
      <w:r>
        <w:t>7</w:t>
      </w:r>
      <w:r>
        <w:rPr>
          <w:rFonts w:hint="eastAsia"/>
        </w:rPr>
        <w:t>-5。</w:t>
      </w:r>
    </w:p>
    <w:p w14:paraId="1807A9FB">
      <w:pPr>
        <w:ind w:firstLine="480" w:firstLineChars="200"/>
        <w:sectPr>
          <w:headerReference r:id="rId9" w:type="default"/>
          <w:footerReference r:id="rId10" w:type="default"/>
          <w:pgSz w:w="11906" w:h="16838"/>
          <w:pgMar w:top="1417" w:right="1417" w:bottom="1417" w:left="1417" w:header="850" w:footer="850" w:gutter="0"/>
          <w:pgNumType w:fmt="decimal" w:start="1"/>
          <w:cols w:space="425" w:num="1"/>
          <w:docGrid w:type="lines" w:linePitch="326" w:charSpace="0"/>
        </w:sectPr>
      </w:pPr>
    </w:p>
    <w:p w14:paraId="6162C525">
      <w:pPr>
        <w:pStyle w:val="31"/>
        <w:spacing w:before="0" w:line="480" w:lineRule="exact"/>
      </w:pPr>
      <w:r>
        <w:rPr>
          <w:rFonts w:hint="eastAsia"/>
        </w:rPr>
        <w:t>表</w:t>
      </w:r>
      <w:r>
        <w:t>3.7-</w:t>
      </w:r>
      <w:r>
        <w:rPr>
          <w:rFonts w:hint="eastAsia"/>
        </w:rPr>
        <w:t>4</w:t>
      </w:r>
      <w:r>
        <w:t xml:space="preserve"> </w:t>
      </w:r>
      <w:r>
        <w:rPr>
          <w:rFonts w:hint="eastAsia"/>
        </w:rPr>
        <w:t>有组织大气污染物产排放情况一览表</w:t>
      </w:r>
    </w:p>
    <w:tbl>
      <w:tblPr>
        <w:tblStyle w:val="41"/>
        <w:tblW w:w="491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753"/>
        <w:gridCol w:w="787"/>
        <w:gridCol w:w="942"/>
        <w:gridCol w:w="948"/>
        <w:gridCol w:w="1148"/>
        <w:gridCol w:w="726"/>
        <w:gridCol w:w="664"/>
        <w:gridCol w:w="851"/>
        <w:gridCol w:w="1001"/>
        <w:gridCol w:w="1042"/>
        <w:gridCol w:w="695"/>
        <w:gridCol w:w="767"/>
        <w:gridCol w:w="434"/>
        <w:gridCol w:w="645"/>
        <w:gridCol w:w="714"/>
        <w:gridCol w:w="709"/>
      </w:tblGrid>
      <w:tr w14:paraId="1A557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vMerge w:val="restart"/>
            <w:vAlign w:val="center"/>
          </w:tcPr>
          <w:p w14:paraId="7B95E9AA">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污染源</w:t>
            </w:r>
          </w:p>
        </w:tc>
        <w:tc>
          <w:tcPr>
            <w:tcW w:w="271" w:type="pct"/>
            <w:vMerge w:val="restart"/>
            <w:tcMar>
              <w:left w:w="28" w:type="dxa"/>
              <w:right w:w="28" w:type="dxa"/>
            </w:tcMar>
            <w:vAlign w:val="center"/>
          </w:tcPr>
          <w:p w14:paraId="7902BB4B">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排气量</w:t>
            </w:r>
            <w:r>
              <w:rPr>
                <w:rFonts w:ascii="Times New Roman" w:eastAsia="宋体"/>
                <w:color w:val="000000" w:themeColor="text1"/>
                <w:sz w:val="21"/>
                <w:szCs w:val="21"/>
                <w14:textFill>
                  <w14:solidFill>
                    <w14:schemeClr w14:val="tx1"/>
                  </w14:solidFill>
                </w14:textFill>
              </w:rPr>
              <w:t>Nm</w:t>
            </w:r>
            <w:r>
              <w:rPr>
                <w:rFonts w:ascii="Times New Roman" w:eastAsia="宋体"/>
                <w:color w:val="000000" w:themeColor="text1"/>
                <w:sz w:val="21"/>
                <w:szCs w:val="21"/>
                <w:vertAlign w:val="superscript"/>
                <w14:textFill>
                  <w14:solidFill>
                    <w14:schemeClr w14:val="tx1"/>
                  </w14:solidFill>
                </w14:textFill>
              </w:rPr>
              <w:t>3</w:t>
            </w:r>
            <w:r>
              <w:rPr>
                <w:rFonts w:ascii="Times New Roman" w:eastAsia="宋体"/>
                <w:color w:val="000000" w:themeColor="text1"/>
                <w:sz w:val="21"/>
                <w:szCs w:val="21"/>
                <w14:textFill>
                  <w14:solidFill>
                    <w14:schemeClr w14:val="tx1"/>
                  </w14:solidFill>
                </w14:textFill>
              </w:rPr>
              <w:t>/h</w:t>
            </w:r>
          </w:p>
        </w:tc>
        <w:tc>
          <w:tcPr>
            <w:tcW w:w="283" w:type="pct"/>
            <w:vMerge w:val="restart"/>
            <w:tcMar>
              <w:left w:w="28" w:type="dxa"/>
              <w:right w:w="28" w:type="dxa"/>
            </w:tcMar>
            <w:vAlign w:val="center"/>
          </w:tcPr>
          <w:p w14:paraId="136FADA1">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污染物名称</w:t>
            </w:r>
          </w:p>
        </w:tc>
        <w:tc>
          <w:tcPr>
            <w:tcW w:w="1093" w:type="pct"/>
            <w:gridSpan w:val="3"/>
            <w:tcMar>
              <w:left w:w="28" w:type="dxa"/>
              <w:right w:w="28" w:type="dxa"/>
            </w:tcMar>
            <w:vAlign w:val="center"/>
          </w:tcPr>
          <w:p w14:paraId="1D81F3D8">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产生状况</w:t>
            </w:r>
          </w:p>
        </w:tc>
        <w:tc>
          <w:tcPr>
            <w:tcW w:w="261" w:type="pct"/>
            <w:vMerge w:val="restart"/>
            <w:tcMar>
              <w:left w:w="28" w:type="dxa"/>
              <w:right w:w="28" w:type="dxa"/>
            </w:tcMar>
            <w:vAlign w:val="center"/>
          </w:tcPr>
          <w:p w14:paraId="0971834B">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治理措施</w:t>
            </w:r>
          </w:p>
        </w:tc>
        <w:tc>
          <w:tcPr>
            <w:tcW w:w="239" w:type="pct"/>
            <w:vMerge w:val="restart"/>
            <w:tcMar>
              <w:left w:w="28" w:type="dxa"/>
              <w:right w:w="28" w:type="dxa"/>
            </w:tcMar>
            <w:vAlign w:val="center"/>
          </w:tcPr>
          <w:p w14:paraId="79D050F3">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去除率</w:t>
            </w:r>
            <w:r>
              <w:rPr>
                <w:rFonts w:ascii="Times New Roman" w:eastAsia="宋体"/>
                <w:color w:val="000000" w:themeColor="text1"/>
                <w:sz w:val="21"/>
                <w:szCs w:val="21"/>
                <w14:textFill>
                  <w14:solidFill>
                    <w14:schemeClr w14:val="tx1"/>
                  </w14:solidFill>
                </w14:textFill>
              </w:rPr>
              <w:t>%</w:t>
            </w:r>
          </w:p>
        </w:tc>
        <w:tc>
          <w:tcPr>
            <w:tcW w:w="1041" w:type="pct"/>
            <w:gridSpan w:val="3"/>
            <w:tcMar>
              <w:left w:w="28" w:type="dxa"/>
              <w:right w:w="28" w:type="dxa"/>
            </w:tcMar>
            <w:vAlign w:val="center"/>
          </w:tcPr>
          <w:p w14:paraId="6296FB0D">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排放状况</w:t>
            </w:r>
          </w:p>
        </w:tc>
        <w:tc>
          <w:tcPr>
            <w:tcW w:w="526" w:type="pct"/>
            <w:gridSpan w:val="2"/>
            <w:tcMar>
              <w:left w:w="28" w:type="dxa"/>
              <w:right w:w="28" w:type="dxa"/>
            </w:tcMar>
            <w:vAlign w:val="center"/>
          </w:tcPr>
          <w:p w14:paraId="3AF440A5">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执行标准</w:t>
            </w:r>
          </w:p>
        </w:tc>
        <w:tc>
          <w:tcPr>
            <w:tcW w:w="645" w:type="pct"/>
            <w:gridSpan w:val="3"/>
            <w:tcMar>
              <w:left w:w="28" w:type="dxa"/>
              <w:right w:w="28" w:type="dxa"/>
            </w:tcMar>
            <w:vAlign w:val="center"/>
          </w:tcPr>
          <w:p w14:paraId="79DDC485">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排放源参数</w:t>
            </w:r>
          </w:p>
        </w:tc>
        <w:tc>
          <w:tcPr>
            <w:tcW w:w="255" w:type="pct"/>
            <w:vMerge w:val="restart"/>
            <w:tcMar>
              <w:left w:w="28" w:type="dxa"/>
              <w:right w:w="28" w:type="dxa"/>
            </w:tcMar>
            <w:vAlign w:val="center"/>
          </w:tcPr>
          <w:p w14:paraId="1E57285B">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排放方式及去向</w:t>
            </w:r>
          </w:p>
        </w:tc>
      </w:tr>
      <w:tr w14:paraId="339F5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vMerge w:val="continue"/>
            <w:vAlign w:val="center"/>
          </w:tcPr>
          <w:p w14:paraId="5D2678BA">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271" w:type="pct"/>
            <w:vMerge w:val="continue"/>
            <w:tcMar>
              <w:left w:w="28" w:type="dxa"/>
              <w:right w:w="28" w:type="dxa"/>
            </w:tcMar>
            <w:vAlign w:val="center"/>
          </w:tcPr>
          <w:p w14:paraId="72DF35B0">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283" w:type="pct"/>
            <w:vMerge w:val="continue"/>
            <w:tcMar>
              <w:left w:w="28" w:type="dxa"/>
              <w:right w:w="28" w:type="dxa"/>
            </w:tcMar>
            <w:vAlign w:val="center"/>
          </w:tcPr>
          <w:p w14:paraId="297465B3">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339" w:type="pct"/>
            <w:tcMar>
              <w:left w:w="28" w:type="dxa"/>
              <w:right w:w="28" w:type="dxa"/>
            </w:tcMar>
            <w:vAlign w:val="center"/>
          </w:tcPr>
          <w:p w14:paraId="6DAF5C6A">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浓度</w:t>
            </w:r>
            <w:r>
              <w:rPr>
                <w:rFonts w:ascii="Times New Roman" w:eastAsia="宋体"/>
                <w:color w:val="000000" w:themeColor="text1"/>
                <w:sz w:val="21"/>
                <w:szCs w:val="21"/>
                <w14:textFill>
                  <w14:solidFill>
                    <w14:schemeClr w14:val="tx1"/>
                  </w14:solidFill>
                </w14:textFill>
              </w:rPr>
              <w:t>mg/m</w:t>
            </w:r>
            <w:r>
              <w:rPr>
                <w:rFonts w:ascii="Times New Roman" w:eastAsia="宋体"/>
                <w:color w:val="000000" w:themeColor="text1"/>
                <w:sz w:val="21"/>
                <w:szCs w:val="21"/>
                <w:vertAlign w:val="superscript"/>
                <w14:textFill>
                  <w14:solidFill>
                    <w14:schemeClr w14:val="tx1"/>
                  </w14:solidFill>
                </w14:textFill>
              </w:rPr>
              <w:t>3</w:t>
            </w:r>
          </w:p>
        </w:tc>
        <w:tc>
          <w:tcPr>
            <w:tcW w:w="341" w:type="pct"/>
            <w:tcMar>
              <w:left w:w="28" w:type="dxa"/>
              <w:right w:w="28" w:type="dxa"/>
            </w:tcMar>
            <w:vAlign w:val="center"/>
          </w:tcPr>
          <w:p w14:paraId="396B544E">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速率</w:t>
            </w:r>
            <w:r>
              <w:rPr>
                <w:rFonts w:ascii="Times New Roman" w:eastAsia="宋体"/>
                <w:color w:val="000000" w:themeColor="text1"/>
                <w:sz w:val="21"/>
                <w:szCs w:val="21"/>
                <w14:textFill>
                  <w14:solidFill>
                    <w14:schemeClr w14:val="tx1"/>
                  </w14:solidFill>
                </w14:textFill>
              </w:rPr>
              <w:t>kg/h</w:t>
            </w:r>
          </w:p>
        </w:tc>
        <w:tc>
          <w:tcPr>
            <w:tcW w:w="413" w:type="pct"/>
            <w:tcMar>
              <w:left w:w="28" w:type="dxa"/>
              <w:right w:w="28" w:type="dxa"/>
            </w:tcMar>
            <w:vAlign w:val="center"/>
          </w:tcPr>
          <w:p w14:paraId="272A4130">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产生量</w:t>
            </w:r>
            <w:r>
              <w:rPr>
                <w:rFonts w:ascii="Times New Roman" w:eastAsia="宋体"/>
                <w:color w:val="000000" w:themeColor="text1"/>
                <w:sz w:val="21"/>
                <w:szCs w:val="21"/>
                <w14:textFill>
                  <w14:solidFill>
                    <w14:schemeClr w14:val="tx1"/>
                  </w14:solidFill>
                </w14:textFill>
              </w:rPr>
              <w:t>t/a</w:t>
            </w:r>
          </w:p>
        </w:tc>
        <w:tc>
          <w:tcPr>
            <w:tcW w:w="261" w:type="pct"/>
            <w:vMerge w:val="continue"/>
            <w:tcMar>
              <w:left w:w="28" w:type="dxa"/>
              <w:right w:w="28" w:type="dxa"/>
            </w:tcMar>
            <w:vAlign w:val="center"/>
          </w:tcPr>
          <w:p w14:paraId="5FAF1E64">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239" w:type="pct"/>
            <w:vMerge w:val="continue"/>
            <w:tcMar>
              <w:left w:w="28" w:type="dxa"/>
              <w:right w:w="28" w:type="dxa"/>
            </w:tcMar>
            <w:vAlign w:val="center"/>
          </w:tcPr>
          <w:p w14:paraId="2E2DAB80">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306" w:type="pct"/>
            <w:tcMar>
              <w:left w:w="28" w:type="dxa"/>
              <w:right w:w="28" w:type="dxa"/>
            </w:tcMar>
            <w:vAlign w:val="center"/>
          </w:tcPr>
          <w:p w14:paraId="3197CED8">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浓度</w:t>
            </w:r>
            <w:r>
              <w:rPr>
                <w:rFonts w:ascii="Times New Roman" w:eastAsia="宋体"/>
                <w:color w:val="000000" w:themeColor="text1"/>
                <w:sz w:val="21"/>
                <w:szCs w:val="21"/>
                <w14:textFill>
                  <w14:solidFill>
                    <w14:schemeClr w14:val="tx1"/>
                  </w14:solidFill>
                </w14:textFill>
              </w:rPr>
              <w:t>mg/m</w:t>
            </w:r>
            <w:r>
              <w:rPr>
                <w:rFonts w:ascii="Times New Roman" w:eastAsia="宋体"/>
                <w:color w:val="000000" w:themeColor="text1"/>
                <w:sz w:val="21"/>
                <w:szCs w:val="21"/>
                <w:vertAlign w:val="superscript"/>
                <w14:textFill>
                  <w14:solidFill>
                    <w14:schemeClr w14:val="tx1"/>
                  </w14:solidFill>
                </w14:textFill>
              </w:rPr>
              <w:t>3</w:t>
            </w:r>
          </w:p>
        </w:tc>
        <w:tc>
          <w:tcPr>
            <w:tcW w:w="360" w:type="pct"/>
            <w:tcMar>
              <w:left w:w="28" w:type="dxa"/>
              <w:right w:w="28" w:type="dxa"/>
            </w:tcMar>
            <w:vAlign w:val="center"/>
          </w:tcPr>
          <w:p w14:paraId="3E60B0C6">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速率</w:t>
            </w:r>
            <w:r>
              <w:rPr>
                <w:rFonts w:ascii="Times New Roman" w:eastAsia="宋体"/>
                <w:color w:val="000000" w:themeColor="text1"/>
                <w:sz w:val="21"/>
                <w:szCs w:val="21"/>
                <w14:textFill>
                  <w14:solidFill>
                    <w14:schemeClr w14:val="tx1"/>
                  </w14:solidFill>
                </w14:textFill>
              </w:rPr>
              <w:t>kg/h</w:t>
            </w:r>
          </w:p>
        </w:tc>
        <w:tc>
          <w:tcPr>
            <w:tcW w:w="375" w:type="pct"/>
            <w:tcMar>
              <w:left w:w="28" w:type="dxa"/>
              <w:right w:w="28" w:type="dxa"/>
            </w:tcMar>
            <w:vAlign w:val="center"/>
          </w:tcPr>
          <w:p w14:paraId="0F3C89F8">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排放量</w:t>
            </w:r>
            <w:r>
              <w:rPr>
                <w:rFonts w:ascii="Times New Roman" w:eastAsia="宋体"/>
                <w:color w:val="000000" w:themeColor="text1"/>
                <w:sz w:val="21"/>
                <w:szCs w:val="21"/>
                <w14:textFill>
                  <w14:solidFill>
                    <w14:schemeClr w14:val="tx1"/>
                  </w14:solidFill>
                </w14:textFill>
              </w:rPr>
              <w:t>t/a</w:t>
            </w:r>
          </w:p>
        </w:tc>
        <w:tc>
          <w:tcPr>
            <w:tcW w:w="250" w:type="pct"/>
            <w:tcMar>
              <w:left w:w="28" w:type="dxa"/>
              <w:right w:w="28" w:type="dxa"/>
            </w:tcMar>
            <w:vAlign w:val="center"/>
          </w:tcPr>
          <w:p w14:paraId="4C73BDC2">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浓度</w:t>
            </w:r>
            <w:r>
              <w:rPr>
                <w:rFonts w:ascii="Times New Roman" w:eastAsia="宋体"/>
                <w:color w:val="000000" w:themeColor="text1"/>
                <w:sz w:val="21"/>
                <w:szCs w:val="21"/>
                <w14:textFill>
                  <w14:solidFill>
                    <w14:schemeClr w14:val="tx1"/>
                  </w14:solidFill>
                </w14:textFill>
              </w:rPr>
              <w:t>mg/m</w:t>
            </w:r>
            <w:r>
              <w:rPr>
                <w:rFonts w:ascii="Times New Roman" w:eastAsia="宋体"/>
                <w:color w:val="000000" w:themeColor="text1"/>
                <w:sz w:val="21"/>
                <w:szCs w:val="21"/>
                <w:vertAlign w:val="superscript"/>
                <w14:textFill>
                  <w14:solidFill>
                    <w14:schemeClr w14:val="tx1"/>
                  </w14:solidFill>
                </w14:textFill>
              </w:rPr>
              <w:t>3</w:t>
            </w:r>
          </w:p>
        </w:tc>
        <w:tc>
          <w:tcPr>
            <w:tcW w:w="276" w:type="pct"/>
            <w:tcMar>
              <w:left w:w="28" w:type="dxa"/>
              <w:right w:w="28" w:type="dxa"/>
            </w:tcMar>
            <w:vAlign w:val="center"/>
          </w:tcPr>
          <w:p w14:paraId="21AA2CD2">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速率</w:t>
            </w:r>
            <w:r>
              <w:rPr>
                <w:rFonts w:ascii="Times New Roman" w:eastAsia="宋体"/>
                <w:color w:val="000000" w:themeColor="text1"/>
                <w:sz w:val="21"/>
                <w:szCs w:val="21"/>
                <w14:textFill>
                  <w14:solidFill>
                    <w14:schemeClr w14:val="tx1"/>
                  </w14:solidFill>
                </w14:textFill>
              </w:rPr>
              <w:t>kg/h</w:t>
            </w:r>
          </w:p>
        </w:tc>
        <w:tc>
          <w:tcPr>
            <w:tcW w:w="156" w:type="pct"/>
            <w:tcMar>
              <w:left w:w="28" w:type="dxa"/>
              <w:right w:w="28" w:type="dxa"/>
            </w:tcMar>
            <w:vAlign w:val="center"/>
          </w:tcPr>
          <w:p w14:paraId="66B2E94F">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内径</w:t>
            </w:r>
            <w:r>
              <w:rPr>
                <w:rFonts w:ascii="Times New Roman" w:eastAsia="宋体"/>
                <w:color w:val="000000" w:themeColor="text1"/>
                <w:sz w:val="21"/>
                <w:szCs w:val="21"/>
                <w14:textFill>
                  <w14:solidFill>
                    <w14:schemeClr w14:val="tx1"/>
                  </w14:solidFill>
                </w14:textFill>
              </w:rPr>
              <w:t>m</w:t>
            </w:r>
          </w:p>
        </w:tc>
        <w:tc>
          <w:tcPr>
            <w:tcW w:w="232" w:type="pct"/>
            <w:tcMar>
              <w:left w:w="28" w:type="dxa"/>
              <w:right w:w="28" w:type="dxa"/>
            </w:tcMar>
            <w:vAlign w:val="center"/>
          </w:tcPr>
          <w:p w14:paraId="0E929EEB">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排放温度</w:t>
            </w:r>
            <w:r>
              <w:rPr>
                <w:rFonts w:hAnsi="宋体" w:eastAsia="宋体"/>
                <w:color w:val="000000" w:themeColor="text1"/>
                <w:sz w:val="21"/>
                <w:szCs w:val="21"/>
                <w14:textFill>
                  <w14:solidFill>
                    <w14:schemeClr w14:val="tx1"/>
                  </w14:solidFill>
                </w14:textFill>
              </w:rPr>
              <w:t>℃</w:t>
            </w:r>
          </w:p>
        </w:tc>
        <w:tc>
          <w:tcPr>
            <w:tcW w:w="256" w:type="pct"/>
            <w:tcMar>
              <w:left w:w="28" w:type="dxa"/>
              <w:right w:w="28" w:type="dxa"/>
            </w:tcMar>
            <w:vAlign w:val="center"/>
          </w:tcPr>
          <w:p w14:paraId="3343E9DD">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ascii="Times New Roman" w:hAnsi="宋体" w:eastAsia="宋体"/>
                <w:color w:val="000000" w:themeColor="text1"/>
                <w:sz w:val="21"/>
                <w:szCs w:val="21"/>
                <w14:textFill>
                  <w14:solidFill>
                    <w14:schemeClr w14:val="tx1"/>
                  </w14:solidFill>
                </w14:textFill>
              </w:rPr>
              <w:t>排放高度</w:t>
            </w:r>
            <w:r>
              <w:rPr>
                <w:rFonts w:ascii="Times New Roman" w:eastAsia="宋体"/>
                <w:color w:val="000000" w:themeColor="text1"/>
                <w:sz w:val="21"/>
                <w:szCs w:val="21"/>
                <w14:textFill>
                  <w14:solidFill>
                    <w14:schemeClr w14:val="tx1"/>
                  </w14:solidFill>
                </w14:textFill>
              </w:rPr>
              <w:t>m</w:t>
            </w:r>
          </w:p>
        </w:tc>
        <w:tc>
          <w:tcPr>
            <w:tcW w:w="255" w:type="pct"/>
            <w:vMerge w:val="continue"/>
            <w:tcMar>
              <w:left w:w="28" w:type="dxa"/>
              <w:right w:w="28" w:type="dxa"/>
            </w:tcMar>
            <w:vAlign w:val="center"/>
          </w:tcPr>
          <w:p w14:paraId="7B554DF3">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r>
      <w:tr w14:paraId="30524F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3" w:type="pct"/>
            <w:vMerge w:val="restart"/>
            <w:vAlign w:val="center"/>
          </w:tcPr>
          <w:p w14:paraId="3120C637">
            <w:pPr>
              <w:autoSpaceDE w:val="0"/>
              <w:autoSpaceDN w:val="0"/>
              <w:adjustRightInd w:val="0"/>
              <w:snapToGrid w:val="0"/>
              <w:spacing w:line="280" w:lineRule="exact"/>
              <w:jc w:val="center"/>
              <w:rPr>
                <w:rFonts w:ascii="Times New Roman" w:eastAsia="宋体"/>
                <w:b/>
                <w:bCs/>
                <w:color w:val="000000" w:themeColor="text1"/>
                <w:sz w:val="21"/>
                <w:szCs w:val="21"/>
                <w14:textFill>
                  <w14:solidFill>
                    <w14:schemeClr w14:val="tx1"/>
                  </w14:solidFill>
                </w14:textFill>
              </w:rPr>
            </w:pPr>
          </w:p>
        </w:tc>
        <w:tc>
          <w:tcPr>
            <w:tcW w:w="271" w:type="pct"/>
            <w:vMerge w:val="restart"/>
            <w:tcMar>
              <w:left w:w="28" w:type="dxa"/>
              <w:right w:w="28" w:type="dxa"/>
            </w:tcMar>
            <w:vAlign w:val="center"/>
          </w:tcPr>
          <w:p w14:paraId="177D3FFE">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283" w:type="pct"/>
            <w:tcMar>
              <w:left w:w="28" w:type="dxa"/>
              <w:right w:w="28" w:type="dxa"/>
            </w:tcMar>
            <w:vAlign w:val="center"/>
          </w:tcPr>
          <w:p w14:paraId="6946DA20">
            <w:pPr>
              <w:pStyle w:val="61"/>
              <w:rPr>
                <w:color w:val="000000" w:themeColor="text1"/>
                <w:szCs w:val="21"/>
                <w14:textFill>
                  <w14:solidFill>
                    <w14:schemeClr w14:val="tx1"/>
                  </w14:solidFill>
                </w14:textFill>
              </w:rPr>
            </w:pPr>
          </w:p>
        </w:tc>
        <w:tc>
          <w:tcPr>
            <w:tcW w:w="339" w:type="pct"/>
            <w:tcMar>
              <w:left w:w="28" w:type="dxa"/>
              <w:right w:w="28" w:type="dxa"/>
            </w:tcMar>
            <w:vAlign w:val="center"/>
          </w:tcPr>
          <w:p w14:paraId="209854CC">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341" w:type="pct"/>
            <w:tcMar>
              <w:left w:w="28" w:type="dxa"/>
              <w:right w:w="28" w:type="dxa"/>
            </w:tcMar>
            <w:vAlign w:val="center"/>
          </w:tcPr>
          <w:p w14:paraId="1B257337">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413" w:type="pct"/>
            <w:tcMar>
              <w:left w:w="28" w:type="dxa"/>
              <w:right w:w="28" w:type="dxa"/>
            </w:tcMar>
            <w:vAlign w:val="center"/>
          </w:tcPr>
          <w:p w14:paraId="136274DB">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261" w:type="pct"/>
            <w:vMerge w:val="restart"/>
            <w:tcMar>
              <w:left w:w="28" w:type="dxa"/>
              <w:right w:w="28" w:type="dxa"/>
            </w:tcMar>
            <w:vAlign w:val="center"/>
          </w:tcPr>
          <w:p w14:paraId="0B4A396E">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239" w:type="pct"/>
            <w:tcMar>
              <w:left w:w="28" w:type="dxa"/>
              <w:right w:w="28" w:type="dxa"/>
            </w:tcMar>
            <w:vAlign w:val="center"/>
          </w:tcPr>
          <w:p w14:paraId="53B16CA0">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306" w:type="pct"/>
            <w:tcMar>
              <w:left w:w="28" w:type="dxa"/>
              <w:right w:w="28" w:type="dxa"/>
            </w:tcMar>
            <w:vAlign w:val="center"/>
          </w:tcPr>
          <w:p w14:paraId="1842C860">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360" w:type="pct"/>
            <w:tcMar>
              <w:left w:w="28" w:type="dxa"/>
              <w:right w:w="28" w:type="dxa"/>
            </w:tcMar>
            <w:vAlign w:val="center"/>
          </w:tcPr>
          <w:p w14:paraId="69242336">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375" w:type="pct"/>
            <w:tcMar>
              <w:left w:w="28" w:type="dxa"/>
              <w:right w:w="28" w:type="dxa"/>
            </w:tcMar>
            <w:vAlign w:val="center"/>
          </w:tcPr>
          <w:p w14:paraId="61FC9BF8">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250" w:type="pct"/>
            <w:tcMar>
              <w:left w:w="28" w:type="dxa"/>
              <w:right w:w="28" w:type="dxa"/>
            </w:tcMar>
            <w:vAlign w:val="center"/>
          </w:tcPr>
          <w:p w14:paraId="1F59B58D">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276" w:type="pct"/>
            <w:tcMar>
              <w:left w:w="28" w:type="dxa"/>
              <w:right w:w="28" w:type="dxa"/>
            </w:tcMar>
            <w:vAlign w:val="center"/>
          </w:tcPr>
          <w:p w14:paraId="5C89148F">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156" w:type="pct"/>
            <w:vMerge w:val="restart"/>
            <w:tcMar>
              <w:left w:w="28" w:type="dxa"/>
              <w:right w:w="28" w:type="dxa"/>
            </w:tcMar>
            <w:vAlign w:val="center"/>
          </w:tcPr>
          <w:p w14:paraId="44C0D3FE">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232" w:type="pct"/>
            <w:vMerge w:val="restart"/>
            <w:tcMar>
              <w:left w:w="28" w:type="dxa"/>
              <w:right w:w="28" w:type="dxa"/>
            </w:tcMar>
            <w:vAlign w:val="center"/>
          </w:tcPr>
          <w:p w14:paraId="14A31114">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256" w:type="pct"/>
            <w:vMerge w:val="restart"/>
            <w:tcMar>
              <w:left w:w="28" w:type="dxa"/>
              <w:right w:w="28" w:type="dxa"/>
            </w:tcMar>
            <w:vAlign w:val="center"/>
          </w:tcPr>
          <w:p w14:paraId="6C1515A4">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255" w:type="pct"/>
            <w:vMerge w:val="restart"/>
            <w:tcMar>
              <w:left w:w="28" w:type="dxa"/>
              <w:right w:w="28" w:type="dxa"/>
            </w:tcMar>
            <w:vAlign w:val="center"/>
          </w:tcPr>
          <w:p w14:paraId="7F2FB5A5">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r>
      <w:tr w14:paraId="6E96B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3" w:type="pct"/>
            <w:vMerge w:val="continue"/>
            <w:vAlign w:val="center"/>
          </w:tcPr>
          <w:p w14:paraId="2FE90B84">
            <w:pPr>
              <w:autoSpaceDE w:val="0"/>
              <w:autoSpaceDN w:val="0"/>
              <w:adjustRightInd w:val="0"/>
              <w:snapToGrid w:val="0"/>
              <w:spacing w:line="280" w:lineRule="exact"/>
              <w:jc w:val="center"/>
              <w:rPr>
                <w:rFonts w:ascii="Times New Roman" w:hAnsi="宋体" w:eastAsia="宋体"/>
                <w:color w:val="000000" w:themeColor="text1"/>
                <w:sz w:val="21"/>
                <w:szCs w:val="21"/>
                <w14:textFill>
                  <w14:solidFill>
                    <w14:schemeClr w14:val="tx1"/>
                  </w14:solidFill>
                </w14:textFill>
              </w:rPr>
            </w:pPr>
          </w:p>
        </w:tc>
        <w:tc>
          <w:tcPr>
            <w:tcW w:w="271" w:type="pct"/>
            <w:vMerge w:val="continue"/>
            <w:tcMar>
              <w:left w:w="28" w:type="dxa"/>
              <w:right w:w="28" w:type="dxa"/>
            </w:tcMar>
            <w:vAlign w:val="center"/>
          </w:tcPr>
          <w:p w14:paraId="647595BF">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283" w:type="pct"/>
            <w:tcMar>
              <w:left w:w="28" w:type="dxa"/>
              <w:right w:w="28" w:type="dxa"/>
            </w:tcMar>
            <w:vAlign w:val="center"/>
          </w:tcPr>
          <w:p w14:paraId="18DBF46E">
            <w:pPr>
              <w:pStyle w:val="61"/>
              <w:rPr>
                <w:color w:val="000000" w:themeColor="text1"/>
                <w:szCs w:val="21"/>
                <w14:textFill>
                  <w14:solidFill>
                    <w14:schemeClr w14:val="tx1"/>
                  </w14:solidFill>
                </w14:textFill>
              </w:rPr>
            </w:pPr>
          </w:p>
        </w:tc>
        <w:tc>
          <w:tcPr>
            <w:tcW w:w="339" w:type="pct"/>
            <w:tcMar>
              <w:left w:w="28" w:type="dxa"/>
              <w:right w:w="28" w:type="dxa"/>
            </w:tcMar>
            <w:vAlign w:val="center"/>
          </w:tcPr>
          <w:p w14:paraId="56AA0D5F">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341" w:type="pct"/>
            <w:tcMar>
              <w:left w:w="28" w:type="dxa"/>
              <w:right w:w="28" w:type="dxa"/>
            </w:tcMar>
            <w:vAlign w:val="center"/>
          </w:tcPr>
          <w:p w14:paraId="38B4DE0A">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413" w:type="pct"/>
            <w:tcMar>
              <w:left w:w="28" w:type="dxa"/>
              <w:right w:w="28" w:type="dxa"/>
            </w:tcMar>
            <w:vAlign w:val="center"/>
          </w:tcPr>
          <w:p w14:paraId="74FAA0CB">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261" w:type="pct"/>
            <w:vMerge w:val="continue"/>
            <w:tcMar>
              <w:left w:w="28" w:type="dxa"/>
              <w:right w:w="28" w:type="dxa"/>
            </w:tcMar>
            <w:vAlign w:val="center"/>
          </w:tcPr>
          <w:p w14:paraId="450DC0B9">
            <w:pPr>
              <w:widowControl/>
              <w:adjustRightInd w:val="0"/>
              <w:snapToGrid w:val="0"/>
              <w:spacing w:line="280" w:lineRule="exact"/>
              <w:jc w:val="center"/>
              <w:rPr>
                <w:rFonts w:ascii="Times New Roman" w:hAnsi="宋体" w:eastAsia="宋体"/>
                <w:color w:val="000000" w:themeColor="text1"/>
                <w:sz w:val="21"/>
                <w:szCs w:val="21"/>
                <w14:textFill>
                  <w14:solidFill>
                    <w14:schemeClr w14:val="tx1"/>
                  </w14:solidFill>
                </w14:textFill>
              </w:rPr>
            </w:pPr>
          </w:p>
        </w:tc>
        <w:tc>
          <w:tcPr>
            <w:tcW w:w="239" w:type="pct"/>
            <w:tcMar>
              <w:left w:w="28" w:type="dxa"/>
              <w:right w:w="28" w:type="dxa"/>
            </w:tcMar>
            <w:vAlign w:val="center"/>
          </w:tcPr>
          <w:p w14:paraId="226B97A2">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306" w:type="pct"/>
            <w:tcMar>
              <w:left w:w="28" w:type="dxa"/>
              <w:right w:w="28" w:type="dxa"/>
            </w:tcMar>
            <w:vAlign w:val="center"/>
          </w:tcPr>
          <w:p w14:paraId="5C19B5BD">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360" w:type="pct"/>
            <w:tcMar>
              <w:left w:w="28" w:type="dxa"/>
              <w:right w:w="28" w:type="dxa"/>
            </w:tcMar>
            <w:vAlign w:val="center"/>
          </w:tcPr>
          <w:p w14:paraId="66F9AF2F">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375" w:type="pct"/>
            <w:tcMar>
              <w:left w:w="28" w:type="dxa"/>
              <w:right w:w="28" w:type="dxa"/>
            </w:tcMar>
            <w:vAlign w:val="center"/>
          </w:tcPr>
          <w:p w14:paraId="68AC3AA7">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250" w:type="pct"/>
            <w:tcMar>
              <w:left w:w="28" w:type="dxa"/>
              <w:right w:w="28" w:type="dxa"/>
            </w:tcMar>
            <w:vAlign w:val="center"/>
          </w:tcPr>
          <w:p w14:paraId="02D099DD">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276" w:type="pct"/>
            <w:tcMar>
              <w:left w:w="28" w:type="dxa"/>
              <w:right w:w="28" w:type="dxa"/>
            </w:tcMar>
            <w:vAlign w:val="center"/>
          </w:tcPr>
          <w:p w14:paraId="36405881">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156" w:type="pct"/>
            <w:vMerge w:val="continue"/>
            <w:tcMar>
              <w:left w:w="28" w:type="dxa"/>
              <w:right w:w="28" w:type="dxa"/>
            </w:tcMar>
            <w:vAlign w:val="center"/>
          </w:tcPr>
          <w:p w14:paraId="5B96D4C9">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232" w:type="pct"/>
            <w:vMerge w:val="continue"/>
            <w:tcMar>
              <w:left w:w="28" w:type="dxa"/>
              <w:right w:w="28" w:type="dxa"/>
            </w:tcMar>
            <w:vAlign w:val="center"/>
          </w:tcPr>
          <w:p w14:paraId="2657D33B">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256" w:type="pct"/>
            <w:vMerge w:val="continue"/>
            <w:tcMar>
              <w:left w:w="28" w:type="dxa"/>
              <w:right w:w="28" w:type="dxa"/>
            </w:tcMar>
            <w:vAlign w:val="center"/>
          </w:tcPr>
          <w:p w14:paraId="53EF9D4D">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255" w:type="pct"/>
            <w:vMerge w:val="continue"/>
            <w:tcMar>
              <w:left w:w="28" w:type="dxa"/>
              <w:right w:w="28" w:type="dxa"/>
            </w:tcMar>
            <w:vAlign w:val="center"/>
          </w:tcPr>
          <w:p w14:paraId="7B7CA903">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r>
    </w:tbl>
    <w:p w14:paraId="1B55102A">
      <w:pPr>
        <w:pStyle w:val="31"/>
        <w:spacing w:before="0" w:line="480" w:lineRule="exact"/>
      </w:pPr>
      <w:r>
        <w:rPr>
          <w:rFonts w:hint="eastAsia"/>
        </w:rPr>
        <w:t>表</w:t>
      </w:r>
      <w:r>
        <w:t>3.7-</w:t>
      </w:r>
      <w:r>
        <w:rPr>
          <w:rFonts w:hint="eastAsia"/>
        </w:rPr>
        <w:t xml:space="preserve">5 </w:t>
      </w:r>
      <w:r>
        <w:t xml:space="preserve"> </w:t>
      </w:r>
      <w:r>
        <w:rPr>
          <w:rFonts w:hint="eastAsia"/>
        </w:rPr>
        <w:t>无组织大气污染物产排放情况一览表</w:t>
      </w:r>
    </w:p>
    <w:tbl>
      <w:tblPr>
        <w:tblStyle w:val="41"/>
        <w:tblW w:w="491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67"/>
        <w:gridCol w:w="2367"/>
        <w:gridCol w:w="2367"/>
        <w:gridCol w:w="2367"/>
        <w:gridCol w:w="2371"/>
        <w:gridCol w:w="2245"/>
      </w:tblGrid>
      <w:tr w14:paraId="7EDC63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pct"/>
            <w:vAlign w:val="center"/>
          </w:tcPr>
          <w:p w14:paraId="765E6410">
            <w:pPr>
              <w:pStyle w:val="61"/>
            </w:pPr>
            <w:r>
              <w:rPr>
                <w:rFonts w:hint="eastAsia"/>
              </w:rPr>
              <w:t>污染源名称</w:t>
            </w:r>
          </w:p>
        </w:tc>
        <w:tc>
          <w:tcPr>
            <w:tcW w:w="846" w:type="pct"/>
            <w:vAlign w:val="center"/>
          </w:tcPr>
          <w:p w14:paraId="4AD61CE2">
            <w:pPr>
              <w:pStyle w:val="61"/>
            </w:pPr>
            <w:r>
              <w:rPr>
                <w:rFonts w:hint="eastAsia"/>
              </w:rPr>
              <w:t>污染物</w:t>
            </w:r>
          </w:p>
        </w:tc>
        <w:tc>
          <w:tcPr>
            <w:tcW w:w="846" w:type="pct"/>
            <w:vAlign w:val="center"/>
          </w:tcPr>
          <w:p w14:paraId="5BC88D6E">
            <w:pPr>
              <w:pStyle w:val="61"/>
            </w:pPr>
            <w:r>
              <w:rPr>
                <w:rFonts w:hint="eastAsia"/>
              </w:rPr>
              <w:t>排放量（t</w:t>
            </w:r>
            <w:r>
              <w:t>/a</w:t>
            </w:r>
            <w:r>
              <w:rPr>
                <w:rFonts w:hint="eastAsia"/>
              </w:rPr>
              <w:t>）</w:t>
            </w:r>
          </w:p>
        </w:tc>
        <w:tc>
          <w:tcPr>
            <w:tcW w:w="846" w:type="pct"/>
            <w:vAlign w:val="center"/>
          </w:tcPr>
          <w:p w14:paraId="796E9C1F">
            <w:pPr>
              <w:pStyle w:val="61"/>
            </w:pPr>
            <w:r>
              <w:rPr>
                <w:rFonts w:hint="eastAsia"/>
              </w:rPr>
              <w:t>排放速率（k</w:t>
            </w:r>
            <w:r>
              <w:t>g/</w:t>
            </w:r>
            <w:r>
              <w:rPr>
                <w:rFonts w:hint="eastAsia"/>
              </w:rPr>
              <w:t>h）</w:t>
            </w:r>
          </w:p>
        </w:tc>
        <w:tc>
          <w:tcPr>
            <w:tcW w:w="847" w:type="pct"/>
            <w:vAlign w:val="center"/>
          </w:tcPr>
          <w:p w14:paraId="2E39683A">
            <w:pPr>
              <w:pStyle w:val="61"/>
              <w:rPr>
                <w:rFonts w:hint="eastAsia" w:eastAsia="宋体"/>
                <w:lang w:eastAsia="zh-CN"/>
              </w:rPr>
            </w:pPr>
            <w:r>
              <w:rPr>
                <w:rFonts w:hint="eastAsia"/>
              </w:rPr>
              <w:t>面源面积</w:t>
            </w:r>
            <w:r>
              <w:rPr>
                <w:rFonts w:hint="eastAsia"/>
                <w:lang w:eastAsia="zh-CN"/>
              </w:rPr>
              <w:t>（</w:t>
            </w:r>
            <w:r>
              <w:rPr>
                <w:rFonts w:hint="eastAsia"/>
                <w:lang w:val="en-US" w:eastAsia="zh-CN"/>
              </w:rPr>
              <w:t>m</w:t>
            </w:r>
            <w:r>
              <w:rPr>
                <w:rFonts w:hint="eastAsia"/>
                <w:vertAlign w:val="superscript"/>
                <w:lang w:val="en-US" w:eastAsia="zh-CN"/>
              </w:rPr>
              <w:t>2</w:t>
            </w:r>
            <w:r>
              <w:rPr>
                <w:rFonts w:hint="eastAsia"/>
                <w:lang w:eastAsia="zh-CN"/>
              </w:rPr>
              <w:t>）</w:t>
            </w:r>
          </w:p>
        </w:tc>
        <w:tc>
          <w:tcPr>
            <w:tcW w:w="802" w:type="pct"/>
            <w:vAlign w:val="center"/>
          </w:tcPr>
          <w:p w14:paraId="41BB6191">
            <w:pPr>
              <w:pStyle w:val="61"/>
            </w:pPr>
            <w:r>
              <w:rPr>
                <w:rFonts w:hint="eastAsia"/>
              </w:rPr>
              <w:t>排放高度（m）</w:t>
            </w:r>
          </w:p>
        </w:tc>
      </w:tr>
      <w:tr w14:paraId="0E52F5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pct"/>
            <w:vMerge w:val="restart"/>
            <w:vAlign w:val="center"/>
          </w:tcPr>
          <w:p w14:paraId="22570C83">
            <w:pPr>
              <w:pStyle w:val="61"/>
            </w:pPr>
          </w:p>
        </w:tc>
        <w:tc>
          <w:tcPr>
            <w:tcW w:w="846" w:type="pct"/>
            <w:vAlign w:val="center"/>
          </w:tcPr>
          <w:p w14:paraId="5F24969C">
            <w:pPr>
              <w:pStyle w:val="61"/>
            </w:pPr>
          </w:p>
        </w:tc>
        <w:tc>
          <w:tcPr>
            <w:tcW w:w="846" w:type="pct"/>
            <w:vAlign w:val="center"/>
          </w:tcPr>
          <w:p w14:paraId="2A70C3B8">
            <w:pPr>
              <w:pStyle w:val="78"/>
              <w:snapToGrid w:val="0"/>
              <w:spacing w:before="0" w:after="0" w:line="240" w:lineRule="auto"/>
              <w:rPr>
                <w:bCs/>
                <w:szCs w:val="21"/>
              </w:rPr>
            </w:pPr>
          </w:p>
        </w:tc>
        <w:tc>
          <w:tcPr>
            <w:tcW w:w="846" w:type="pct"/>
            <w:vAlign w:val="center"/>
          </w:tcPr>
          <w:p w14:paraId="41B39CE0">
            <w:pPr>
              <w:pStyle w:val="78"/>
              <w:snapToGrid w:val="0"/>
              <w:spacing w:before="0" w:after="0" w:line="240" w:lineRule="auto"/>
              <w:rPr>
                <w:bCs/>
                <w:szCs w:val="21"/>
              </w:rPr>
            </w:pPr>
          </w:p>
        </w:tc>
        <w:tc>
          <w:tcPr>
            <w:tcW w:w="847" w:type="pct"/>
            <w:vMerge w:val="restart"/>
            <w:vAlign w:val="center"/>
          </w:tcPr>
          <w:p w14:paraId="6BAE051A">
            <w:pPr>
              <w:pStyle w:val="61"/>
              <w:rPr>
                <w:rFonts w:eastAsia="仿宋" w:asciiTheme="minorHAnsi" w:hAnsiTheme="minorHAnsi" w:cstheme="minorHAnsi"/>
              </w:rPr>
            </w:pPr>
          </w:p>
        </w:tc>
        <w:tc>
          <w:tcPr>
            <w:tcW w:w="802" w:type="pct"/>
            <w:vMerge w:val="restart"/>
            <w:vAlign w:val="center"/>
          </w:tcPr>
          <w:p w14:paraId="0CDE5C78">
            <w:pPr>
              <w:pStyle w:val="61"/>
              <w:rPr>
                <w:rFonts w:asciiTheme="minorHAnsi" w:hAnsiTheme="minorHAnsi" w:cstheme="minorHAnsi"/>
              </w:rPr>
            </w:pPr>
          </w:p>
        </w:tc>
      </w:tr>
      <w:tr w14:paraId="6B6DD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pct"/>
            <w:vMerge w:val="continue"/>
            <w:vAlign w:val="center"/>
          </w:tcPr>
          <w:p w14:paraId="1D957218">
            <w:pPr>
              <w:pStyle w:val="61"/>
            </w:pPr>
          </w:p>
        </w:tc>
        <w:tc>
          <w:tcPr>
            <w:tcW w:w="846" w:type="pct"/>
            <w:vAlign w:val="center"/>
          </w:tcPr>
          <w:p w14:paraId="606FF37B">
            <w:pPr>
              <w:pStyle w:val="61"/>
            </w:pPr>
          </w:p>
        </w:tc>
        <w:tc>
          <w:tcPr>
            <w:tcW w:w="846" w:type="pct"/>
            <w:vAlign w:val="center"/>
          </w:tcPr>
          <w:p w14:paraId="5521CF54">
            <w:pPr>
              <w:pStyle w:val="78"/>
              <w:snapToGrid w:val="0"/>
              <w:spacing w:before="0" w:after="0" w:line="240" w:lineRule="auto"/>
              <w:rPr>
                <w:bCs/>
                <w:szCs w:val="21"/>
              </w:rPr>
            </w:pPr>
          </w:p>
        </w:tc>
        <w:tc>
          <w:tcPr>
            <w:tcW w:w="846" w:type="pct"/>
            <w:vAlign w:val="center"/>
          </w:tcPr>
          <w:p w14:paraId="2CF41ADD">
            <w:pPr>
              <w:pStyle w:val="78"/>
              <w:snapToGrid w:val="0"/>
              <w:spacing w:before="0" w:after="0" w:line="240" w:lineRule="auto"/>
              <w:rPr>
                <w:bCs/>
                <w:szCs w:val="21"/>
              </w:rPr>
            </w:pPr>
          </w:p>
        </w:tc>
        <w:tc>
          <w:tcPr>
            <w:tcW w:w="847" w:type="pct"/>
            <w:vMerge w:val="continue"/>
            <w:vAlign w:val="center"/>
          </w:tcPr>
          <w:p w14:paraId="6898D67C">
            <w:pPr>
              <w:pStyle w:val="61"/>
              <w:rPr>
                <w:rFonts w:asciiTheme="minorHAnsi" w:hAnsiTheme="minorHAnsi" w:cstheme="minorHAnsi"/>
              </w:rPr>
            </w:pPr>
          </w:p>
        </w:tc>
        <w:tc>
          <w:tcPr>
            <w:tcW w:w="802" w:type="pct"/>
            <w:vMerge w:val="continue"/>
            <w:vAlign w:val="center"/>
          </w:tcPr>
          <w:p w14:paraId="01017C28">
            <w:pPr>
              <w:pStyle w:val="61"/>
              <w:rPr>
                <w:rFonts w:asciiTheme="minorHAnsi" w:hAnsiTheme="minorHAnsi" w:cstheme="minorHAnsi"/>
              </w:rPr>
            </w:pPr>
          </w:p>
        </w:tc>
      </w:tr>
      <w:tr w14:paraId="6A1FA3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pct"/>
            <w:vMerge w:val="restart"/>
            <w:vAlign w:val="center"/>
          </w:tcPr>
          <w:p w14:paraId="6B542ABF">
            <w:pPr>
              <w:pStyle w:val="61"/>
            </w:pPr>
          </w:p>
        </w:tc>
        <w:tc>
          <w:tcPr>
            <w:tcW w:w="846" w:type="pct"/>
            <w:vAlign w:val="center"/>
          </w:tcPr>
          <w:p w14:paraId="438B06CA">
            <w:pPr>
              <w:pStyle w:val="61"/>
            </w:pPr>
          </w:p>
        </w:tc>
        <w:tc>
          <w:tcPr>
            <w:tcW w:w="846" w:type="pct"/>
            <w:vAlign w:val="center"/>
          </w:tcPr>
          <w:p w14:paraId="5ED2455A">
            <w:pPr>
              <w:pStyle w:val="61"/>
            </w:pPr>
          </w:p>
        </w:tc>
        <w:tc>
          <w:tcPr>
            <w:tcW w:w="846" w:type="pct"/>
            <w:vAlign w:val="center"/>
          </w:tcPr>
          <w:p w14:paraId="637ACA2E">
            <w:pPr>
              <w:pStyle w:val="61"/>
            </w:pPr>
          </w:p>
        </w:tc>
        <w:tc>
          <w:tcPr>
            <w:tcW w:w="847" w:type="pct"/>
            <w:vMerge w:val="restart"/>
            <w:vAlign w:val="center"/>
          </w:tcPr>
          <w:p w14:paraId="7D261507">
            <w:pPr>
              <w:pStyle w:val="61"/>
              <w:rPr>
                <w:rFonts w:asciiTheme="minorHAnsi" w:hAnsiTheme="minorHAnsi" w:cstheme="minorHAnsi"/>
              </w:rPr>
            </w:pPr>
          </w:p>
        </w:tc>
        <w:tc>
          <w:tcPr>
            <w:tcW w:w="802" w:type="pct"/>
            <w:vMerge w:val="restart"/>
            <w:vAlign w:val="center"/>
          </w:tcPr>
          <w:p w14:paraId="0251D127">
            <w:pPr>
              <w:pStyle w:val="61"/>
              <w:rPr>
                <w:rFonts w:asciiTheme="minorHAnsi" w:hAnsiTheme="minorHAnsi" w:cstheme="minorHAnsi"/>
              </w:rPr>
            </w:pPr>
          </w:p>
        </w:tc>
      </w:tr>
      <w:tr w14:paraId="50CFF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pct"/>
            <w:vMerge w:val="continue"/>
            <w:vAlign w:val="center"/>
          </w:tcPr>
          <w:p w14:paraId="42478021">
            <w:pPr>
              <w:pStyle w:val="61"/>
            </w:pPr>
          </w:p>
        </w:tc>
        <w:tc>
          <w:tcPr>
            <w:tcW w:w="846" w:type="pct"/>
            <w:vAlign w:val="center"/>
          </w:tcPr>
          <w:p w14:paraId="02C31162">
            <w:pPr>
              <w:pStyle w:val="61"/>
            </w:pPr>
          </w:p>
        </w:tc>
        <w:tc>
          <w:tcPr>
            <w:tcW w:w="846" w:type="pct"/>
            <w:vAlign w:val="center"/>
          </w:tcPr>
          <w:p w14:paraId="622292E2">
            <w:pPr>
              <w:pStyle w:val="61"/>
            </w:pPr>
          </w:p>
        </w:tc>
        <w:tc>
          <w:tcPr>
            <w:tcW w:w="846" w:type="pct"/>
            <w:vAlign w:val="center"/>
          </w:tcPr>
          <w:p w14:paraId="442444A6">
            <w:pPr>
              <w:pStyle w:val="61"/>
            </w:pPr>
          </w:p>
        </w:tc>
        <w:tc>
          <w:tcPr>
            <w:tcW w:w="847" w:type="pct"/>
            <w:vMerge w:val="continue"/>
            <w:vAlign w:val="center"/>
          </w:tcPr>
          <w:p w14:paraId="7725BB2E">
            <w:pPr>
              <w:pStyle w:val="61"/>
            </w:pPr>
          </w:p>
        </w:tc>
        <w:tc>
          <w:tcPr>
            <w:tcW w:w="802" w:type="pct"/>
            <w:vMerge w:val="continue"/>
            <w:vAlign w:val="center"/>
          </w:tcPr>
          <w:p w14:paraId="7F61EFDB">
            <w:pPr>
              <w:pStyle w:val="61"/>
            </w:pPr>
          </w:p>
        </w:tc>
      </w:tr>
      <w:tr w14:paraId="2384A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pct"/>
            <w:vMerge w:val="restart"/>
            <w:vAlign w:val="center"/>
          </w:tcPr>
          <w:p w14:paraId="7CCFDB4C">
            <w:pPr>
              <w:pStyle w:val="61"/>
            </w:pPr>
          </w:p>
        </w:tc>
        <w:tc>
          <w:tcPr>
            <w:tcW w:w="846" w:type="pct"/>
            <w:vAlign w:val="center"/>
          </w:tcPr>
          <w:p w14:paraId="61E2ACEB">
            <w:pPr>
              <w:pStyle w:val="61"/>
            </w:pPr>
          </w:p>
        </w:tc>
        <w:tc>
          <w:tcPr>
            <w:tcW w:w="846" w:type="pct"/>
            <w:vAlign w:val="center"/>
          </w:tcPr>
          <w:p w14:paraId="258C66C3">
            <w:pPr>
              <w:pStyle w:val="61"/>
            </w:pPr>
          </w:p>
        </w:tc>
        <w:tc>
          <w:tcPr>
            <w:tcW w:w="846" w:type="pct"/>
            <w:vAlign w:val="center"/>
          </w:tcPr>
          <w:p w14:paraId="51EC66BE">
            <w:pPr>
              <w:pStyle w:val="61"/>
            </w:pPr>
          </w:p>
        </w:tc>
        <w:tc>
          <w:tcPr>
            <w:tcW w:w="847" w:type="pct"/>
            <w:vMerge w:val="restart"/>
            <w:vAlign w:val="center"/>
          </w:tcPr>
          <w:p w14:paraId="5F59788E">
            <w:pPr>
              <w:pStyle w:val="61"/>
              <w:rPr>
                <w:rFonts w:hint="default" w:eastAsia="仿宋" w:asciiTheme="minorHAnsi" w:hAnsiTheme="minorHAnsi" w:cstheme="minorHAnsi"/>
                <w:lang w:val="en-US" w:eastAsia="zh-CN"/>
              </w:rPr>
            </w:pPr>
          </w:p>
        </w:tc>
        <w:tc>
          <w:tcPr>
            <w:tcW w:w="802" w:type="pct"/>
            <w:vMerge w:val="restart"/>
            <w:vAlign w:val="center"/>
          </w:tcPr>
          <w:p w14:paraId="1568138B">
            <w:pPr>
              <w:pStyle w:val="61"/>
            </w:pPr>
          </w:p>
        </w:tc>
      </w:tr>
      <w:tr w14:paraId="0B6CE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pct"/>
            <w:vMerge w:val="continue"/>
            <w:vAlign w:val="center"/>
          </w:tcPr>
          <w:p w14:paraId="3B2003CC">
            <w:pPr>
              <w:pStyle w:val="61"/>
            </w:pPr>
          </w:p>
        </w:tc>
        <w:tc>
          <w:tcPr>
            <w:tcW w:w="846" w:type="pct"/>
            <w:vAlign w:val="center"/>
          </w:tcPr>
          <w:p w14:paraId="59AE2AF9">
            <w:pPr>
              <w:pStyle w:val="61"/>
            </w:pPr>
          </w:p>
        </w:tc>
        <w:tc>
          <w:tcPr>
            <w:tcW w:w="846" w:type="pct"/>
            <w:vAlign w:val="center"/>
          </w:tcPr>
          <w:p w14:paraId="174A344D">
            <w:pPr>
              <w:pStyle w:val="61"/>
            </w:pPr>
          </w:p>
        </w:tc>
        <w:tc>
          <w:tcPr>
            <w:tcW w:w="846" w:type="pct"/>
            <w:vAlign w:val="center"/>
          </w:tcPr>
          <w:p w14:paraId="6FDAE27B">
            <w:pPr>
              <w:pStyle w:val="61"/>
            </w:pPr>
          </w:p>
        </w:tc>
        <w:tc>
          <w:tcPr>
            <w:tcW w:w="847" w:type="pct"/>
            <w:vMerge w:val="continue"/>
            <w:vAlign w:val="center"/>
          </w:tcPr>
          <w:p w14:paraId="217615E8">
            <w:pPr>
              <w:pStyle w:val="61"/>
            </w:pPr>
          </w:p>
        </w:tc>
        <w:tc>
          <w:tcPr>
            <w:tcW w:w="802" w:type="pct"/>
            <w:vMerge w:val="continue"/>
            <w:vAlign w:val="center"/>
          </w:tcPr>
          <w:p w14:paraId="6609035C">
            <w:pPr>
              <w:pStyle w:val="61"/>
            </w:pPr>
          </w:p>
        </w:tc>
      </w:tr>
    </w:tbl>
    <w:p w14:paraId="039B51DB">
      <w:pPr>
        <w:ind w:firstLine="480" w:firstLineChars="200"/>
        <w:sectPr>
          <w:pgSz w:w="16838" w:h="11906" w:orient="landscape"/>
          <w:pgMar w:top="1417" w:right="1417" w:bottom="1417" w:left="1417" w:header="850" w:footer="850" w:gutter="0"/>
          <w:pgNumType w:fmt="decimal"/>
          <w:cols w:space="425" w:num="1"/>
          <w:docGrid w:type="lines" w:linePitch="326" w:charSpace="0"/>
        </w:sectPr>
      </w:pPr>
    </w:p>
    <w:p w14:paraId="3E037BBF">
      <w:pPr>
        <w:pStyle w:val="7"/>
        <w:spacing w:line="480" w:lineRule="exact"/>
      </w:pPr>
      <w:r>
        <w:rPr>
          <w:rFonts w:hint="eastAsia"/>
        </w:rPr>
        <w:t>3</w:t>
      </w:r>
      <w:r>
        <w:t xml:space="preserve">.7.2 </w:t>
      </w:r>
      <w:r>
        <w:rPr>
          <w:rFonts w:hint="eastAsia"/>
        </w:rPr>
        <w:t>废水污染源</w:t>
      </w:r>
    </w:p>
    <w:p w14:paraId="209DB097">
      <w:pPr>
        <w:spacing w:line="480" w:lineRule="exact"/>
        <w:ind w:firstLine="480" w:firstLineChars="200"/>
      </w:pPr>
      <w:bookmarkStart w:id="55" w:name="_Hlk110596724"/>
      <w:r>
        <w:rPr>
          <w:rFonts w:hint="eastAsia"/>
        </w:rPr>
        <w:t>本项目废水主要为</w:t>
      </w:r>
      <w:r>
        <w:rPr>
          <w:color w:val="000000" w:themeColor="text1"/>
          <w:kern w:val="0"/>
          <w14:textFill>
            <w14:solidFill>
              <w14:schemeClr w14:val="tx1"/>
            </w14:solidFill>
          </w14:textFill>
        </w:rPr>
        <w:t>生活污水</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冲洗废水、</w:t>
      </w:r>
      <w:r>
        <w:rPr>
          <w:rFonts w:hint="eastAsia"/>
          <w:color w:val="000000" w:themeColor="text1"/>
          <w:kern w:val="0"/>
          <w14:textFill>
            <w14:solidFill>
              <w14:schemeClr w14:val="tx1"/>
            </w14:solidFill>
          </w14:textFill>
        </w:rPr>
        <w:t>喷淋废水及初期雨水</w:t>
      </w:r>
      <w:bookmarkEnd w:id="55"/>
      <w:r>
        <w:rPr>
          <w:rFonts w:hint="eastAsia"/>
          <w:color w:val="000000" w:themeColor="text1"/>
          <w:kern w:val="0"/>
          <w14:textFill>
            <w14:solidFill>
              <w14:schemeClr w14:val="tx1"/>
            </w14:solidFill>
          </w14:textFill>
        </w:rPr>
        <w:t>；</w:t>
      </w:r>
      <w:r>
        <w:rPr>
          <w:rFonts w:hint="eastAsia"/>
        </w:rPr>
        <w:t>项目废水污染物产生及排放情况见表3.</w:t>
      </w:r>
      <w:r>
        <w:t>7</w:t>
      </w:r>
      <w:r>
        <w:rPr>
          <w:rFonts w:hint="eastAsia"/>
        </w:rPr>
        <w:t>-6。</w:t>
      </w:r>
    </w:p>
    <w:p w14:paraId="3FD3AE31">
      <w:pPr>
        <w:pStyle w:val="31"/>
        <w:spacing w:before="0" w:line="480" w:lineRule="exact"/>
      </w:pPr>
      <w:r>
        <w:rPr>
          <w:rFonts w:hint="eastAsia"/>
        </w:rPr>
        <w:t>表</w:t>
      </w:r>
      <w:r>
        <w:t>3.7-</w:t>
      </w:r>
      <w:r>
        <w:rPr>
          <w:rFonts w:hint="eastAsia"/>
        </w:rPr>
        <w:t xml:space="preserve">6 </w:t>
      </w:r>
      <w:r>
        <w:t xml:space="preserve"> </w:t>
      </w:r>
      <w:r>
        <w:rPr>
          <w:rFonts w:hint="eastAsia"/>
        </w:rPr>
        <w:t>本项目废水产生及排放情况一览表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57" w:type="dxa"/>
          <w:left w:w="57" w:type="dxa"/>
          <w:bottom w:w="28" w:type="dxa"/>
          <w:right w:w="57" w:type="dxa"/>
        </w:tblCellMar>
      </w:tblPr>
      <w:tblGrid>
        <w:gridCol w:w="553"/>
        <w:gridCol w:w="1156"/>
        <w:gridCol w:w="989"/>
        <w:gridCol w:w="1306"/>
        <w:gridCol w:w="1419"/>
        <w:gridCol w:w="1628"/>
        <w:gridCol w:w="884"/>
        <w:gridCol w:w="797"/>
        <w:gridCol w:w="1280"/>
        <w:gridCol w:w="1495"/>
        <w:gridCol w:w="1738"/>
        <w:gridCol w:w="873"/>
      </w:tblGrid>
      <w:tr w14:paraId="18C60B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restart"/>
            <w:vAlign w:val="center"/>
          </w:tcPr>
          <w:p w14:paraId="0CE63AD0">
            <w:pPr>
              <w:pStyle w:val="97"/>
              <w:spacing w:line="300" w:lineRule="exact"/>
              <w:rPr>
                <w:rFonts w:eastAsia="宋体"/>
                <w:b w:val="0"/>
                <w:color w:val="000000"/>
                <w:sz w:val="21"/>
                <w:szCs w:val="21"/>
              </w:rPr>
            </w:pPr>
            <w:bookmarkStart w:id="56" w:name="OLE_LINK49"/>
            <w:r>
              <w:rPr>
                <w:rFonts w:eastAsia="宋体"/>
                <w:b w:val="0"/>
                <w:color w:val="000000"/>
                <w:sz w:val="21"/>
                <w:szCs w:val="21"/>
              </w:rPr>
              <w:t>编号</w:t>
            </w:r>
          </w:p>
        </w:tc>
        <w:tc>
          <w:tcPr>
            <w:tcW w:w="409" w:type="pct"/>
            <w:vMerge w:val="restart"/>
            <w:vAlign w:val="center"/>
          </w:tcPr>
          <w:p w14:paraId="4FAB7F80">
            <w:pPr>
              <w:pStyle w:val="97"/>
              <w:spacing w:line="300" w:lineRule="exact"/>
              <w:rPr>
                <w:rFonts w:eastAsia="宋体"/>
                <w:b w:val="0"/>
                <w:color w:val="000000"/>
                <w:sz w:val="21"/>
                <w:szCs w:val="21"/>
              </w:rPr>
            </w:pPr>
            <w:r>
              <w:rPr>
                <w:rFonts w:eastAsia="宋体"/>
                <w:b w:val="0"/>
                <w:color w:val="000000"/>
                <w:sz w:val="21"/>
                <w:szCs w:val="21"/>
              </w:rPr>
              <w:t>来源</w:t>
            </w:r>
          </w:p>
        </w:tc>
        <w:tc>
          <w:tcPr>
            <w:tcW w:w="350" w:type="pct"/>
            <w:vMerge w:val="restart"/>
            <w:vAlign w:val="center"/>
          </w:tcPr>
          <w:p w14:paraId="36C31E0B">
            <w:pPr>
              <w:pStyle w:val="97"/>
              <w:spacing w:line="300" w:lineRule="exact"/>
              <w:rPr>
                <w:rFonts w:eastAsia="宋体"/>
                <w:b w:val="0"/>
                <w:color w:val="000000"/>
                <w:sz w:val="21"/>
                <w:szCs w:val="21"/>
              </w:rPr>
            </w:pPr>
            <w:r>
              <w:rPr>
                <w:rFonts w:eastAsia="宋体"/>
                <w:b w:val="0"/>
                <w:color w:val="000000"/>
                <w:sz w:val="21"/>
                <w:szCs w:val="21"/>
              </w:rPr>
              <w:t>废水</w:t>
            </w:r>
          </w:p>
          <w:p w14:paraId="2D351440">
            <w:pPr>
              <w:pStyle w:val="97"/>
              <w:spacing w:line="300" w:lineRule="exact"/>
              <w:rPr>
                <w:rFonts w:eastAsia="宋体"/>
                <w:b w:val="0"/>
                <w:color w:val="000000"/>
                <w:sz w:val="21"/>
                <w:szCs w:val="21"/>
              </w:rPr>
            </w:pPr>
            <w:r>
              <w:rPr>
                <w:rFonts w:eastAsia="宋体"/>
                <w:b w:val="0"/>
                <w:color w:val="000000"/>
                <w:sz w:val="21"/>
                <w:szCs w:val="21"/>
              </w:rPr>
              <w:t>产生量</w:t>
            </w:r>
          </w:p>
          <w:p w14:paraId="736F0F87">
            <w:pPr>
              <w:pStyle w:val="97"/>
              <w:spacing w:line="300" w:lineRule="exact"/>
              <w:rPr>
                <w:rFonts w:eastAsia="宋体"/>
                <w:b w:val="0"/>
                <w:color w:val="000000"/>
                <w:sz w:val="21"/>
                <w:szCs w:val="21"/>
              </w:rPr>
            </w:pPr>
            <w:r>
              <w:rPr>
                <w:rFonts w:eastAsia="宋体"/>
                <w:b w:val="0"/>
                <w:color w:val="000000"/>
                <w:sz w:val="21"/>
                <w:szCs w:val="21"/>
              </w:rPr>
              <w:t>t/a</w:t>
            </w:r>
          </w:p>
        </w:tc>
        <w:tc>
          <w:tcPr>
            <w:tcW w:w="462" w:type="pct"/>
            <w:vMerge w:val="restart"/>
            <w:vAlign w:val="center"/>
          </w:tcPr>
          <w:p w14:paraId="2558E8B6">
            <w:pPr>
              <w:pStyle w:val="97"/>
              <w:spacing w:line="300" w:lineRule="exact"/>
              <w:rPr>
                <w:rFonts w:eastAsia="宋体"/>
                <w:b w:val="0"/>
                <w:color w:val="000000"/>
                <w:sz w:val="21"/>
                <w:szCs w:val="21"/>
              </w:rPr>
            </w:pPr>
            <w:r>
              <w:rPr>
                <w:rFonts w:eastAsia="宋体"/>
                <w:b w:val="0"/>
                <w:color w:val="000000"/>
                <w:sz w:val="21"/>
                <w:szCs w:val="21"/>
              </w:rPr>
              <w:t>污染物</w:t>
            </w:r>
          </w:p>
          <w:p w14:paraId="6FF782A3">
            <w:pPr>
              <w:pStyle w:val="97"/>
              <w:spacing w:line="300" w:lineRule="exact"/>
              <w:rPr>
                <w:rFonts w:eastAsia="宋体"/>
                <w:b w:val="0"/>
                <w:color w:val="000000"/>
                <w:sz w:val="21"/>
                <w:szCs w:val="21"/>
              </w:rPr>
            </w:pPr>
            <w:r>
              <w:rPr>
                <w:rFonts w:eastAsia="宋体"/>
                <w:b w:val="0"/>
                <w:color w:val="000000"/>
                <w:sz w:val="21"/>
                <w:szCs w:val="21"/>
              </w:rPr>
              <w:t>名称</w:t>
            </w:r>
          </w:p>
        </w:tc>
        <w:tc>
          <w:tcPr>
            <w:tcW w:w="1078" w:type="pct"/>
            <w:gridSpan w:val="2"/>
            <w:vAlign w:val="center"/>
          </w:tcPr>
          <w:p w14:paraId="34A20B73">
            <w:pPr>
              <w:pStyle w:val="97"/>
              <w:spacing w:line="300" w:lineRule="exact"/>
              <w:rPr>
                <w:rFonts w:eastAsia="宋体"/>
                <w:b w:val="0"/>
                <w:color w:val="000000"/>
                <w:sz w:val="21"/>
                <w:szCs w:val="21"/>
              </w:rPr>
            </w:pPr>
            <w:r>
              <w:rPr>
                <w:rFonts w:eastAsia="宋体"/>
                <w:b w:val="0"/>
                <w:color w:val="000000"/>
                <w:sz w:val="21"/>
                <w:szCs w:val="21"/>
              </w:rPr>
              <w:t>污染物产生量</w:t>
            </w:r>
          </w:p>
        </w:tc>
        <w:tc>
          <w:tcPr>
            <w:tcW w:w="313" w:type="pct"/>
            <w:vMerge w:val="restart"/>
            <w:vAlign w:val="center"/>
          </w:tcPr>
          <w:p w14:paraId="1D9070A7">
            <w:pPr>
              <w:pStyle w:val="97"/>
              <w:spacing w:line="300" w:lineRule="exact"/>
              <w:rPr>
                <w:rFonts w:eastAsia="宋体"/>
                <w:b w:val="0"/>
                <w:color w:val="000000"/>
                <w:sz w:val="21"/>
                <w:szCs w:val="21"/>
              </w:rPr>
            </w:pPr>
            <w:r>
              <w:rPr>
                <w:rFonts w:eastAsia="宋体"/>
                <w:b w:val="0"/>
                <w:color w:val="000000"/>
                <w:sz w:val="21"/>
                <w:szCs w:val="21"/>
              </w:rPr>
              <w:t>处理</w:t>
            </w:r>
          </w:p>
          <w:p w14:paraId="74DD172F">
            <w:pPr>
              <w:pStyle w:val="97"/>
              <w:spacing w:line="300" w:lineRule="exact"/>
              <w:rPr>
                <w:rFonts w:eastAsia="宋体"/>
                <w:b w:val="0"/>
                <w:color w:val="000000"/>
                <w:sz w:val="21"/>
                <w:szCs w:val="21"/>
              </w:rPr>
            </w:pPr>
            <w:r>
              <w:rPr>
                <w:rFonts w:eastAsia="宋体"/>
                <w:b w:val="0"/>
                <w:color w:val="000000"/>
                <w:sz w:val="21"/>
                <w:szCs w:val="21"/>
              </w:rPr>
              <w:t>措施</w:t>
            </w:r>
          </w:p>
        </w:tc>
        <w:tc>
          <w:tcPr>
            <w:tcW w:w="282" w:type="pct"/>
            <w:vMerge w:val="restart"/>
            <w:vAlign w:val="center"/>
          </w:tcPr>
          <w:p w14:paraId="09F07795">
            <w:pPr>
              <w:pStyle w:val="97"/>
              <w:spacing w:line="300" w:lineRule="exact"/>
              <w:rPr>
                <w:rFonts w:eastAsia="宋体"/>
                <w:b w:val="0"/>
                <w:color w:val="000000"/>
                <w:sz w:val="21"/>
                <w:szCs w:val="21"/>
              </w:rPr>
            </w:pPr>
            <w:r>
              <w:rPr>
                <w:rFonts w:eastAsia="宋体"/>
                <w:b w:val="0"/>
                <w:color w:val="000000"/>
                <w:sz w:val="21"/>
                <w:szCs w:val="21"/>
              </w:rPr>
              <w:t>废水排放量t/a</w:t>
            </w:r>
          </w:p>
        </w:tc>
        <w:tc>
          <w:tcPr>
            <w:tcW w:w="982" w:type="pct"/>
            <w:gridSpan w:val="2"/>
            <w:vAlign w:val="center"/>
          </w:tcPr>
          <w:p w14:paraId="766A0451">
            <w:pPr>
              <w:pStyle w:val="97"/>
              <w:spacing w:line="300" w:lineRule="exact"/>
              <w:rPr>
                <w:rFonts w:eastAsia="宋体"/>
                <w:b w:val="0"/>
                <w:color w:val="000000"/>
                <w:sz w:val="21"/>
                <w:szCs w:val="21"/>
              </w:rPr>
            </w:pPr>
            <w:r>
              <w:rPr>
                <w:rFonts w:eastAsia="宋体"/>
                <w:b w:val="0"/>
                <w:color w:val="000000"/>
                <w:sz w:val="21"/>
                <w:szCs w:val="21"/>
              </w:rPr>
              <w:t>污染物排放量</w:t>
            </w:r>
          </w:p>
        </w:tc>
        <w:tc>
          <w:tcPr>
            <w:tcW w:w="615" w:type="pct"/>
            <w:vMerge w:val="restart"/>
            <w:vAlign w:val="center"/>
          </w:tcPr>
          <w:p w14:paraId="020167DC">
            <w:pPr>
              <w:pStyle w:val="97"/>
              <w:spacing w:line="300" w:lineRule="exact"/>
              <w:rPr>
                <w:rFonts w:eastAsia="宋体"/>
                <w:b w:val="0"/>
                <w:color w:val="000000"/>
                <w:sz w:val="21"/>
                <w:szCs w:val="21"/>
              </w:rPr>
            </w:pPr>
            <w:r>
              <w:rPr>
                <w:rFonts w:eastAsia="宋体"/>
                <w:b w:val="0"/>
                <w:color w:val="000000"/>
                <w:sz w:val="21"/>
                <w:szCs w:val="21"/>
              </w:rPr>
              <w:t>排放浓度限值(mg/L)</w:t>
            </w:r>
          </w:p>
        </w:tc>
        <w:tc>
          <w:tcPr>
            <w:tcW w:w="309" w:type="pct"/>
            <w:vMerge w:val="restart"/>
            <w:vAlign w:val="center"/>
          </w:tcPr>
          <w:p w14:paraId="0FD1C21E">
            <w:pPr>
              <w:pStyle w:val="97"/>
              <w:spacing w:line="300" w:lineRule="exact"/>
              <w:rPr>
                <w:rFonts w:eastAsia="宋体"/>
                <w:b w:val="0"/>
                <w:color w:val="000000"/>
                <w:sz w:val="21"/>
                <w:szCs w:val="21"/>
              </w:rPr>
            </w:pPr>
            <w:r>
              <w:rPr>
                <w:rFonts w:eastAsia="宋体"/>
                <w:b w:val="0"/>
                <w:color w:val="000000"/>
                <w:sz w:val="21"/>
                <w:szCs w:val="21"/>
              </w:rPr>
              <w:t>排放方式与去向</w:t>
            </w:r>
          </w:p>
        </w:tc>
      </w:tr>
      <w:tr w14:paraId="6F554C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continue"/>
            <w:vAlign w:val="center"/>
          </w:tcPr>
          <w:p w14:paraId="329E4102">
            <w:pPr>
              <w:pStyle w:val="97"/>
              <w:spacing w:line="300" w:lineRule="exact"/>
              <w:rPr>
                <w:rFonts w:eastAsia="宋体"/>
                <w:color w:val="000000"/>
                <w:sz w:val="21"/>
                <w:szCs w:val="21"/>
              </w:rPr>
            </w:pPr>
          </w:p>
        </w:tc>
        <w:tc>
          <w:tcPr>
            <w:tcW w:w="409" w:type="pct"/>
            <w:vMerge w:val="continue"/>
            <w:vAlign w:val="center"/>
          </w:tcPr>
          <w:p w14:paraId="3A0C92AA">
            <w:pPr>
              <w:pStyle w:val="97"/>
              <w:spacing w:line="300" w:lineRule="exact"/>
              <w:rPr>
                <w:rFonts w:eastAsia="宋体"/>
                <w:color w:val="000000"/>
                <w:sz w:val="21"/>
                <w:szCs w:val="21"/>
              </w:rPr>
            </w:pPr>
          </w:p>
        </w:tc>
        <w:tc>
          <w:tcPr>
            <w:tcW w:w="350" w:type="pct"/>
            <w:vMerge w:val="continue"/>
            <w:vAlign w:val="center"/>
          </w:tcPr>
          <w:p w14:paraId="0F8D41BB">
            <w:pPr>
              <w:pStyle w:val="97"/>
              <w:spacing w:line="300" w:lineRule="exact"/>
              <w:rPr>
                <w:rFonts w:eastAsia="宋体"/>
                <w:color w:val="000000"/>
                <w:sz w:val="21"/>
                <w:szCs w:val="21"/>
              </w:rPr>
            </w:pPr>
          </w:p>
        </w:tc>
        <w:tc>
          <w:tcPr>
            <w:tcW w:w="462" w:type="pct"/>
            <w:vMerge w:val="continue"/>
            <w:vAlign w:val="center"/>
          </w:tcPr>
          <w:p w14:paraId="1A833BDD">
            <w:pPr>
              <w:pStyle w:val="97"/>
              <w:spacing w:line="300" w:lineRule="exact"/>
              <w:rPr>
                <w:rFonts w:eastAsia="宋体"/>
                <w:color w:val="000000"/>
                <w:sz w:val="21"/>
                <w:szCs w:val="21"/>
              </w:rPr>
            </w:pPr>
          </w:p>
        </w:tc>
        <w:tc>
          <w:tcPr>
            <w:tcW w:w="502" w:type="pct"/>
            <w:vAlign w:val="center"/>
          </w:tcPr>
          <w:p w14:paraId="5C676FBE">
            <w:pPr>
              <w:pStyle w:val="97"/>
              <w:spacing w:line="300" w:lineRule="exact"/>
              <w:rPr>
                <w:rFonts w:eastAsia="宋体"/>
                <w:b w:val="0"/>
                <w:color w:val="000000"/>
                <w:sz w:val="21"/>
                <w:szCs w:val="21"/>
              </w:rPr>
            </w:pPr>
            <w:r>
              <w:rPr>
                <w:rFonts w:eastAsia="宋体"/>
                <w:b w:val="0"/>
                <w:color w:val="000000"/>
                <w:sz w:val="21"/>
                <w:szCs w:val="21"/>
              </w:rPr>
              <w:t>浓度</w:t>
            </w:r>
          </w:p>
          <w:p w14:paraId="216943EA">
            <w:pPr>
              <w:pStyle w:val="97"/>
              <w:spacing w:line="300" w:lineRule="exact"/>
              <w:rPr>
                <w:rFonts w:eastAsia="宋体"/>
                <w:b w:val="0"/>
                <w:color w:val="000000"/>
                <w:sz w:val="21"/>
                <w:szCs w:val="21"/>
              </w:rPr>
            </w:pPr>
            <w:r>
              <w:rPr>
                <w:rFonts w:eastAsia="宋体"/>
                <w:b w:val="0"/>
                <w:color w:val="000000"/>
                <w:sz w:val="21"/>
                <w:szCs w:val="21"/>
              </w:rPr>
              <w:t>(mg/L)</w:t>
            </w:r>
          </w:p>
        </w:tc>
        <w:tc>
          <w:tcPr>
            <w:tcW w:w="575" w:type="pct"/>
            <w:vAlign w:val="center"/>
          </w:tcPr>
          <w:p w14:paraId="153F8006">
            <w:pPr>
              <w:pStyle w:val="97"/>
              <w:spacing w:line="300" w:lineRule="exact"/>
              <w:rPr>
                <w:rFonts w:eastAsia="宋体"/>
                <w:b w:val="0"/>
                <w:color w:val="000000"/>
                <w:sz w:val="21"/>
                <w:szCs w:val="21"/>
              </w:rPr>
            </w:pPr>
            <w:r>
              <w:rPr>
                <w:rFonts w:eastAsia="宋体"/>
                <w:b w:val="0"/>
                <w:color w:val="000000"/>
                <w:sz w:val="21"/>
                <w:szCs w:val="21"/>
              </w:rPr>
              <w:t>产生量</w:t>
            </w:r>
          </w:p>
          <w:p w14:paraId="40BC879A">
            <w:pPr>
              <w:pStyle w:val="97"/>
              <w:spacing w:line="300" w:lineRule="exact"/>
              <w:rPr>
                <w:rFonts w:eastAsia="宋体"/>
                <w:b w:val="0"/>
                <w:color w:val="000000"/>
                <w:sz w:val="21"/>
                <w:szCs w:val="21"/>
              </w:rPr>
            </w:pPr>
            <w:r>
              <w:rPr>
                <w:rFonts w:eastAsia="宋体"/>
                <w:b w:val="0"/>
                <w:color w:val="000000"/>
                <w:sz w:val="21"/>
                <w:szCs w:val="21"/>
              </w:rPr>
              <w:t>(t/a)</w:t>
            </w:r>
          </w:p>
        </w:tc>
        <w:tc>
          <w:tcPr>
            <w:tcW w:w="313" w:type="pct"/>
            <w:vMerge w:val="continue"/>
            <w:vAlign w:val="center"/>
          </w:tcPr>
          <w:p w14:paraId="3CF08DDB">
            <w:pPr>
              <w:pStyle w:val="97"/>
              <w:spacing w:line="300" w:lineRule="exact"/>
              <w:rPr>
                <w:rFonts w:eastAsia="宋体"/>
                <w:b w:val="0"/>
                <w:color w:val="000000"/>
                <w:sz w:val="21"/>
                <w:szCs w:val="21"/>
              </w:rPr>
            </w:pPr>
          </w:p>
        </w:tc>
        <w:tc>
          <w:tcPr>
            <w:tcW w:w="282" w:type="pct"/>
            <w:vMerge w:val="continue"/>
            <w:vAlign w:val="center"/>
          </w:tcPr>
          <w:p w14:paraId="32D2012C">
            <w:pPr>
              <w:pStyle w:val="97"/>
              <w:spacing w:line="300" w:lineRule="exact"/>
              <w:rPr>
                <w:rFonts w:eastAsia="宋体"/>
                <w:b w:val="0"/>
                <w:color w:val="000000"/>
                <w:sz w:val="21"/>
                <w:szCs w:val="21"/>
              </w:rPr>
            </w:pPr>
          </w:p>
        </w:tc>
        <w:tc>
          <w:tcPr>
            <w:tcW w:w="453" w:type="pct"/>
            <w:vAlign w:val="center"/>
          </w:tcPr>
          <w:p w14:paraId="2DB95C63">
            <w:pPr>
              <w:pStyle w:val="97"/>
              <w:spacing w:line="300" w:lineRule="exact"/>
              <w:rPr>
                <w:rFonts w:eastAsia="宋体"/>
                <w:b w:val="0"/>
                <w:color w:val="000000"/>
                <w:sz w:val="21"/>
                <w:szCs w:val="21"/>
              </w:rPr>
            </w:pPr>
            <w:r>
              <w:rPr>
                <w:rFonts w:eastAsia="宋体"/>
                <w:b w:val="0"/>
                <w:color w:val="000000"/>
                <w:sz w:val="21"/>
                <w:szCs w:val="21"/>
              </w:rPr>
              <w:t>浓度(mg/L)</w:t>
            </w:r>
          </w:p>
        </w:tc>
        <w:tc>
          <w:tcPr>
            <w:tcW w:w="528" w:type="pct"/>
            <w:vAlign w:val="center"/>
          </w:tcPr>
          <w:p w14:paraId="0FE56957">
            <w:pPr>
              <w:pStyle w:val="97"/>
              <w:spacing w:line="300" w:lineRule="exact"/>
              <w:rPr>
                <w:rFonts w:eastAsia="宋体"/>
                <w:b w:val="0"/>
                <w:color w:val="000000"/>
                <w:sz w:val="21"/>
                <w:szCs w:val="21"/>
              </w:rPr>
            </w:pPr>
            <w:r>
              <w:rPr>
                <w:rFonts w:eastAsia="宋体"/>
                <w:b w:val="0"/>
                <w:color w:val="000000"/>
                <w:sz w:val="21"/>
                <w:szCs w:val="21"/>
              </w:rPr>
              <w:t>排放量(t/a)</w:t>
            </w:r>
          </w:p>
        </w:tc>
        <w:tc>
          <w:tcPr>
            <w:tcW w:w="615" w:type="pct"/>
            <w:vMerge w:val="continue"/>
            <w:vAlign w:val="center"/>
          </w:tcPr>
          <w:p w14:paraId="65B43228">
            <w:pPr>
              <w:pStyle w:val="97"/>
              <w:spacing w:line="300" w:lineRule="exact"/>
              <w:rPr>
                <w:rFonts w:eastAsia="宋体"/>
                <w:color w:val="000000"/>
                <w:sz w:val="21"/>
                <w:szCs w:val="21"/>
              </w:rPr>
            </w:pPr>
          </w:p>
        </w:tc>
        <w:tc>
          <w:tcPr>
            <w:tcW w:w="309" w:type="pct"/>
            <w:vMerge w:val="continue"/>
            <w:vAlign w:val="center"/>
          </w:tcPr>
          <w:p w14:paraId="7D9013A7">
            <w:pPr>
              <w:pStyle w:val="97"/>
              <w:spacing w:line="300" w:lineRule="exact"/>
              <w:rPr>
                <w:rFonts w:eastAsia="宋体"/>
                <w:color w:val="000000"/>
                <w:sz w:val="21"/>
                <w:szCs w:val="21"/>
              </w:rPr>
            </w:pPr>
          </w:p>
        </w:tc>
      </w:tr>
      <w:tr w14:paraId="4B6FC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restart"/>
            <w:vAlign w:val="center"/>
          </w:tcPr>
          <w:p w14:paraId="703B099A">
            <w:pPr>
              <w:pStyle w:val="97"/>
              <w:spacing w:line="300" w:lineRule="exact"/>
              <w:rPr>
                <w:rFonts w:eastAsia="宋体"/>
                <w:b w:val="0"/>
                <w:color w:val="000000"/>
                <w:sz w:val="21"/>
                <w:szCs w:val="21"/>
              </w:rPr>
            </w:pPr>
            <w:bookmarkStart w:id="57" w:name="_Hlk253045526"/>
            <w:bookmarkStart w:id="58" w:name="_Hlk243186917"/>
            <w:bookmarkStart w:id="59" w:name="OLE_LINK22" w:colFirst="3" w:colLast="5"/>
            <w:bookmarkStart w:id="60" w:name="OLE_LINK52" w:colFirst="3" w:colLast="9"/>
            <w:bookmarkStart w:id="61" w:name="OLE_LINK23" w:colFirst="3" w:colLast="5"/>
            <w:bookmarkStart w:id="62" w:name="OLE_LINK51" w:colFirst="3" w:colLast="9"/>
            <w:r>
              <w:rPr>
                <w:rFonts w:eastAsia="宋体"/>
                <w:b w:val="0"/>
                <w:color w:val="000000"/>
                <w:sz w:val="21"/>
                <w:szCs w:val="21"/>
              </w:rPr>
              <w:t>1</w:t>
            </w:r>
          </w:p>
        </w:tc>
        <w:tc>
          <w:tcPr>
            <w:tcW w:w="409" w:type="pct"/>
            <w:vMerge w:val="restart"/>
            <w:vAlign w:val="center"/>
          </w:tcPr>
          <w:p w14:paraId="7D2B8560">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生活污水</w:t>
            </w:r>
          </w:p>
        </w:tc>
        <w:tc>
          <w:tcPr>
            <w:tcW w:w="350" w:type="pct"/>
            <w:vMerge w:val="restart"/>
            <w:vAlign w:val="center"/>
          </w:tcPr>
          <w:p w14:paraId="13CB6292">
            <w:pPr>
              <w:spacing w:line="300" w:lineRule="exact"/>
              <w:jc w:val="center"/>
              <w:rPr>
                <w:rFonts w:ascii="Times New Roman" w:hAnsi="Times New Roman" w:eastAsia="宋体" w:cs="Times New Roman"/>
                <w:color w:val="000000"/>
                <w:sz w:val="21"/>
                <w:szCs w:val="21"/>
              </w:rPr>
            </w:pPr>
          </w:p>
        </w:tc>
        <w:tc>
          <w:tcPr>
            <w:tcW w:w="462" w:type="pct"/>
            <w:vAlign w:val="center"/>
          </w:tcPr>
          <w:p w14:paraId="6720A463">
            <w:pPr>
              <w:spacing w:line="300" w:lineRule="exact"/>
              <w:jc w:val="center"/>
              <w:rPr>
                <w:rFonts w:ascii="Times New Roman" w:hAnsi="Times New Roman" w:eastAsia="宋体" w:cs="Times New Roman"/>
                <w:color w:val="000000"/>
                <w:sz w:val="21"/>
                <w:szCs w:val="21"/>
              </w:rPr>
            </w:pPr>
          </w:p>
        </w:tc>
        <w:tc>
          <w:tcPr>
            <w:tcW w:w="502" w:type="pct"/>
            <w:vAlign w:val="center"/>
          </w:tcPr>
          <w:p w14:paraId="2849BB37">
            <w:pPr>
              <w:spacing w:line="300" w:lineRule="exact"/>
              <w:jc w:val="center"/>
              <w:rPr>
                <w:rFonts w:ascii="Times New Roman" w:hAnsi="Times New Roman" w:eastAsia="宋体" w:cs="Times New Roman"/>
                <w:color w:val="000000"/>
                <w:sz w:val="21"/>
                <w:szCs w:val="21"/>
              </w:rPr>
            </w:pPr>
          </w:p>
        </w:tc>
        <w:tc>
          <w:tcPr>
            <w:tcW w:w="575" w:type="pct"/>
            <w:vAlign w:val="center"/>
          </w:tcPr>
          <w:p w14:paraId="56E8562F">
            <w:pPr>
              <w:spacing w:line="300" w:lineRule="exact"/>
              <w:jc w:val="center"/>
              <w:rPr>
                <w:rFonts w:ascii="Times New Roman" w:hAnsi="Times New Roman" w:eastAsia="宋体" w:cs="Times New Roman"/>
                <w:color w:val="000000"/>
                <w:sz w:val="21"/>
                <w:szCs w:val="21"/>
              </w:rPr>
            </w:pPr>
          </w:p>
        </w:tc>
        <w:tc>
          <w:tcPr>
            <w:tcW w:w="313" w:type="pct"/>
            <w:vMerge w:val="restart"/>
            <w:vAlign w:val="center"/>
          </w:tcPr>
          <w:p w14:paraId="60EF1477">
            <w:pPr>
              <w:pStyle w:val="97"/>
              <w:spacing w:line="300" w:lineRule="exact"/>
              <w:rPr>
                <w:rFonts w:hint="default" w:eastAsia="宋体"/>
                <w:b w:val="0"/>
                <w:color w:val="000000"/>
                <w:sz w:val="21"/>
                <w:szCs w:val="21"/>
                <w:lang w:val="en-US" w:eastAsia="zh-CN"/>
              </w:rPr>
            </w:pPr>
            <w:r>
              <w:rPr>
                <w:rFonts w:eastAsia="宋体"/>
                <w:b w:val="0"/>
                <w:bCs/>
                <w:color w:val="000000"/>
                <w:sz w:val="21"/>
                <w:szCs w:val="21"/>
                <w:lang w:bidi="ar"/>
              </w:rPr>
              <w:t>生活污水经化粪池处理后与其他生产废水一同经</w:t>
            </w:r>
            <w:r>
              <w:rPr>
                <w:rFonts w:eastAsia="宋体"/>
                <w:b w:val="0"/>
                <w:bCs/>
                <w:color w:val="000000"/>
                <w:sz w:val="21"/>
                <w:szCs w:val="21"/>
              </w:rPr>
              <w:t>厂区污水处理站（</w:t>
            </w:r>
            <w:r>
              <w:rPr>
                <w:rFonts w:eastAsia="宋体"/>
                <w:b w:val="0"/>
                <w:bCs/>
                <w:sz w:val="21"/>
                <w:szCs w:val="21"/>
              </w:rPr>
              <w:t>格栅+沉砂集水+水解酸化+厌氧反应+好氧处理+消毒</w:t>
            </w:r>
            <w:r>
              <w:rPr>
                <w:rFonts w:eastAsia="宋体"/>
                <w:b w:val="0"/>
                <w:bCs/>
                <w:color w:val="000000"/>
                <w:sz w:val="21"/>
                <w:szCs w:val="21"/>
              </w:rPr>
              <w:t>）</w:t>
            </w:r>
            <w:r>
              <w:rPr>
                <w:rFonts w:eastAsia="宋体"/>
                <w:b w:val="0"/>
                <w:bCs/>
                <w:sz w:val="21"/>
                <w:szCs w:val="21"/>
              </w:rPr>
              <w:t>处理</w:t>
            </w:r>
          </w:p>
        </w:tc>
        <w:tc>
          <w:tcPr>
            <w:tcW w:w="282" w:type="pct"/>
            <w:vMerge w:val="restart"/>
            <w:vAlign w:val="center"/>
          </w:tcPr>
          <w:p w14:paraId="5D3FBD0D">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453" w:type="pct"/>
            <w:vAlign w:val="center"/>
          </w:tcPr>
          <w:p w14:paraId="7A784436">
            <w:pPr>
              <w:pStyle w:val="97"/>
              <w:spacing w:line="300" w:lineRule="exact"/>
              <w:rPr>
                <w:rFonts w:eastAsia="宋体"/>
                <w:b w:val="0"/>
                <w:color w:val="000000"/>
                <w:sz w:val="21"/>
                <w:szCs w:val="21"/>
              </w:rPr>
            </w:pPr>
            <w:r>
              <w:rPr>
                <w:rFonts w:eastAsia="宋体"/>
                <w:b w:val="0"/>
                <w:color w:val="000000"/>
                <w:sz w:val="21"/>
                <w:szCs w:val="21"/>
              </w:rPr>
              <w:t>/</w:t>
            </w:r>
          </w:p>
        </w:tc>
        <w:tc>
          <w:tcPr>
            <w:tcW w:w="528" w:type="pct"/>
            <w:vAlign w:val="center"/>
          </w:tcPr>
          <w:p w14:paraId="0F151CB3">
            <w:pPr>
              <w:pStyle w:val="97"/>
              <w:spacing w:line="300" w:lineRule="exact"/>
              <w:rPr>
                <w:rFonts w:eastAsia="宋体"/>
                <w:b w:val="0"/>
                <w:color w:val="000000"/>
                <w:sz w:val="21"/>
                <w:szCs w:val="21"/>
              </w:rPr>
            </w:pPr>
            <w:r>
              <w:rPr>
                <w:rFonts w:eastAsia="宋体"/>
                <w:b w:val="0"/>
                <w:color w:val="000000"/>
                <w:sz w:val="21"/>
                <w:szCs w:val="21"/>
              </w:rPr>
              <w:t>/</w:t>
            </w:r>
          </w:p>
        </w:tc>
        <w:tc>
          <w:tcPr>
            <w:tcW w:w="615" w:type="pct"/>
            <w:vAlign w:val="center"/>
          </w:tcPr>
          <w:p w14:paraId="6477B93E">
            <w:pPr>
              <w:pStyle w:val="97"/>
              <w:spacing w:line="300" w:lineRule="exact"/>
              <w:rPr>
                <w:rFonts w:eastAsia="宋体"/>
                <w:b w:val="0"/>
                <w:color w:val="000000"/>
                <w:sz w:val="21"/>
                <w:szCs w:val="21"/>
              </w:rPr>
            </w:pPr>
            <w:r>
              <w:rPr>
                <w:rFonts w:eastAsia="宋体"/>
                <w:b w:val="0"/>
                <w:color w:val="000000"/>
                <w:sz w:val="21"/>
                <w:szCs w:val="21"/>
              </w:rPr>
              <w:t>/</w:t>
            </w:r>
          </w:p>
        </w:tc>
        <w:tc>
          <w:tcPr>
            <w:tcW w:w="309" w:type="pct"/>
            <w:vMerge w:val="restart"/>
            <w:vAlign w:val="center"/>
          </w:tcPr>
          <w:p w14:paraId="0EEDF7BF">
            <w:pPr>
              <w:pStyle w:val="97"/>
              <w:spacing w:line="300" w:lineRule="exact"/>
              <w:rPr>
                <w:rFonts w:eastAsia="宋体"/>
                <w:b w:val="0"/>
                <w:color w:val="000000"/>
                <w:sz w:val="21"/>
                <w:szCs w:val="21"/>
              </w:rPr>
            </w:pPr>
            <w:r>
              <w:rPr>
                <w:rFonts w:eastAsia="宋体"/>
                <w:b w:val="0"/>
                <w:color w:val="000000"/>
                <w:sz w:val="21"/>
                <w:szCs w:val="21"/>
              </w:rPr>
              <w:t>/</w:t>
            </w:r>
          </w:p>
        </w:tc>
      </w:tr>
      <w:bookmarkEnd w:id="57"/>
      <w:bookmarkEnd w:id="58"/>
      <w:bookmarkEnd w:id="59"/>
      <w:bookmarkEnd w:id="60"/>
      <w:bookmarkEnd w:id="61"/>
      <w:bookmarkEnd w:id="62"/>
      <w:tr w14:paraId="58DF08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continue"/>
            <w:vAlign w:val="center"/>
          </w:tcPr>
          <w:p w14:paraId="56F8BF45">
            <w:pPr>
              <w:pStyle w:val="97"/>
              <w:spacing w:line="300" w:lineRule="exact"/>
              <w:rPr>
                <w:rFonts w:eastAsia="宋体"/>
                <w:b w:val="0"/>
                <w:color w:val="000000"/>
                <w:sz w:val="21"/>
                <w:szCs w:val="21"/>
              </w:rPr>
            </w:pPr>
          </w:p>
        </w:tc>
        <w:tc>
          <w:tcPr>
            <w:tcW w:w="409" w:type="pct"/>
            <w:vMerge w:val="continue"/>
            <w:vAlign w:val="center"/>
          </w:tcPr>
          <w:p w14:paraId="3144DDDE">
            <w:pPr>
              <w:spacing w:line="300" w:lineRule="exact"/>
              <w:jc w:val="center"/>
              <w:rPr>
                <w:rFonts w:ascii="Times New Roman" w:hAnsi="Times New Roman" w:eastAsia="宋体" w:cs="Times New Roman"/>
                <w:color w:val="000000"/>
                <w:sz w:val="21"/>
                <w:szCs w:val="21"/>
              </w:rPr>
            </w:pPr>
          </w:p>
        </w:tc>
        <w:tc>
          <w:tcPr>
            <w:tcW w:w="350" w:type="pct"/>
            <w:vMerge w:val="continue"/>
            <w:vAlign w:val="center"/>
          </w:tcPr>
          <w:p w14:paraId="7A6D4276">
            <w:pPr>
              <w:spacing w:line="300" w:lineRule="exact"/>
              <w:jc w:val="center"/>
              <w:rPr>
                <w:rFonts w:ascii="Times New Roman" w:hAnsi="Times New Roman" w:eastAsia="宋体" w:cs="Times New Roman"/>
                <w:color w:val="000000"/>
                <w:sz w:val="21"/>
                <w:szCs w:val="21"/>
              </w:rPr>
            </w:pPr>
          </w:p>
        </w:tc>
        <w:tc>
          <w:tcPr>
            <w:tcW w:w="462" w:type="pct"/>
            <w:vAlign w:val="center"/>
          </w:tcPr>
          <w:p w14:paraId="7FAFE810">
            <w:pPr>
              <w:spacing w:line="300" w:lineRule="exact"/>
              <w:jc w:val="center"/>
              <w:rPr>
                <w:rFonts w:ascii="Times New Roman" w:hAnsi="Times New Roman" w:eastAsia="宋体" w:cs="Times New Roman"/>
                <w:color w:val="000000"/>
                <w:sz w:val="21"/>
                <w:szCs w:val="21"/>
              </w:rPr>
            </w:pPr>
          </w:p>
        </w:tc>
        <w:tc>
          <w:tcPr>
            <w:tcW w:w="502" w:type="pct"/>
            <w:vAlign w:val="center"/>
          </w:tcPr>
          <w:p w14:paraId="02C570E0">
            <w:pPr>
              <w:spacing w:line="300" w:lineRule="exact"/>
              <w:jc w:val="center"/>
              <w:rPr>
                <w:rFonts w:ascii="Times New Roman" w:hAnsi="Times New Roman" w:eastAsia="宋体" w:cs="Times New Roman"/>
                <w:color w:val="000000"/>
                <w:sz w:val="21"/>
                <w:szCs w:val="21"/>
              </w:rPr>
            </w:pPr>
          </w:p>
        </w:tc>
        <w:tc>
          <w:tcPr>
            <w:tcW w:w="575" w:type="pct"/>
            <w:vAlign w:val="center"/>
          </w:tcPr>
          <w:p w14:paraId="0060FF05">
            <w:pPr>
              <w:spacing w:line="300" w:lineRule="exact"/>
              <w:jc w:val="center"/>
              <w:rPr>
                <w:rFonts w:ascii="Times New Roman" w:hAnsi="Times New Roman" w:eastAsia="宋体" w:cs="Times New Roman"/>
                <w:color w:val="000000"/>
                <w:sz w:val="21"/>
                <w:szCs w:val="21"/>
              </w:rPr>
            </w:pPr>
          </w:p>
        </w:tc>
        <w:tc>
          <w:tcPr>
            <w:tcW w:w="313" w:type="pct"/>
            <w:vMerge w:val="continue"/>
            <w:vAlign w:val="center"/>
          </w:tcPr>
          <w:p w14:paraId="0AD5B3A7">
            <w:pPr>
              <w:pStyle w:val="97"/>
              <w:spacing w:line="300" w:lineRule="exact"/>
              <w:rPr>
                <w:rFonts w:eastAsia="宋体"/>
                <w:color w:val="000000"/>
                <w:sz w:val="21"/>
                <w:szCs w:val="21"/>
              </w:rPr>
            </w:pPr>
          </w:p>
        </w:tc>
        <w:tc>
          <w:tcPr>
            <w:tcW w:w="282" w:type="pct"/>
            <w:vMerge w:val="continue"/>
            <w:vAlign w:val="center"/>
          </w:tcPr>
          <w:p w14:paraId="0A828DFE">
            <w:pPr>
              <w:spacing w:line="300" w:lineRule="exact"/>
              <w:jc w:val="center"/>
              <w:rPr>
                <w:rFonts w:ascii="Times New Roman" w:hAnsi="Times New Roman" w:eastAsia="宋体" w:cs="Times New Roman"/>
                <w:color w:val="000000"/>
                <w:sz w:val="21"/>
                <w:szCs w:val="21"/>
              </w:rPr>
            </w:pPr>
          </w:p>
        </w:tc>
        <w:tc>
          <w:tcPr>
            <w:tcW w:w="453" w:type="pct"/>
            <w:vAlign w:val="center"/>
          </w:tcPr>
          <w:p w14:paraId="03F0CCC0">
            <w:pPr>
              <w:pStyle w:val="97"/>
              <w:spacing w:line="300" w:lineRule="exact"/>
              <w:rPr>
                <w:rFonts w:eastAsia="宋体"/>
                <w:b w:val="0"/>
                <w:color w:val="000000"/>
                <w:sz w:val="21"/>
                <w:szCs w:val="21"/>
              </w:rPr>
            </w:pPr>
            <w:r>
              <w:rPr>
                <w:rFonts w:eastAsia="宋体"/>
                <w:b w:val="0"/>
                <w:color w:val="000000"/>
                <w:sz w:val="21"/>
                <w:szCs w:val="21"/>
              </w:rPr>
              <w:t>/</w:t>
            </w:r>
          </w:p>
        </w:tc>
        <w:tc>
          <w:tcPr>
            <w:tcW w:w="528" w:type="pct"/>
            <w:vAlign w:val="center"/>
          </w:tcPr>
          <w:p w14:paraId="6E0AC12A">
            <w:pPr>
              <w:pStyle w:val="97"/>
              <w:spacing w:line="300" w:lineRule="exact"/>
              <w:rPr>
                <w:rFonts w:eastAsia="宋体"/>
                <w:b w:val="0"/>
                <w:color w:val="000000"/>
                <w:sz w:val="21"/>
                <w:szCs w:val="21"/>
              </w:rPr>
            </w:pPr>
            <w:r>
              <w:rPr>
                <w:rFonts w:eastAsia="宋体"/>
                <w:b w:val="0"/>
                <w:color w:val="000000"/>
                <w:sz w:val="21"/>
                <w:szCs w:val="21"/>
              </w:rPr>
              <w:t>/</w:t>
            </w:r>
          </w:p>
        </w:tc>
        <w:tc>
          <w:tcPr>
            <w:tcW w:w="615" w:type="pct"/>
            <w:vAlign w:val="center"/>
          </w:tcPr>
          <w:p w14:paraId="166F669F">
            <w:pPr>
              <w:pStyle w:val="97"/>
              <w:spacing w:line="300" w:lineRule="exact"/>
              <w:rPr>
                <w:rFonts w:eastAsia="宋体"/>
                <w:b w:val="0"/>
                <w:color w:val="000000"/>
                <w:sz w:val="21"/>
                <w:szCs w:val="21"/>
              </w:rPr>
            </w:pPr>
            <w:r>
              <w:rPr>
                <w:rFonts w:eastAsia="宋体"/>
                <w:b w:val="0"/>
                <w:color w:val="000000"/>
                <w:sz w:val="21"/>
                <w:szCs w:val="21"/>
              </w:rPr>
              <w:t>/</w:t>
            </w:r>
          </w:p>
        </w:tc>
        <w:tc>
          <w:tcPr>
            <w:tcW w:w="309" w:type="pct"/>
            <w:vMerge w:val="continue"/>
            <w:vAlign w:val="center"/>
          </w:tcPr>
          <w:p w14:paraId="776529C6">
            <w:pPr>
              <w:pStyle w:val="97"/>
              <w:spacing w:line="300" w:lineRule="exact"/>
              <w:rPr>
                <w:rFonts w:eastAsia="宋体"/>
                <w:color w:val="000000"/>
                <w:sz w:val="21"/>
                <w:szCs w:val="21"/>
              </w:rPr>
            </w:pPr>
          </w:p>
        </w:tc>
      </w:tr>
      <w:tr w14:paraId="560046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continue"/>
            <w:vAlign w:val="center"/>
          </w:tcPr>
          <w:p w14:paraId="666BB17F">
            <w:pPr>
              <w:pStyle w:val="97"/>
              <w:spacing w:line="300" w:lineRule="exact"/>
              <w:rPr>
                <w:rFonts w:eastAsia="宋体"/>
                <w:b w:val="0"/>
                <w:color w:val="000000"/>
                <w:sz w:val="21"/>
                <w:szCs w:val="21"/>
              </w:rPr>
            </w:pPr>
          </w:p>
        </w:tc>
        <w:tc>
          <w:tcPr>
            <w:tcW w:w="409" w:type="pct"/>
            <w:vMerge w:val="continue"/>
            <w:vAlign w:val="center"/>
          </w:tcPr>
          <w:p w14:paraId="5B0CBE5A">
            <w:pPr>
              <w:spacing w:line="300" w:lineRule="exact"/>
              <w:jc w:val="center"/>
              <w:rPr>
                <w:rFonts w:ascii="Times New Roman" w:hAnsi="Times New Roman" w:eastAsia="宋体" w:cs="Times New Roman"/>
                <w:color w:val="000000"/>
                <w:sz w:val="21"/>
                <w:szCs w:val="21"/>
              </w:rPr>
            </w:pPr>
          </w:p>
        </w:tc>
        <w:tc>
          <w:tcPr>
            <w:tcW w:w="350" w:type="pct"/>
            <w:vMerge w:val="continue"/>
            <w:vAlign w:val="center"/>
          </w:tcPr>
          <w:p w14:paraId="2B60A86F">
            <w:pPr>
              <w:spacing w:line="300" w:lineRule="exact"/>
              <w:jc w:val="center"/>
              <w:rPr>
                <w:rFonts w:ascii="Times New Roman" w:hAnsi="Times New Roman" w:eastAsia="宋体" w:cs="Times New Roman"/>
                <w:color w:val="000000"/>
                <w:sz w:val="21"/>
                <w:szCs w:val="21"/>
              </w:rPr>
            </w:pPr>
          </w:p>
        </w:tc>
        <w:tc>
          <w:tcPr>
            <w:tcW w:w="462" w:type="pct"/>
            <w:vAlign w:val="center"/>
          </w:tcPr>
          <w:p w14:paraId="678BF0B2">
            <w:pPr>
              <w:spacing w:line="300" w:lineRule="exact"/>
              <w:jc w:val="center"/>
              <w:rPr>
                <w:rFonts w:ascii="Times New Roman" w:hAnsi="Times New Roman" w:eastAsia="宋体" w:cs="Times New Roman"/>
                <w:color w:val="000000"/>
                <w:sz w:val="21"/>
                <w:szCs w:val="21"/>
              </w:rPr>
            </w:pPr>
          </w:p>
        </w:tc>
        <w:tc>
          <w:tcPr>
            <w:tcW w:w="502" w:type="pct"/>
            <w:vAlign w:val="center"/>
          </w:tcPr>
          <w:p w14:paraId="5B1E05DD">
            <w:pPr>
              <w:spacing w:line="300" w:lineRule="exact"/>
              <w:jc w:val="center"/>
              <w:rPr>
                <w:rFonts w:ascii="Times New Roman" w:hAnsi="Times New Roman" w:eastAsia="宋体" w:cs="Times New Roman"/>
                <w:color w:val="000000"/>
                <w:sz w:val="21"/>
                <w:szCs w:val="21"/>
              </w:rPr>
            </w:pPr>
          </w:p>
        </w:tc>
        <w:tc>
          <w:tcPr>
            <w:tcW w:w="575" w:type="pct"/>
            <w:vAlign w:val="center"/>
          </w:tcPr>
          <w:p w14:paraId="28FC3631">
            <w:pPr>
              <w:spacing w:line="300" w:lineRule="exact"/>
              <w:jc w:val="center"/>
              <w:rPr>
                <w:rFonts w:ascii="Times New Roman" w:hAnsi="Times New Roman" w:eastAsia="宋体" w:cs="Times New Roman"/>
                <w:color w:val="000000"/>
                <w:sz w:val="21"/>
                <w:szCs w:val="21"/>
              </w:rPr>
            </w:pPr>
          </w:p>
        </w:tc>
        <w:tc>
          <w:tcPr>
            <w:tcW w:w="313" w:type="pct"/>
            <w:vMerge w:val="continue"/>
            <w:vAlign w:val="center"/>
          </w:tcPr>
          <w:p w14:paraId="4CF6F057">
            <w:pPr>
              <w:pStyle w:val="97"/>
              <w:spacing w:line="300" w:lineRule="exact"/>
              <w:rPr>
                <w:rFonts w:eastAsia="宋体"/>
                <w:color w:val="000000"/>
                <w:sz w:val="21"/>
                <w:szCs w:val="21"/>
              </w:rPr>
            </w:pPr>
          </w:p>
        </w:tc>
        <w:tc>
          <w:tcPr>
            <w:tcW w:w="282" w:type="pct"/>
            <w:vMerge w:val="continue"/>
            <w:vAlign w:val="center"/>
          </w:tcPr>
          <w:p w14:paraId="55492511">
            <w:pPr>
              <w:pStyle w:val="97"/>
              <w:spacing w:line="300" w:lineRule="exact"/>
              <w:rPr>
                <w:rFonts w:eastAsia="宋体"/>
                <w:b w:val="0"/>
                <w:color w:val="000000"/>
                <w:sz w:val="21"/>
                <w:szCs w:val="21"/>
              </w:rPr>
            </w:pPr>
          </w:p>
        </w:tc>
        <w:tc>
          <w:tcPr>
            <w:tcW w:w="453" w:type="pct"/>
            <w:vAlign w:val="center"/>
          </w:tcPr>
          <w:p w14:paraId="05B5B0BB">
            <w:pPr>
              <w:pStyle w:val="97"/>
              <w:spacing w:line="300" w:lineRule="exact"/>
              <w:rPr>
                <w:rFonts w:eastAsia="宋体"/>
                <w:b w:val="0"/>
                <w:color w:val="000000"/>
                <w:sz w:val="21"/>
                <w:szCs w:val="21"/>
              </w:rPr>
            </w:pPr>
            <w:r>
              <w:rPr>
                <w:rFonts w:eastAsia="宋体"/>
                <w:b w:val="0"/>
                <w:color w:val="000000"/>
                <w:sz w:val="21"/>
                <w:szCs w:val="21"/>
              </w:rPr>
              <w:t>/</w:t>
            </w:r>
          </w:p>
        </w:tc>
        <w:tc>
          <w:tcPr>
            <w:tcW w:w="528" w:type="pct"/>
            <w:vAlign w:val="center"/>
          </w:tcPr>
          <w:p w14:paraId="36F96746">
            <w:pPr>
              <w:pStyle w:val="97"/>
              <w:spacing w:line="300" w:lineRule="exact"/>
              <w:rPr>
                <w:rFonts w:eastAsia="宋体"/>
                <w:b w:val="0"/>
                <w:color w:val="000000"/>
                <w:sz w:val="21"/>
                <w:szCs w:val="21"/>
              </w:rPr>
            </w:pPr>
            <w:r>
              <w:rPr>
                <w:rFonts w:eastAsia="宋体"/>
                <w:b w:val="0"/>
                <w:color w:val="000000"/>
                <w:sz w:val="21"/>
                <w:szCs w:val="21"/>
              </w:rPr>
              <w:t>/</w:t>
            </w:r>
          </w:p>
        </w:tc>
        <w:tc>
          <w:tcPr>
            <w:tcW w:w="615" w:type="pct"/>
            <w:vAlign w:val="center"/>
          </w:tcPr>
          <w:p w14:paraId="55AA7741">
            <w:pPr>
              <w:pStyle w:val="97"/>
              <w:spacing w:line="300" w:lineRule="exact"/>
              <w:rPr>
                <w:rFonts w:eastAsia="宋体"/>
                <w:b w:val="0"/>
                <w:color w:val="000000"/>
                <w:sz w:val="21"/>
                <w:szCs w:val="21"/>
              </w:rPr>
            </w:pPr>
            <w:r>
              <w:rPr>
                <w:rFonts w:eastAsia="宋体"/>
                <w:b w:val="0"/>
                <w:color w:val="000000"/>
                <w:sz w:val="21"/>
                <w:szCs w:val="21"/>
              </w:rPr>
              <w:t>/</w:t>
            </w:r>
          </w:p>
        </w:tc>
        <w:tc>
          <w:tcPr>
            <w:tcW w:w="309" w:type="pct"/>
            <w:vMerge w:val="continue"/>
            <w:vAlign w:val="center"/>
          </w:tcPr>
          <w:p w14:paraId="4BF8F10C">
            <w:pPr>
              <w:pStyle w:val="97"/>
              <w:spacing w:line="300" w:lineRule="exact"/>
              <w:rPr>
                <w:rFonts w:eastAsia="宋体"/>
                <w:color w:val="000000"/>
                <w:sz w:val="21"/>
                <w:szCs w:val="21"/>
              </w:rPr>
            </w:pPr>
          </w:p>
        </w:tc>
      </w:tr>
      <w:tr w14:paraId="1470DA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continue"/>
            <w:vAlign w:val="center"/>
          </w:tcPr>
          <w:p w14:paraId="4DBB3B3B">
            <w:pPr>
              <w:pStyle w:val="97"/>
              <w:spacing w:line="300" w:lineRule="exact"/>
              <w:rPr>
                <w:rFonts w:eastAsia="宋体"/>
                <w:b w:val="0"/>
                <w:color w:val="000000"/>
                <w:sz w:val="21"/>
                <w:szCs w:val="21"/>
              </w:rPr>
            </w:pPr>
          </w:p>
        </w:tc>
        <w:tc>
          <w:tcPr>
            <w:tcW w:w="409" w:type="pct"/>
            <w:vMerge w:val="continue"/>
            <w:vAlign w:val="center"/>
          </w:tcPr>
          <w:p w14:paraId="4882DA3D">
            <w:pPr>
              <w:spacing w:line="300" w:lineRule="exact"/>
              <w:jc w:val="center"/>
              <w:rPr>
                <w:rFonts w:ascii="Times New Roman" w:hAnsi="Times New Roman" w:eastAsia="宋体" w:cs="Times New Roman"/>
                <w:color w:val="000000"/>
                <w:sz w:val="21"/>
                <w:szCs w:val="21"/>
              </w:rPr>
            </w:pPr>
          </w:p>
        </w:tc>
        <w:tc>
          <w:tcPr>
            <w:tcW w:w="350" w:type="pct"/>
            <w:vMerge w:val="continue"/>
            <w:vAlign w:val="center"/>
          </w:tcPr>
          <w:p w14:paraId="3EF28C2E">
            <w:pPr>
              <w:spacing w:line="300" w:lineRule="exact"/>
              <w:jc w:val="center"/>
              <w:rPr>
                <w:rFonts w:ascii="Times New Roman" w:hAnsi="Times New Roman" w:eastAsia="宋体" w:cs="Times New Roman"/>
                <w:color w:val="000000"/>
                <w:sz w:val="21"/>
                <w:szCs w:val="21"/>
              </w:rPr>
            </w:pPr>
          </w:p>
        </w:tc>
        <w:tc>
          <w:tcPr>
            <w:tcW w:w="462" w:type="pct"/>
            <w:vAlign w:val="center"/>
          </w:tcPr>
          <w:p w14:paraId="338A9C17">
            <w:pPr>
              <w:spacing w:line="300" w:lineRule="exact"/>
              <w:jc w:val="center"/>
              <w:rPr>
                <w:rFonts w:ascii="Times New Roman" w:hAnsi="Times New Roman" w:eastAsia="宋体" w:cs="Times New Roman"/>
                <w:color w:val="000000"/>
                <w:sz w:val="21"/>
                <w:szCs w:val="21"/>
              </w:rPr>
            </w:pPr>
          </w:p>
        </w:tc>
        <w:tc>
          <w:tcPr>
            <w:tcW w:w="502" w:type="pct"/>
            <w:vAlign w:val="center"/>
          </w:tcPr>
          <w:p w14:paraId="47C89011">
            <w:pPr>
              <w:spacing w:line="300" w:lineRule="exact"/>
              <w:jc w:val="center"/>
              <w:rPr>
                <w:rFonts w:ascii="Times New Roman" w:hAnsi="Times New Roman" w:eastAsia="宋体" w:cs="Times New Roman"/>
                <w:color w:val="000000"/>
                <w:sz w:val="21"/>
                <w:szCs w:val="21"/>
              </w:rPr>
            </w:pPr>
          </w:p>
        </w:tc>
        <w:tc>
          <w:tcPr>
            <w:tcW w:w="575" w:type="pct"/>
            <w:vAlign w:val="center"/>
          </w:tcPr>
          <w:p w14:paraId="73AE0E85">
            <w:pPr>
              <w:spacing w:line="300" w:lineRule="exact"/>
              <w:jc w:val="center"/>
              <w:rPr>
                <w:rFonts w:ascii="Times New Roman" w:hAnsi="Times New Roman" w:eastAsia="宋体" w:cs="Times New Roman"/>
                <w:color w:val="000000"/>
                <w:sz w:val="21"/>
                <w:szCs w:val="21"/>
              </w:rPr>
            </w:pPr>
          </w:p>
        </w:tc>
        <w:tc>
          <w:tcPr>
            <w:tcW w:w="313" w:type="pct"/>
            <w:vMerge w:val="continue"/>
            <w:vAlign w:val="center"/>
          </w:tcPr>
          <w:p w14:paraId="671FFC3A">
            <w:pPr>
              <w:pStyle w:val="97"/>
              <w:spacing w:line="300" w:lineRule="exact"/>
              <w:rPr>
                <w:rFonts w:eastAsia="宋体"/>
                <w:color w:val="000000"/>
                <w:sz w:val="21"/>
                <w:szCs w:val="21"/>
              </w:rPr>
            </w:pPr>
          </w:p>
        </w:tc>
        <w:tc>
          <w:tcPr>
            <w:tcW w:w="282" w:type="pct"/>
            <w:vMerge w:val="continue"/>
            <w:vAlign w:val="center"/>
          </w:tcPr>
          <w:p w14:paraId="3C79D6AB">
            <w:pPr>
              <w:pStyle w:val="97"/>
              <w:spacing w:line="300" w:lineRule="exact"/>
              <w:rPr>
                <w:rFonts w:eastAsia="宋体"/>
                <w:b w:val="0"/>
                <w:color w:val="000000"/>
                <w:sz w:val="21"/>
                <w:szCs w:val="21"/>
              </w:rPr>
            </w:pPr>
          </w:p>
        </w:tc>
        <w:tc>
          <w:tcPr>
            <w:tcW w:w="453" w:type="pct"/>
            <w:vAlign w:val="center"/>
          </w:tcPr>
          <w:p w14:paraId="3B762598">
            <w:pPr>
              <w:pStyle w:val="97"/>
              <w:spacing w:line="300" w:lineRule="exact"/>
              <w:rPr>
                <w:rFonts w:eastAsia="宋体"/>
                <w:b w:val="0"/>
                <w:color w:val="000000"/>
                <w:sz w:val="21"/>
                <w:szCs w:val="21"/>
              </w:rPr>
            </w:pPr>
            <w:r>
              <w:rPr>
                <w:rFonts w:eastAsia="宋体"/>
                <w:b w:val="0"/>
                <w:color w:val="000000"/>
                <w:sz w:val="21"/>
                <w:szCs w:val="21"/>
              </w:rPr>
              <w:t>/</w:t>
            </w:r>
          </w:p>
        </w:tc>
        <w:tc>
          <w:tcPr>
            <w:tcW w:w="528" w:type="pct"/>
            <w:vAlign w:val="center"/>
          </w:tcPr>
          <w:p w14:paraId="4062AAA0">
            <w:pPr>
              <w:pStyle w:val="97"/>
              <w:spacing w:line="300" w:lineRule="exact"/>
              <w:rPr>
                <w:rFonts w:eastAsia="宋体"/>
                <w:b w:val="0"/>
                <w:color w:val="000000"/>
                <w:sz w:val="21"/>
                <w:szCs w:val="21"/>
              </w:rPr>
            </w:pPr>
            <w:r>
              <w:rPr>
                <w:rFonts w:eastAsia="宋体"/>
                <w:b w:val="0"/>
                <w:color w:val="000000"/>
                <w:sz w:val="21"/>
                <w:szCs w:val="21"/>
              </w:rPr>
              <w:t>/</w:t>
            </w:r>
          </w:p>
        </w:tc>
        <w:tc>
          <w:tcPr>
            <w:tcW w:w="615" w:type="pct"/>
            <w:vAlign w:val="center"/>
          </w:tcPr>
          <w:p w14:paraId="14C2417A">
            <w:pPr>
              <w:pStyle w:val="97"/>
              <w:spacing w:line="300" w:lineRule="exact"/>
              <w:rPr>
                <w:rFonts w:eastAsia="宋体"/>
                <w:b w:val="0"/>
                <w:color w:val="000000"/>
                <w:sz w:val="21"/>
                <w:szCs w:val="21"/>
              </w:rPr>
            </w:pPr>
            <w:r>
              <w:rPr>
                <w:rFonts w:eastAsia="宋体"/>
                <w:b w:val="0"/>
                <w:color w:val="000000"/>
                <w:sz w:val="21"/>
                <w:szCs w:val="21"/>
              </w:rPr>
              <w:t>/</w:t>
            </w:r>
          </w:p>
        </w:tc>
        <w:tc>
          <w:tcPr>
            <w:tcW w:w="309" w:type="pct"/>
            <w:vMerge w:val="continue"/>
            <w:vAlign w:val="center"/>
          </w:tcPr>
          <w:p w14:paraId="0FDF967C">
            <w:pPr>
              <w:pStyle w:val="97"/>
              <w:spacing w:line="300" w:lineRule="exact"/>
              <w:rPr>
                <w:rFonts w:eastAsia="宋体"/>
                <w:color w:val="000000"/>
                <w:sz w:val="21"/>
                <w:szCs w:val="21"/>
              </w:rPr>
            </w:pPr>
          </w:p>
        </w:tc>
      </w:tr>
      <w:tr w14:paraId="52845C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continue"/>
            <w:vAlign w:val="center"/>
          </w:tcPr>
          <w:p w14:paraId="5E68C193">
            <w:pPr>
              <w:pStyle w:val="97"/>
              <w:spacing w:line="300" w:lineRule="exact"/>
              <w:rPr>
                <w:rFonts w:eastAsia="宋体"/>
                <w:b w:val="0"/>
                <w:color w:val="000000"/>
                <w:sz w:val="21"/>
                <w:szCs w:val="21"/>
              </w:rPr>
            </w:pPr>
          </w:p>
        </w:tc>
        <w:tc>
          <w:tcPr>
            <w:tcW w:w="409" w:type="pct"/>
            <w:vMerge w:val="continue"/>
            <w:vAlign w:val="center"/>
          </w:tcPr>
          <w:p w14:paraId="07843940">
            <w:pPr>
              <w:spacing w:line="300" w:lineRule="exact"/>
              <w:jc w:val="center"/>
              <w:rPr>
                <w:rFonts w:ascii="Times New Roman" w:hAnsi="Times New Roman" w:eastAsia="宋体" w:cs="Times New Roman"/>
                <w:color w:val="000000"/>
                <w:sz w:val="21"/>
                <w:szCs w:val="21"/>
              </w:rPr>
            </w:pPr>
          </w:p>
        </w:tc>
        <w:tc>
          <w:tcPr>
            <w:tcW w:w="350" w:type="pct"/>
            <w:vMerge w:val="continue"/>
            <w:vAlign w:val="center"/>
          </w:tcPr>
          <w:p w14:paraId="40225408">
            <w:pPr>
              <w:spacing w:line="300" w:lineRule="exact"/>
              <w:jc w:val="center"/>
              <w:rPr>
                <w:rFonts w:ascii="Times New Roman" w:hAnsi="Times New Roman" w:eastAsia="宋体" w:cs="Times New Roman"/>
                <w:color w:val="000000"/>
                <w:sz w:val="21"/>
                <w:szCs w:val="21"/>
              </w:rPr>
            </w:pPr>
          </w:p>
        </w:tc>
        <w:tc>
          <w:tcPr>
            <w:tcW w:w="462" w:type="pct"/>
            <w:vAlign w:val="center"/>
          </w:tcPr>
          <w:p w14:paraId="1F4218E8">
            <w:pPr>
              <w:spacing w:line="300" w:lineRule="exact"/>
              <w:jc w:val="center"/>
              <w:rPr>
                <w:rFonts w:ascii="Times New Roman" w:hAnsi="Times New Roman" w:eastAsia="宋体" w:cs="Times New Roman"/>
                <w:color w:val="000000"/>
                <w:sz w:val="21"/>
                <w:szCs w:val="21"/>
              </w:rPr>
            </w:pPr>
          </w:p>
        </w:tc>
        <w:tc>
          <w:tcPr>
            <w:tcW w:w="502" w:type="pct"/>
            <w:vAlign w:val="center"/>
          </w:tcPr>
          <w:p w14:paraId="6AEC1CF1">
            <w:pPr>
              <w:spacing w:line="300" w:lineRule="exact"/>
              <w:jc w:val="center"/>
              <w:rPr>
                <w:rFonts w:ascii="Times New Roman" w:hAnsi="Times New Roman" w:eastAsia="宋体" w:cs="Times New Roman"/>
                <w:color w:val="000000"/>
                <w:sz w:val="21"/>
                <w:szCs w:val="21"/>
              </w:rPr>
            </w:pPr>
          </w:p>
        </w:tc>
        <w:tc>
          <w:tcPr>
            <w:tcW w:w="575" w:type="pct"/>
            <w:vAlign w:val="center"/>
          </w:tcPr>
          <w:p w14:paraId="1B578792">
            <w:pPr>
              <w:spacing w:line="300" w:lineRule="exact"/>
              <w:jc w:val="center"/>
              <w:rPr>
                <w:rFonts w:ascii="Times New Roman" w:hAnsi="Times New Roman" w:eastAsia="宋体" w:cs="Times New Roman"/>
                <w:color w:val="000000"/>
                <w:sz w:val="21"/>
                <w:szCs w:val="21"/>
              </w:rPr>
            </w:pPr>
          </w:p>
        </w:tc>
        <w:tc>
          <w:tcPr>
            <w:tcW w:w="313" w:type="pct"/>
            <w:vMerge w:val="continue"/>
            <w:vAlign w:val="center"/>
          </w:tcPr>
          <w:p w14:paraId="48DA5830">
            <w:pPr>
              <w:pStyle w:val="97"/>
              <w:spacing w:line="300" w:lineRule="exact"/>
              <w:rPr>
                <w:rFonts w:eastAsia="宋体"/>
                <w:color w:val="000000"/>
                <w:sz w:val="21"/>
                <w:szCs w:val="21"/>
              </w:rPr>
            </w:pPr>
          </w:p>
        </w:tc>
        <w:tc>
          <w:tcPr>
            <w:tcW w:w="282" w:type="pct"/>
            <w:vMerge w:val="continue"/>
            <w:vAlign w:val="center"/>
          </w:tcPr>
          <w:p w14:paraId="07F35631">
            <w:pPr>
              <w:pStyle w:val="97"/>
              <w:spacing w:line="300" w:lineRule="exact"/>
              <w:rPr>
                <w:rFonts w:eastAsia="宋体"/>
                <w:b w:val="0"/>
                <w:color w:val="000000"/>
                <w:sz w:val="21"/>
                <w:szCs w:val="21"/>
              </w:rPr>
            </w:pPr>
          </w:p>
        </w:tc>
        <w:tc>
          <w:tcPr>
            <w:tcW w:w="453" w:type="pct"/>
            <w:vAlign w:val="center"/>
          </w:tcPr>
          <w:p w14:paraId="0D2D0019">
            <w:pPr>
              <w:pStyle w:val="97"/>
              <w:spacing w:line="300" w:lineRule="exact"/>
              <w:rPr>
                <w:rFonts w:eastAsia="宋体"/>
                <w:b w:val="0"/>
                <w:color w:val="000000"/>
                <w:sz w:val="21"/>
                <w:szCs w:val="21"/>
              </w:rPr>
            </w:pPr>
            <w:r>
              <w:rPr>
                <w:rFonts w:eastAsia="宋体"/>
                <w:b w:val="0"/>
                <w:color w:val="000000"/>
                <w:sz w:val="21"/>
                <w:szCs w:val="21"/>
              </w:rPr>
              <w:t>/</w:t>
            </w:r>
          </w:p>
        </w:tc>
        <w:tc>
          <w:tcPr>
            <w:tcW w:w="528" w:type="pct"/>
            <w:vAlign w:val="center"/>
          </w:tcPr>
          <w:p w14:paraId="509203D9">
            <w:pPr>
              <w:pStyle w:val="97"/>
              <w:spacing w:line="300" w:lineRule="exact"/>
              <w:rPr>
                <w:rFonts w:eastAsia="宋体"/>
                <w:b w:val="0"/>
                <w:color w:val="000000"/>
                <w:sz w:val="21"/>
                <w:szCs w:val="21"/>
              </w:rPr>
            </w:pPr>
            <w:r>
              <w:rPr>
                <w:rFonts w:eastAsia="宋体"/>
                <w:b w:val="0"/>
                <w:color w:val="000000"/>
                <w:sz w:val="21"/>
                <w:szCs w:val="21"/>
              </w:rPr>
              <w:t>/</w:t>
            </w:r>
          </w:p>
        </w:tc>
        <w:tc>
          <w:tcPr>
            <w:tcW w:w="615" w:type="pct"/>
            <w:vAlign w:val="center"/>
          </w:tcPr>
          <w:p w14:paraId="117E12EA">
            <w:pPr>
              <w:pStyle w:val="97"/>
              <w:spacing w:line="300" w:lineRule="exact"/>
              <w:rPr>
                <w:rFonts w:eastAsia="宋体"/>
                <w:b w:val="0"/>
                <w:color w:val="000000"/>
                <w:sz w:val="21"/>
                <w:szCs w:val="21"/>
              </w:rPr>
            </w:pPr>
            <w:r>
              <w:rPr>
                <w:rFonts w:eastAsia="宋体"/>
                <w:b w:val="0"/>
                <w:color w:val="000000"/>
                <w:sz w:val="21"/>
                <w:szCs w:val="21"/>
              </w:rPr>
              <w:t>/</w:t>
            </w:r>
          </w:p>
        </w:tc>
        <w:tc>
          <w:tcPr>
            <w:tcW w:w="309" w:type="pct"/>
            <w:vMerge w:val="continue"/>
            <w:vAlign w:val="center"/>
          </w:tcPr>
          <w:p w14:paraId="485D1919">
            <w:pPr>
              <w:pStyle w:val="97"/>
              <w:spacing w:line="300" w:lineRule="exact"/>
              <w:rPr>
                <w:rFonts w:eastAsia="宋体"/>
                <w:color w:val="000000"/>
                <w:sz w:val="21"/>
                <w:szCs w:val="21"/>
              </w:rPr>
            </w:pPr>
          </w:p>
        </w:tc>
      </w:tr>
      <w:tr w14:paraId="7C664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restart"/>
            <w:vAlign w:val="center"/>
          </w:tcPr>
          <w:p w14:paraId="7F16614D">
            <w:pPr>
              <w:pStyle w:val="97"/>
              <w:spacing w:line="300" w:lineRule="exact"/>
              <w:rPr>
                <w:rFonts w:eastAsia="宋体"/>
                <w:b w:val="0"/>
                <w:color w:val="000000"/>
                <w:sz w:val="21"/>
                <w:szCs w:val="21"/>
              </w:rPr>
            </w:pPr>
            <w:r>
              <w:rPr>
                <w:rFonts w:eastAsia="宋体"/>
                <w:b w:val="0"/>
                <w:color w:val="000000"/>
                <w:sz w:val="21"/>
                <w:szCs w:val="21"/>
              </w:rPr>
              <w:t>2</w:t>
            </w:r>
          </w:p>
        </w:tc>
        <w:tc>
          <w:tcPr>
            <w:tcW w:w="409" w:type="pct"/>
            <w:vMerge w:val="restart"/>
            <w:vAlign w:val="center"/>
          </w:tcPr>
          <w:p w14:paraId="0E96BC05">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冲洗废水</w:t>
            </w:r>
          </w:p>
        </w:tc>
        <w:tc>
          <w:tcPr>
            <w:tcW w:w="350" w:type="pct"/>
            <w:vMerge w:val="restart"/>
            <w:vAlign w:val="center"/>
          </w:tcPr>
          <w:p w14:paraId="4977B18B">
            <w:pPr>
              <w:spacing w:line="300" w:lineRule="exact"/>
              <w:jc w:val="center"/>
              <w:rPr>
                <w:rFonts w:ascii="Times New Roman" w:hAnsi="Times New Roman" w:eastAsia="宋体" w:cs="Times New Roman"/>
                <w:color w:val="000000"/>
                <w:sz w:val="21"/>
                <w:szCs w:val="21"/>
              </w:rPr>
            </w:pPr>
          </w:p>
        </w:tc>
        <w:tc>
          <w:tcPr>
            <w:tcW w:w="462" w:type="pct"/>
            <w:vAlign w:val="center"/>
          </w:tcPr>
          <w:p w14:paraId="4547DA13">
            <w:pPr>
              <w:spacing w:line="300" w:lineRule="exact"/>
              <w:jc w:val="center"/>
              <w:rPr>
                <w:rFonts w:ascii="Times New Roman" w:hAnsi="Times New Roman" w:eastAsia="宋体" w:cs="Times New Roman"/>
                <w:color w:val="000000"/>
                <w:sz w:val="21"/>
                <w:szCs w:val="21"/>
              </w:rPr>
            </w:pPr>
          </w:p>
        </w:tc>
        <w:tc>
          <w:tcPr>
            <w:tcW w:w="502" w:type="pct"/>
            <w:vAlign w:val="center"/>
          </w:tcPr>
          <w:p w14:paraId="1038D12C">
            <w:pPr>
              <w:spacing w:line="300" w:lineRule="exact"/>
              <w:jc w:val="center"/>
              <w:rPr>
                <w:rFonts w:ascii="Times New Roman" w:hAnsi="Times New Roman" w:eastAsia="宋体" w:cs="Times New Roman"/>
                <w:color w:val="000000"/>
                <w:sz w:val="21"/>
                <w:szCs w:val="21"/>
              </w:rPr>
            </w:pPr>
          </w:p>
        </w:tc>
        <w:tc>
          <w:tcPr>
            <w:tcW w:w="575" w:type="pct"/>
            <w:vAlign w:val="center"/>
          </w:tcPr>
          <w:p w14:paraId="33BE843B">
            <w:pPr>
              <w:spacing w:line="300" w:lineRule="exact"/>
              <w:jc w:val="center"/>
              <w:rPr>
                <w:rFonts w:ascii="Times New Roman" w:hAnsi="Times New Roman" w:eastAsia="宋体" w:cs="Times New Roman"/>
                <w:color w:val="000000"/>
                <w:sz w:val="21"/>
                <w:szCs w:val="21"/>
              </w:rPr>
            </w:pPr>
          </w:p>
        </w:tc>
        <w:tc>
          <w:tcPr>
            <w:tcW w:w="313" w:type="pct"/>
            <w:vMerge w:val="continue"/>
            <w:vAlign w:val="center"/>
          </w:tcPr>
          <w:p w14:paraId="2FDC2A0B">
            <w:pPr>
              <w:pStyle w:val="97"/>
              <w:spacing w:line="300" w:lineRule="exact"/>
              <w:rPr>
                <w:rFonts w:eastAsia="宋体"/>
                <w:color w:val="000000"/>
                <w:sz w:val="21"/>
                <w:szCs w:val="21"/>
              </w:rPr>
            </w:pPr>
          </w:p>
        </w:tc>
        <w:tc>
          <w:tcPr>
            <w:tcW w:w="282" w:type="pct"/>
            <w:vMerge w:val="restart"/>
            <w:vAlign w:val="center"/>
          </w:tcPr>
          <w:p w14:paraId="70100C71">
            <w:pPr>
              <w:pStyle w:val="97"/>
              <w:spacing w:line="300" w:lineRule="exact"/>
              <w:rPr>
                <w:rFonts w:eastAsia="宋体"/>
                <w:b w:val="0"/>
                <w:color w:val="000000"/>
                <w:sz w:val="21"/>
                <w:szCs w:val="21"/>
              </w:rPr>
            </w:pPr>
            <w:r>
              <w:rPr>
                <w:rFonts w:eastAsia="宋体"/>
                <w:b w:val="0"/>
                <w:color w:val="000000"/>
                <w:sz w:val="21"/>
                <w:szCs w:val="21"/>
              </w:rPr>
              <w:t>/</w:t>
            </w:r>
          </w:p>
        </w:tc>
        <w:tc>
          <w:tcPr>
            <w:tcW w:w="453" w:type="pct"/>
            <w:vAlign w:val="center"/>
          </w:tcPr>
          <w:p w14:paraId="1CC0609D">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28" w:type="pct"/>
            <w:vAlign w:val="center"/>
          </w:tcPr>
          <w:p w14:paraId="06CE0D82">
            <w:pPr>
              <w:pStyle w:val="97"/>
              <w:spacing w:line="300" w:lineRule="exact"/>
              <w:rPr>
                <w:rFonts w:eastAsia="宋体"/>
                <w:b w:val="0"/>
                <w:color w:val="000000"/>
                <w:sz w:val="21"/>
                <w:szCs w:val="21"/>
              </w:rPr>
            </w:pPr>
            <w:r>
              <w:rPr>
                <w:rFonts w:eastAsia="宋体"/>
                <w:b w:val="0"/>
                <w:color w:val="000000"/>
                <w:sz w:val="21"/>
                <w:szCs w:val="21"/>
              </w:rPr>
              <w:t>/</w:t>
            </w:r>
          </w:p>
        </w:tc>
        <w:tc>
          <w:tcPr>
            <w:tcW w:w="615" w:type="pct"/>
            <w:vAlign w:val="center"/>
          </w:tcPr>
          <w:p w14:paraId="1F33F65A">
            <w:pPr>
              <w:pStyle w:val="97"/>
              <w:spacing w:line="300" w:lineRule="exact"/>
              <w:rPr>
                <w:rFonts w:eastAsia="宋体"/>
                <w:b w:val="0"/>
                <w:color w:val="000000"/>
                <w:sz w:val="21"/>
                <w:szCs w:val="21"/>
              </w:rPr>
            </w:pPr>
            <w:r>
              <w:rPr>
                <w:rFonts w:eastAsia="宋体"/>
                <w:b w:val="0"/>
                <w:color w:val="000000"/>
                <w:sz w:val="21"/>
                <w:szCs w:val="21"/>
              </w:rPr>
              <w:t>/</w:t>
            </w:r>
          </w:p>
        </w:tc>
        <w:tc>
          <w:tcPr>
            <w:tcW w:w="309" w:type="pct"/>
            <w:vMerge w:val="continue"/>
            <w:vAlign w:val="center"/>
          </w:tcPr>
          <w:p w14:paraId="6863EC35">
            <w:pPr>
              <w:pStyle w:val="97"/>
              <w:spacing w:line="300" w:lineRule="exact"/>
              <w:rPr>
                <w:rFonts w:eastAsia="宋体"/>
                <w:color w:val="000000"/>
                <w:sz w:val="21"/>
                <w:szCs w:val="21"/>
              </w:rPr>
            </w:pPr>
          </w:p>
        </w:tc>
      </w:tr>
      <w:tr w14:paraId="517D2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continue"/>
            <w:vAlign w:val="center"/>
          </w:tcPr>
          <w:p w14:paraId="0FB6BA25">
            <w:pPr>
              <w:pStyle w:val="97"/>
              <w:spacing w:line="300" w:lineRule="exact"/>
              <w:rPr>
                <w:rFonts w:eastAsia="宋体"/>
                <w:b w:val="0"/>
                <w:color w:val="000000"/>
                <w:sz w:val="21"/>
                <w:szCs w:val="21"/>
              </w:rPr>
            </w:pPr>
          </w:p>
        </w:tc>
        <w:tc>
          <w:tcPr>
            <w:tcW w:w="409" w:type="pct"/>
            <w:vMerge w:val="continue"/>
            <w:vAlign w:val="center"/>
          </w:tcPr>
          <w:p w14:paraId="0D0EA8D7">
            <w:pPr>
              <w:spacing w:line="300" w:lineRule="exact"/>
              <w:jc w:val="center"/>
              <w:rPr>
                <w:rFonts w:ascii="Times New Roman" w:hAnsi="Times New Roman" w:eastAsia="宋体" w:cs="Times New Roman"/>
                <w:color w:val="000000"/>
                <w:sz w:val="21"/>
                <w:szCs w:val="21"/>
              </w:rPr>
            </w:pPr>
          </w:p>
        </w:tc>
        <w:tc>
          <w:tcPr>
            <w:tcW w:w="350" w:type="pct"/>
            <w:vMerge w:val="continue"/>
            <w:vAlign w:val="center"/>
          </w:tcPr>
          <w:p w14:paraId="0B09BA79">
            <w:pPr>
              <w:spacing w:line="300" w:lineRule="exact"/>
              <w:jc w:val="center"/>
              <w:rPr>
                <w:rFonts w:ascii="Times New Roman" w:hAnsi="Times New Roman" w:eastAsia="宋体" w:cs="Times New Roman"/>
                <w:color w:val="000000"/>
                <w:sz w:val="21"/>
                <w:szCs w:val="21"/>
              </w:rPr>
            </w:pPr>
          </w:p>
        </w:tc>
        <w:tc>
          <w:tcPr>
            <w:tcW w:w="462" w:type="pct"/>
            <w:vAlign w:val="center"/>
          </w:tcPr>
          <w:p w14:paraId="0DF8C73D">
            <w:pPr>
              <w:spacing w:line="300" w:lineRule="exact"/>
              <w:jc w:val="center"/>
              <w:rPr>
                <w:rFonts w:ascii="Times New Roman" w:hAnsi="Times New Roman" w:eastAsia="宋体" w:cs="Times New Roman"/>
                <w:color w:val="000000"/>
                <w:sz w:val="21"/>
                <w:szCs w:val="21"/>
              </w:rPr>
            </w:pPr>
          </w:p>
        </w:tc>
        <w:tc>
          <w:tcPr>
            <w:tcW w:w="502" w:type="pct"/>
            <w:vAlign w:val="center"/>
          </w:tcPr>
          <w:p w14:paraId="7E4DD222">
            <w:pPr>
              <w:spacing w:line="300" w:lineRule="exact"/>
              <w:jc w:val="center"/>
              <w:rPr>
                <w:rFonts w:ascii="Times New Roman" w:hAnsi="Times New Roman" w:eastAsia="宋体" w:cs="Times New Roman"/>
                <w:color w:val="000000"/>
                <w:sz w:val="21"/>
                <w:szCs w:val="21"/>
              </w:rPr>
            </w:pPr>
          </w:p>
        </w:tc>
        <w:tc>
          <w:tcPr>
            <w:tcW w:w="575" w:type="pct"/>
            <w:vAlign w:val="center"/>
          </w:tcPr>
          <w:p w14:paraId="334EE139">
            <w:pPr>
              <w:spacing w:line="300" w:lineRule="exact"/>
              <w:jc w:val="center"/>
              <w:rPr>
                <w:rFonts w:ascii="Times New Roman" w:hAnsi="Times New Roman" w:eastAsia="宋体" w:cs="Times New Roman"/>
                <w:color w:val="000000"/>
                <w:sz w:val="21"/>
                <w:szCs w:val="21"/>
              </w:rPr>
            </w:pPr>
          </w:p>
        </w:tc>
        <w:tc>
          <w:tcPr>
            <w:tcW w:w="313" w:type="pct"/>
            <w:vMerge w:val="continue"/>
            <w:vAlign w:val="center"/>
          </w:tcPr>
          <w:p w14:paraId="39A636CF">
            <w:pPr>
              <w:pStyle w:val="97"/>
              <w:spacing w:line="300" w:lineRule="exact"/>
              <w:rPr>
                <w:rFonts w:eastAsia="宋体"/>
                <w:color w:val="000000"/>
                <w:sz w:val="21"/>
                <w:szCs w:val="21"/>
              </w:rPr>
            </w:pPr>
          </w:p>
        </w:tc>
        <w:tc>
          <w:tcPr>
            <w:tcW w:w="282" w:type="pct"/>
            <w:vMerge w:val="continue"/>
            <w:vAlign w:val="center"/>
          </w:tcPr>
          <w:p w14:paraId="056522CA">
            <w:pPr>
              <w:pStyle w:val="97"/>
              <w:spacing w:line="300" w:lineRule="exact"/>
              <w:rPr>
                <w:rFonts w:eastAsia="宋体"/>
                <w:color w:val="000000"/>
                <w:sz w:val="21"/>
                <w:szCs w:val="21"/>
              </w:rPr>
            </w:pPr>
          </w:p>
        </w:tc>
        <w:tc>
          <w:tcPr>
            <w:tcW w:w="453" w:type="pct"/>
            <w:vAlign w:val="center"/>
          </w:tcPr>
          <w:p w14:paraId="47C74C02">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28" w:type="pct"/>
            <w:vAlign w:val="center"/>
          </w:tcPr>
          <w:p w14:paraId="01333E94">
            <w:pPr>
              <w:pStyle w:val="97"/>
              <w:spacing w:line="300" w:lineRule="exact"/>
              <w:rPr>
                <w:rFonts w:eastAsia="宋体"/>
                <w:b w:val="0"/>
                <w:color w:val="000000"/>
                <w:sz w:val="21"/>
                <w:szCs w:val="21"/>
              </w:rPr>
            </w:pPr>
            <w:r>
              <w:rPr>
                <w:rFonts w:eastAsia="宋体"/>
                <w:b w:val="0"/>
                <w:color w:val="000000"/>
                <w:sz w:val="21"/>
                <w:szCs w:val="21"/>
              </w:rPr>
              <w:t>/</w:t>
            </w:r>
          </w:p>
        </w:tc>
        <w:tc>
          <w:tcPr>
            <w:tcW w:w="615" w:type="pct"/>
            <w:vAlign w:val="center"/>
          </w:tcPr>
          <w:p w14:paraId="1457DA4A">
            <w:pPr>
              <w:pStyle w:val="97"/>
              <w:spacing w:line="300" w:lineRule="exact"/>
              <w:rPr>
                <w:rFonts w:eastAsia="宋体"/>
                <w:b w:val="0"/>
                <w:color w:val="000000"/>
                <w:sz w:val="21"/>
                <w:szCs w:val="21"/>
              </w:rPr>
            </w:pPr>
            <w:r>
              <w:rPr>
                <w:rFonts w:eastAsia="宋体"/>
                <w:b w:val="0"/>
                <w:color w:val="000000"/>
                <w:sz w:val="21"/>
                <w:szCs w:val="21"/>
              </w:rPr>
              <w:t>/</w:t>
            </w:r>
          </w:p>
        </w:tc>
        <w:tc>
          <w:tcPr>
            <w:tcW w:w="309" w:type="pct"/>
            <w:vMerge w:val="continue"/>
            <w:vAlign w:val="center"/>
          </w:tcPr>
          <w:p w14:paraId="78011842">
            <w:pPr>
              <w:pStyle w:val="97"/>
              <w:spacing w:line="300" w:lineRule="exact"/>
              <w:rPr>
                <w:rFonts w:eastAsia="宋体"/>
                <w:color w:val="000000"/>
                <w:sz w:val="21"/>
                <w:szCs w:val="21"/>
              </w:rPr>
            </w:pPr>
          </w:p>
        </w:tc>
      </w:tr>
      <w:tr w14:paraId="43DCF8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continue"/>
            <w:vAlign w:val="center"/>
          </w:tcPr>
          <w:p w14:paraId="35CD4E89">
            <w:pPr>
              <w:pStyle w:val="97"/>
              <w:spacing w:line="300" w:lineRule="exact"/>
              <w:rPr>
                <w:rFonts w:eastAsia="宋体"/>
                <w:b w:val="0"/>
                <w:color w:val="000000"/>
                <w:sz w:val="21"/>
                <w:szCs w:val="21"/>
              </w:rPr>
            </w:pPr>
          </w:p>
        </w:tc>
        <w:tc>
          <w:tcPr>
            <w:tcW w:w="409" w:type="pct"/>
            <w:vMerge w:val="continue"/>
            <w:vAlign w:val="center"/>
          </w:tcPr>
          <w:p w14:paraId="22E4AC8A">
            <w:pPr>
              <w:spacing w:line="300" w:lineRule="exact"/>
              <w:jc w:val="center"/>
              <w:rPr>
                <w:rFonts w:ascii="Times New Roman" w:hAnsi="Times New Roman" w:eastAsia="宋体" w:cs="Times New Roman"/>
                <w:color w:val="000000"/>
                <w:sz w:val="21"/>
                <w:szCs w:val="21"/>
              </w:rPr>
            </w:pPr>
          </w:p>
        </w:tc>
        <w:tc>
          <w:tcPr>
            <w:tcW w:w="350" w:type="pct"/>
            <w:vMerge w:val="continue"/>
            <w:vAlign w:val="center"/>
          </w:tcPr>
          <w:p w14:paraId="7FE83DCC">
            <w:pPr>
              <w:spacing w:line="300" w:lineRule="exact"/>
              <w:jc w:val="center"/>
              <w:rPr>
                <w:rFonts w:ascii="Times New Roman" w:hAnsi="Times New Roman" w:eastAsia="宋体" w:cs="Times New Roman"/>
                <w:color w:val="000000"/>
                <w:sz w:val="21"/>
                <w:szCs w:val="21"/>
              </w:rPr>
            </w:pPr>
          </w:p>
        </w:tc>
        <w:tc>
          <w:tcPr>
            <w:tcW w:w="462" w:type="pct"/>
            <w:vAlign w:val="center"/>
          </w:tcPr>
          <w:p w14:paraId="54FD27BA">
            <w:pPr>
              <w:spacing w:line="300" w:lineRule="exact"/>
              <w:jc w:val="center"/>
              <w:rPr>
                <w:rFonts w:ascii="Times New Roman" w:hAnsi="Times New Roman" w:eastAsia="宋体" w:cs="Times New Roman"/>
                <w:color w:val="000000"/>
                <w:sz w:val="21"/>
                <w:szCs w:val="21"/>
              </w:rPr>
            </w:pPr>
          </w:p>
        </w:tc>
        <w:tc>
          <w:tcPr>
            <w:tcW w:w="502" w:type="pct"/>
            <w:vAlign w:val="center"/>
          </w:tcPr>
          <w:p w14:paraId="59D922D6">
            <w:pPr>
              <w:spacing w:line="300" w:lineRule="exact"/>
              <w:jc w:val="center"/>
              <w:rPr>
                <w:rFonts w:ascii="Times New Roman" w:hAnsi="Times New Roman" w:eastAsia="宋体" w:cs="Times New Roman"/>
                <w:color w:val="000000"/>
                <w:sz w:val="21"/>
                <w:szCs w:val="21"/>
              </w:rPr>
            </w:pPr>
          </w:p>
        </w:tc>
        <w:tc>
          <w:tcPr>
            <w:tcW w:w="575" w:type="pct"/>
            <w:vAlign w:val="center"/>
          </w:tcPr>
          <w:p w14:paraId="49E03FD5">
            <w:pPr>
              <w:spacing w:line="300" w:lineRule="exact"/>
              <w:jc w:val="center"/>
              <w:rPr>
                <w:rFonts w:ascii="Times New Roman" w:hAnsi="Times New Roman" w:eastAsia="宋体" w:cs="Times New Roman"/>
                <w:color w:val="000000"/>
                <w:sz w:val="21"/>
                <w:szCs w:val="21"/>
              </w:rPr>
            </w:pPr>
          </w:p>
        </w:tc>
        <w:tc>
          <w:tcPr>
            <w:tcW w:w="313" w:type="pct"/>
            <w:vMerge w:val="continue"/>
            <w:vAlign w:val="center"/>
          </w:tcPr>
          <w:p w14:paraId="4824B251">
            <w:pPr>
              <w:pStyle w:val="97"/>
              <w:spacing w:line="300" w:lineRule="exact"/>
              <w:rPr>
                <w:rFonts w:eastAsia="宋体"/>
                <w:color w:val="000000"/>
                <w:sz w:val="21"/>
                <w:szCs w:val="21"/>
              </w:rPr>
            </w:pPr>
          </w:p>
        </w:tc>
        <w:tc>
          <w:tcPr>
            <w:tcW w:w="282" w:type="pct"/>
            <w:vMerge w:val="continue"/>
            <w:vAlign w:val="center"/>
          </w:tcPr>
          <w:p w14:paraId="49375013">
            <w:pPr>
              <w:pStyle w:val="97"/>
              <w:spacing w:line="300" w:lineRule="exact"/>
              <w:rPr>
                <w:rFonts w:eastAsia="宋体"/>
                <w:color w:val="000000"/>
                <w:sz w:val="21"/>
                <w:szCs w:val="21"/>
              </w:rPr>
            </w:pPr>
          </w:p>
        </w:tc>
        <w:tc>
          <w:tcPr>
            <w:tcW w:w="453" w:type="pct"/>
            <w:vAlign w:val="center"/>
          </w:tcPr>
          <w:p w14:paraId="14C4A1E4">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28" w:type="pct"/>
            <w:vAlign w:val="center"/>
          </w:tcPr>
          <w:p w14:paraId="173322F2">
            <w:pPr>
              <w:pStyle w:val="97"/>
              <w:spacing w:line="300" w:lineRule="exact"/>
              <w:rPr>
                <w:rFonts w:eastAsia="宋体"/>
                <w:b w:val="0"/>
                <w:color w:val="000000"/>
                <w:sz w:val="21"/>
                <w:szCs w:val="21"/>
              </w:rPr>
            </w:pPr>
            <w:r>
              <w:rPr>
                <w:rFonts w:eastAsia="宋体"/>
                <w:b w:val="0"/>
                <w:color w:val="000000"/>
                <w:sz w:val="21"/>
                <w:szCs w:val="21"/>
              </w:rPr>
              <w:t>/</w:t>
            </w:r>
          </w:p>
        </w:tc>
        <w:tc>
          <w:tcPr>
            <w:tcW w:w="615" w:type="pct"/>
            <w:vAlign w:val="center"/>
          </w:tcPr>
          <w:p w14:paraId="1EDAD103">
            <w:pPr>
              <w:pStyle w:val="97"/>
              <w:spacing w:line="300" w:lineRule="exact"/>
              <w:rPr>
                <w:rFonts w:eastAsia="宋体"/>
                <w:b w:val="0"/>
                <w:color w:val="000000"/>
                <w:sz w:val="21"/>
                <w:szCs w:val="21"/>
              </w:rPr>
            </w:pPr>
            <w:r>
              <w:rPr>
                <w:rFonts w:eastAsia="宋体"/>
                <w:b w:val="0"/>
                <w:color w:val="000000"/>
                <w:sz w:val="21"/>
                <w:szCs w:val="21"/>
              </w:rPr>
              <w:t>/</w:t>
            </w:r>
          </w:p>
        </w:tc>
        <w:tc>
          <w:tcPr>
            <w:tcW w:w="309" w:type="pct"/>
            <w:vMerge w:val="continue"/>
            <w:vAlign w:val="center"/>
          </w:tcPr>
          <w:p w14:paraId="5F7FAA4C">
            <w:pPr>
              <w:pStyle w:val="97"/>
              <w:spacing w:line="300" w:lineRule="exact"/>
              <w:rPr>
                <w:rFonts w:eastAsia="宋体"/>
                <w:color w:val="000000"/>
                <w:sz w:val="21"/>
                <w:szCs w:val="21"/>
              </w:rPr>
            </w:pPr>
          </w:p>
        </w:tc>
      </w:tr>
      <w:tr w14:paraId="76E31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continue"/>
            <w:vAlign w:val="center"/>
          </w:tcPr>
          <w:p w14:paraId="4A6295E1">
            <w:pPr>
              <w:pStyle w:val="97"/>
              <w:spacing w:line="300" w:lineRule="exact"/>
              <w:rPr>
                <w:rFonts w:eastAsia="宋体"/>
                <w:b w:val="0"/>
                <w:color w:val="000000"/>
                <w:sz w:val="21"/>
                <w:szCs w:val="21"/>
              </w:rPr>
            </w:pPr>
          </w:p>
        </w:tc>
        <w:tc>
          <w:tcPr>
            <w:tcW w:w="409" w:type="pct"/>
            <w:vMerge w:val="continue"/>
            <w:vAlign w:val="center"/>
          </w:tcPr>
          <w:p w14:paraId="17BC2EE3">
            <w:pPr>
              <w:spacing w:line="300" w:lineRule="exact"/>
              <w:jc w:val="center"/>
              <w:rPr>
                <w:rFonts w:ascii="Times New Roman" w:hAnsi="Times New Roman" w:eastAsia="宋体" w:cs="Times New Roman"/>
                <w:color w:val="000000"/>
                <w:sz w:val="21"/>
                <w:szCs w:val="21"/>
              </w:rPr>
            </w:pPr>
          </w:p>
        </w:tc>
        <w:tc>
          <w:tcPr>
            <w:tcW w:w="350" w:type="pct"/>
            <w:vMerge w:val="continue"/>
            <w:vAlign w:val="center"/>
          </w:tcPr>
          <w:p w14:paraId="6F867C1D">
            <w:pPr>
              <w:spacing w:line="300" w:lineRule="exact"/>
              <w:jc w:val="center"/>
              <w:rPr>
                <w:rFonts w:ascii="Times New Roman" w:hAnsi="Times New Roman" w:eastAsia="宋体" w:cs="Times New Roman"/>
                <w:color w:val="000000"/>
                <w:sz w:val="21"/>
                <w:szCs w:val="21"/>
              </w:rPr>
            </w:pPr>
          </w:p>
        </w:tc>
        <w:tc>
          <w:tcPr>
            <w:tcW w:w="462" w:type="pct"/>
            <w:vAlign w:val="center"/>
          </w:tcPr>
          <w:p w14:paraId="27B5C93D">
            <w:pPr>
              <w:spacing w:line="300" w:lineRule="exact"/>
              <w:jc w:val="center"/>
              <w:rPr>
                <w:rFonts w:ascii="Times New Roman" w:hAnsi="Times New Roman" w:eastAsia="宋体" w:cs="Times New Roman"/>
                <w:color w:val="000000"/>
                <w:sz w:val="21"/>
                <w:szCs w:val="21"/>
              </w:rPr>
            </w:pPr>
          </w:p>
        </w:tc>
        <w:tc>
          <w:tcPr>
            <w:tcW w:w="502" w:type="pct"/>
            <w:vAlign w:val="center"/>
          </w:tcPr>
          <w:p w14:paraId="6AD162DF">
            <w:pPr>
              <w:spacing w:line="300" w:lineRule="exact"/>
              <w:jc w:val="center"/>
              <w:rPr>
                <w:rFonts w:ascii="Times New Roman" w:hAnsi="Times New Roman" w:eastAsia="宋体" w:cs="Times New Roman"/>
                <w:color w:val="000000"/>
                <w:sz w:val="21"/>
                <w:szCs w:val="21"/>
              </w:rPr>
            </w:pPr>
          </w:p>
        </w:tc>
        <w:tc>
          <w:tcPr>
            <w:tcW w:w="575" w:type="pct"/>
            <w:vAlign w:val="center"/>
          </w:tcPr>
          <w:p w14:paraId="00FD28D2">
            <w:pPr>
              <w:spacing w:line="300" w:lineRule="exact"/>
              <w:jc w:val="center"/>
              <w:rPr>
                <w:rFonts w:ascii="Times New Roman" w:hAnsi="Times New Roman" w:eastAsia="宋体" w:cs="Times New Roman"/>
                <w:color w:val="000000"/>
                <w:sz w:val="21"/>
                <w:szCs w:val="21"/>
              </w:rPr>
            </w:pPr>
          </w:p>
        </w:tc>
        <w:tc>
          <w:tcPr>
            <w:tcW w:w="313" w:type="pct"/>
            <w:vMerge w:val="continue"/>
            <w:vAlign w:val="center"/>
          </w:tcPr>
          <w:p w14:paraId="204E231A">
            <w:pPr>
              <w:pStyle w:val="97"/>
              <w:spacing w:line="300" w:lineRule="exact"/>
              <w:rPr>
                <w:rFonts w:eastAsia="宋体"/>
                <w:color w:val="000000"/>
                <w:sz w:val="21"/>
                <w:szCs w:val="21"/>
              </w:rPr>
            </w:pPr>
          </w:p>
        </w:tc>
        <w:tc>
          <w:tcPr>
            <w:tcW w:w="282" w:type="pct"/>
            <w:vMerge w:val="continue"/>
            <w:vAlign w:val="center"/>
          </w:tcPr>
          <w:p w14:paraId="1F175BD5">
            <w:pPr>
              <w:pStyle w:val="97"/>
              <w:spacing w:line="300" w:lineRule="exact"/>
              <w:rPr>
                <w:rFonts w:eastAsia="宋体"/>
                <w:color w:val="000000"/>
                <w:sz w:val="21"/>
                <w:szCs w:val="21"/>
              </w:rPr>
            </w:pPr>
          </w:p>
        </w:tc>
        <w:tc>
          <w:tcPr>
            <w:tcW w:w="453" w:type="pct"/>
            <w:vAlign w:val="center"/>
          </w:tcPr>
          <w:p w14:paraId="10AE91F0">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28" w:type="pct"/>
            <w:vAlign w:val="center"/>
          </w:tcPr>
          <w:p w14:paraId="1C2990F0">
            <w:pPr>
              <w:pStyle w:val="97"/>
              <w:spacing w:line="300" w:lineRule="exact"/>
              <w:rPr>
                <w:rFonts w:eastAsia="宋体"/>
                <w:b w:val="0"/>
                <w:color w:val="000000"/>
                <w:sz w:val="21"/>
                <w:szCs w:val="21"/>
              </w:rPr>
            </w:pPr>
            <w:r>
              <w:rPr>
                <w:rFonts w:eastAsia="宋体"/>
                <w:b w:val="0"/>
                <w:color w:val="000000"/>
                <w:sz w:val="21"/>
                <w:szCs w:val="21"/>
              </w:rPr>
              <w:t>/</w:t>
            </w:r>
          </w:p>
        </w:tc>
        <w:tc>
          <w:tcPr>
            <w:tcW w:w="615" w:type="pct"/>
            <w:vAlign w:val="center"/>
          </w:tcPr>
          <w:p w14:paraId="57F56087">
            <w:pPr>
              <w:pStyle w:val="97"/>
              <w:spacing w:line="300" w:lineRule="exact"/>
              <w:rPr>
                <w:rFonts w:eastAsia="宋体"/>
                <w:b w:val="0"/>
                <w:color w:val="000000"/>
                <w:sz w:val="21"/>
                <w:szCs w:val="21"/>
              </w:rPr>
            </w:pPr>
            <w:r>
              <w:rPr>
                <w:rFonts w:eastAsia="宋体"/>
                <w:b w:val="0"/>
                <w:color w:val="000000"/>
                <w:sz w:val="21"/>
                <w:szCs w:val="21"/>
              </w:rPr>
              <w:t>/</w:t>
            </w:r>
          </w:p>
        </w:tc>
        <w:tc>
          <w:tcPr>
            <w:tcW w:w="309" w:type="pct"/>
            <w:vMerge w:val="continue"/>
            <w:vAlign w:val="center"/>
          </w:tcPr>
          <w:p w14:paraId="50767D71">
            <w:pPr>
              <w:pStyle w:val="97"/>
              <w:spacing w:line="300" w:lineRule="exact"/>
              <w:rPr>
                <w:rFonts w:eastAsia="宋体"/>
                <w:color w:val="000000"/>
                <w:sz w:val="21"/>
                <w:szCs w:val="21"/>
              </w:rPr>
            </w:pPr>
          </w:p>
        </w:tc>
      </w:tr>
      <w:tr w14:paraId="4E03E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continue"/>
            <w:vAlign w:val="center"/>
          </w:tcPr>
          <w:p w14:paraId="49370787">
            <w:pPr>
              <w:pStyle w:val="97"/>
              <w:spacing w:line="300" w:lineRule="exact"/>
              <w:rPr>
                <w:rFonts w:eastAsia="宋体"/>
                <w:b w:val="0"/>
                <w:color w:val="000000"/>
                <w:sz w:val="21"/>
                <w:szCs w:val="21"/>
              </w:rPr>
            </w:pPr>
          </w:p>
        </w:tc>
        <w:tc>
          <w:tcPr>
            <w:tcW w:w="409" w:type="pct"/>
            <w:vMerge w:val="continue"/>
            <w:vAlign w:val="center"/>
          </w:tcPr>
          <w:p w14:paraId="1DC74DB3">
            <w:pPr>
              <w:spacing w:line="300" w:lineRule="exact"/>
              <w:jc w:val="center"/>
              <w:rPr>
                <w:rFonts w:ascii="Times New Roman" w:hAnsi="Times New Roman" w:eastAsia="宋体" w:cs="Times New Roman"/>
                <w:color w:val="000000"/>
                <w:sz w:val="21"/>
                <w:szCs w:val="21"/>
              </w:rPr>
            </w:pPr>
          </w:p>
        </w:tc>
        <w:tc>
          <w:tcPr>
            <w:tcW w:w="350" w:type="pct"/>
            <w:vMerge w:val="continue"/>
            <w:vAlign w:val="center"/>
          </w:tcPr>
          <w:p w14:paraId="55D6E163">
            <w:pPr>
              <w:spacing w:line="300" w:lineRule="exact"/>
              <w:jc w:val="center"/>
              <w:rPr>
                <w:rFonts w:ascii="Times New Roman" w:hAnsi="Times New Roman" w:eastAsia="宋体" w:cs="Times New Roman"/>
                <w:color w:val="000000"/>
                <w:sz w:val="21"/>
                <w:szCs w:val="21"/>
              </w:rPr>
            </w:pPr>
          </w:p>
        </w:tc>
        <w:tc>
          <w:tcPr>
            <w:tcW w:w="462" w:type="pct"/>
            <w:vAlign w:val="center"/>
          </w:tcPr>
          <w:p w14:paraId="3B7C6965">
            <w:pPr>
              <w:spacing w:line="300" w:lineRule="exact"/>
              <w:jc w:val="center"/>
              <w:rPr>
                <w:rFonts w:ascii="Times New Roman" w:hAnsi="Times New Roman" w:eastAsia="宋体" w:cs="Times New Roman"/>
                <w:color w:val="000000"/>
                <w:sz w:val="21"/>
                <w:szCs w:val="21"/>
              </w:rPr>
            </w:pPr>
          </w:p>
        </w:tc>
        <w:tc>
          <w:tcPr>
            <w:tcW w:w="502" w:type="pct"/>
            <w:vAlign w:val="center"/>
          </w:tcPr>
          <w:p w14:paraId="45F0E270">
            <w:pPr>
              <w:spacing w:line="300" w:lineRule="exact"/>
              <w:jc w:val="center"/>
              <w:rPr>
                <w:rFonts w:ascii="Times New Roman" w:hAnsi="Times New Roman" w:eastAsia="宋体" w:cs="Times New Roman"/>
                <w:color w:val="000000"/>
                <w:sz w:val="21"/>
                <w:szCs w:val="21"/>
              </w:rPr>
            </w:pPr>
          </w:p>
        </w:tc>
        <w:tc>
          <w:tcPr>
            <w:tcW w:w="575" w:type="pct"/>
            <w:vAlign w:val="center"/>
          </w:tcPr>
          <w:p w14:paraId="7DDC4863">
            <w:pPr>
              <w:spacing w:line="300" w:lineRule="exact"/>
              <w:jc w:val="center"/>
              <w:rPr>
                <w:rFonts w:ascii="Times New Roman" w:hAnsi="Times New Roman" w:eastAsia="宋体" w:cs="Times New Roman"/>
                <w:color w:val="000000"/>
                <w:sz w:val="21"/>
                <w:szCs w:val="21"/>
              </w:rPr>
            </w:pPr>
          </w:p>
        </w:tc>
        <w:tc>
          <w:tcPr>
            <w:tcW w:w="313" w:type="pct"/>
            <w:vMerge w:val="continue"/>
            <w:vAlign w:val="center"/>
          </w:tcPr>
          <w:p w14:paraId="1AB4F5CF">
            <w:pPr>
              <w:pStyle w:val="97"/>
              <w:spacing w:line="300" w:lineRule="exact"/>
              <w:rPr>
                <w:rFonts w:eastAsia="宋体"/>
                <w:color w:val="000000"/>
                <w:sz w:val="21"/>
                <w:szCs w:val="21"/>
              </w:rPr>
            </w:pPr>
          </w:p>
        </w:tc>
        <w:tc>
          <w:tcPr>
            <w:tcW w:w="282" w:type="pct"/>
            <w:vMerge w:val="continue"/>
            <w:vAlign w:val="center"/>
          </w:tcPr>
          <w:p w14:paraId="1EA8D7DC">
            <w:pPr>
              <w:pStyle w:val="97"/>
              <w:spacing w:line="300" w:lineRule="exact"/>
              <w:rPr>
                <w:rFonts w:eastAsia="宋体"/>
                <w:color w:val="000000"/>
                <w:sz w:val="21"/>
                <w:szCs w:val="21"/>
              </w:rPr>
            </w:pPr>
          </w:p>
        </w:tc>
        <w:tc>
          <w:tcPr>
            <w:tcW w:w="453" w:type="pct"/>
            <w:vAlign w:val="center"/>
          </w:tcPr>
          <w:p w14:paraId="194C6630">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28" w:type="pct"/>
            <w:vAlign w:val="center"/>
          </w:tcPr>
          <w:p w14:paraId="7C15DA5F">
            <w:pPr>
              <w:pStyle w:val="97"/>
              <w:spacing w:line="300" w:lineRule="exact"/>
              <w:rPr>
                <w:rFonts w:eastAsia="宋体"/>
                <w:b w:val="0"/>
                <w:color w:val="000000"/>
                <w:sz w:val="21"/>
                <w:szCs w:val="21"/>
              </w:rPr>
            </w:pPr>
            <w:r>
              <w:rPr>
                <w:rFonts w:eastAsia="宋体"/>
                <w:b w:val="0"/>
                <w:color w:val="000000"/>
                <w:sz w:val="21"/>
                <w:szCs w:val="21"/>
              </w:rPr>
              <w:t>/</w:t>
            </w:r>
          </w:p>
        </w:tc>
        <w:tc>
          <w:tcPr>
            <w:tcW w:w="615" w:type="pct"/>
            <w:vAlign w:val="center"/>
          </w:tcPr>
          <w:p w14:paraId="1C158094">
            <w:pPr>
              <w:pStyle w:val="97"/>
              <w:spacing w:line="300" w:lineRule="exact"/>
              <w:rPr>
                <w:rFonts w:eastAsia="宋体"/>
                <w:b w:val="0"/>
                <w:color w:val="000000"/>
                <w:sz w:val="21"/>
                <w:szCs w:val="21"/>
              </w:rPr>
            </w:pPr>
            <w:r>
              <w:rPr>
                <w:rFonts w:eastAsia="宋体"/>
                <w:b w:val="0"/>
                <w:color w:val="000000"/>
                <w:sz w:val="21"/>
                <w:szCs w:val="21"/>
              </w:rPr>
              <w:t>/</w:t>
            </w:r>
          </w:p>
        </w:tc>
        <w:tc>
          <w:tcPr>
            <w:tcW w:w="309" w:type="pct"/>
            <w:vMerge w:val="continue"/>
            <w:vAlign w:val="center"/>
          </w:tcPr>
          <w:p w14:paraId="2BF7A24F">
            <w:pPr>
              <w:pStyle w:val="97"/>
              <w:spacing w:line="300" w:lineRule="exact"/>
              <w:rPr>
                <w:rFonts w:eastAsia="宋体"/>
                <w:color w:val="000000"/>
                <w:sz w:val="21"/>
                <w:szCs w:val="21"/>
              </w:rPr>
            </w:pPr>
          </w:p>
        </w:tc>
      </w:tr>
      <w:tr w14:paraId="35924A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continue"/>
            <w:vAlign w:val="center"/>
          </w:tcPr>
          <w:p w14:paraId="5AB7F3FC">
            <w:pPr>
              <w:pStyle w:val="97"/>
              <w:spacing w:line="300" w:lineRule="exact"/>
              <w:rPr>
                <w:rFonts w:eastAsia="宋体"/>
                <w:b w:val="0"/>
                <w:color w:val="000000"/>
                <w:sz w:val="21"/>
                <w:szCs w:val="21"/>
              </w:rPr>
            </w:pPr>
          </w:p>
        </w:tc>
        <w:tc>
          <w:tcPr>
            <w:tcW w:w="409" w:type="pct"/>
            <w:vMerge w:val="continue"/>
            <w:vAlign w:val="center"/>
          </w:tcPr>
          <w:p w14:paraId="2993B3D0">
            <w:pPr>
              <w:spacing w:line="300" w:lineRule="exact"/>
              <w:jc w:val="center"/>
              <w:rPr>
                <w:rFonts w:ascii="Times New Roman" w:hAnsi="Times New Roman" w:eastAsia="宋体" w:cs="Times New Roman"/>
                <w:color w:val="000000"/>
                <w:sz w:val="21"/>
                <w:szCs w:val="21"/>
              </w:rPr>
            </w:pPr>
          </w:p>
        </w:tc>
        <w:tc>
          <w:tcPr>
            <w:tcW w:w="350" w:type="pct"/>
            <w:vMerge w:val="continue"/>
            <w:vAlign w:val="center"/>
          </w:tcPr>
          <w:p w14:paraId="26188DAF">
            <w:pPr>
              <w:spacing w:line="300" w:lineRule="exact"/>
              <w:jc w:val="center"/>
              <w:rPr>
                <w:rFonts w:ascii="Times New Roman" w:hAnsi="Times New Roman" w:eastAsia="宋体" w:cs="Times New Roman"/>
                <w:color w:val="000000"/>
                <w:sz w:val="21"/>
                <w:szCs w:val="21"/>
              </w:rPr>
            </w:pPr>
          </w:p>
        </w:tc>
        <w:tc>
          <w:tcPr>
            <w:tcW w:w="462" w:type="pct"/>
            <w:vAlign w:val="center"/>
          </w:tcPr>
          <w:p w14:paraId="7D9885F2">
            <w:pPr>
              <w:spacing w:line="300" w:lineRule="exact"/>
              <w:jc w:val="center"/>
              <w:rPr>
                <w:rFonts w:ascii="Times New Roman" w:hAnsi="Times New Roman" w:eastAsia="宋体" w:cs="Times New Roman"/>
                <w:color w:val="000000"/>
                <w:sz w:val="21"/>
                <w:szCs w:val="21"/>
              </w:rPr>
            </w:pPr>
          </w:p>
        </w:tc>
        <w:tc>
          <w:tcPr>
            <w:tcW w:w="502" w:type="pct"/>
            <w:vAlign w:val="center"/>
          </w:tcPr>
          <w:p w14:paraId="7192BEF5">
            <w:pPr>
              <w:spacing w:line="300" w:lineRule="exact"/>
              <w:jc w:val="center"/>
              <w:rPr>
                <w:rFonts w:ascii="Times New Roman" w:hAnsi="Times New Roman" w:eastAsia="宋体" w:cs="Times New Roman"/>
                <w:color w:val="000000"/>
                <w:sz w:val="21"/>
                <w:szCs w:val="21"/>
              </w:rPr>
            </w:pPr>
          </w:p>
        </w:tc>
        <w:tc>
          <w:tcPr>
            <w:tcW w:w="575" w:type="pct"/>
            <w:vAlign w:val="center"/>
          </w:tcPr>
          <w:p w14:paraId="5EB57D51">
            <w:pPr>
              <w:spacing w:line="300" w:lineRule="exact"/>
              <w:jc w:val="center"/>
              <w:rPr>
                <w:rFonts w:ascii="Times New Roman" w:hAnsi="Times New Roman" w:eastAsia="宋体" w:cs="Times New Roman"/>
                <w:color w:val="000000"/>
                <w:sz w:val="21"/>
                <w:szCs w:val="21"/>
              </w:rPr>
            </w:pPr>
          </w:p>
        </w:tc>
        <w:tc>
          <w:tcPr>
            <w:tcW w:w="313" w:type="pct"/>
            <w:vMerge w:val="continue"/>
            <w:vAlign w:val="center"/>
          </w:tcPr>
          <w:p w14:paraId="4BA3E5C0">
            <w:pPr>
              <w:pStyle w:val="97"/>
              <w:spacing w:line="300" w:lineRule="exact"/>
              <w:rPr>
                <w:rFonts w:eastAsia="宋体"/>
                <w:color w:val="000000"/>
                <w:sz w:val="21"/>
                <w:szCs w:val="21"/>
              </w:rPr>
            </w:pPr>
          </w:p>
        </w:tc>
        <w:tc>
          <w:tcPr>
            <w:tcW w:w="282" w:type="pct"/>
            <w:vMerge w:val="continue"/>
            <w:vAlign w:val="center"/>
          </w:tcPr>
          <w:p w14:paraId="01C0E5F1">
            <w:pPr>
              <w:pStyle w:val="97"/>
              <w:spacing w:line="300" w:lineRule="exact"/>
              <w:rPr>
                <w:rFonts w:eastAsia="宋体"/>
                <w:color w:val="000000"/>
                <w:sz w:val="21"/>
                <w:szCs w:val="21"/>
              </w:rPr>
            </w:pPr>
          </w:p>
        </w:tc>
        <w:tc>
          <w:tcPr>
            <w:tcW w:w="453" w:type="pct"/>
            <w:vAlign w:val="center"/>
          </w:tcPr>
          <w:p w14:paraId="42A1735B">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28" w:type="pct"/>
            <w:vAlign w:val="center"/>
          </w:tcPr>
          <w:p w14:paraId="706E6D5B">
            <w:pPr>
              <w:pStyle w:val="97"/>
              <w:spacing w:line="300" w:lineRule="exact"/>
              <w:rPr>
                <w:rFonts w:eastAsia="宋体"/>
                <w:b w:val="0"/>
                <w:color w:val="000000"/>
                <w:sz w:val="21"/>
                <w:szCs w:val="21"/>
              </w:rPr>
            </w:pPr>
            <w:r>
              <w:rPr>
                <w:rFonts w:eastAsia="宋体"/>
                <w:b w:val="0"/>
                <w:color w:val="000000"/>
                <w:sz w:val="21"/>
                <w:szCs w:val="21"/>
              </w:rPr>
              <w:t>/</w:t>
            </w:r>
          </w:p>
        </w:tc>
        <w:tc>
          <w:tcPr>
            <w:tcW w:w="615" w:type="pct"/>
            <w:vAlign w:val="center"/>
          </w:tcPr>
          <w:p w14:paraId="064E7B08">
            <w:pPr>
              <w:pStyle w:val="97"/>
              <w:spacing w:line="300" w:lineRule="exact"/>
              <w:rPr>
                <w:rFonts w:eastAsia="宋体"/>
                <w:b w:val="0"/>
                <w:color w:val="000000"/>
                <w:sz w:val="21"/>
                <w:szCs w:val="21"/>
              </w:rPr>
            </w:pPr>
            <w:r>
              <w:rPr>
                <w:rFonts w:eastAsia="宋体"/>
                <w:b w:val="0"/>
                <w:color w:val="000000"/>
                <w:sz w:val="21"/>
                <w:szCs w:val="21"/>
              </w:rPr>
              <w:t>/</w:t>
            </w:r>
          </w:p>
        </w:tc>
        <w:tc>
          <w:tcPr>
            <w:tcW w:w="309" w:type="pct"/>
            <w:vMerge w:val="continue"/>
            <w:vAlign w:val="center"/>
          </w:tcPr>
          <w:p w14:paraId="76E51222">
            <w:pPr>
              <w:pStyle w:val="97"/>
              <w:spacing w:line="300" w:lineRule="exact"/>
              <w:rPr>
                <w:rFonts w:eastAsia="宋体"/>
                <w:color w:val="000000"/>
                <w:sz w:val="21"/>
                <w:szCs w:val="21"/>
              </w:rPr>
            </w:pPr>
          </w:p>
        </w:tc>
      </w:tr>
      <w:tr w14:paraId="2DE93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continue"/>
            <w:vAlign w:val="center"/>
          </w:tcPr>
          <w:p w14:paraId="676A1740">
            <w:pPr>
              <w:pStyle w:val="97"/>
              <w:spacing w:line="300" w:lineRule="exact"/>
              <w:rPr>
                <w:rFonts w:eastAsia="宋体"/>
                <w:b w:val="0"/>
                <w:color w:val="000000"/>
                <w:sz w:val="21"/>
                <w:szCs w:val="21"/>
              </w:rPr>
            </w:pPr>
          </w:p>
        </w:tc>
        <w:tc>
          <w:tcPr>
            <w:tcW w:w="409" w:type="pct"/>
            <w:vMerge w:val="continue"/>
            <w:vAlign w:val="center"/>
          </w:tcPr>
          <w:p w14:paraId="08BE7502">
            <w:pPr>
              <w:spacing w:line="300" w:lineRule="exact"/>
              <w:jc w:val="center"/>
              <w:rPr>
                <w:rFonts w:ascii="Times New Roman" w:hAnsi="Times New Roman" w:eastAsia="宋体" w:cs="Times New Roman"/>
                <w:color w:val="000000"/>
                <w:sz w:val="21"/>
                <w:szCs w:val="21"/>
              </w:rPr>
            </w:pPr>
          </w:p>
        </w:tc>
        <w:tc>
          <w:tcPr>
            <w:tcW w:w="350" w:type="pct"/>
            <w:vMerge w:val="continue"/>
            <w:vAlign w:val="center"/>
          </w:tcPr>
          <w:p w14:paraId="074CFF16">
            <w:pPr>
              <w:spacing w:line="300" w:lineRule="exact"/>
              <w:jc w:val="center"/>
              <w:rPr>
                <w:rFonts w:ascii="Times New Roman" w:hAnsi="Times New Roman" w:eastAsia="宋体" w:cs="Times New Roman"/>
                <w:color w:val="000000"/>
                <w:sz w:val="21"/>
                <w:szCs w:val="21"/>
              </w:rPr>
            </w:pPr>
          </w:p>
        </w:tc>
        <w:tc>
          <w:tcPr>
            <w:tcW w:w="462" w:type="pct"/>
            <w:vAlign w:val="center"/>
          </w:tcPr>
          <w:p w14:paraId="30709D56">
            <w:pPr>
              <w:spacing w:line="300" w:lineRule="exact"/>
              <w:jc w:val="center"/>
              <w:rPr>
                <w:rFonts w:ascii="Times New Roman" w:hAnsi="Times New Roman" w:eastAsia="宋体" w:cs="Times New Roman"/>
                <w:color w:val="000000"/>
                <w:sz w:val="21"/>
                <w:szCs w:val="21"/>
              </w:rPr>
            </w:pPr>
          </w:p>
        </w:tc>
        <w:tc>
          <w:tcPr>
            <w:tcW w:w="502" w:type="pct"/>
            <w:vAlign w:val="center"/>
          </w:tcPr>
          <w:p w14:paraId="2F3C8627">
            <w:pPr>
              <w:spacing w:line="300" w:lineRule="exact"/>
              <w:jc w:val="center"/>
              <w:rPr>
                <w:rFonts w:ascii="Times New Roman" w:hAnsi="Times New Roman" w:eastAsia="宋体" w:cs="Times New Roman"/>
                <w:color w:val="000000"/>
                <w:sz w:val="21"/>
                <w:szCs w:val="21"/>
              </w:rPr>
            </w:pPr>
          </w:p>
        </w:tc>
        <w:tc>
          <w:tcPr>
            <w:tcW w:w="575" w:type="pct"/>
            <w:vAlign w:val="center"/>
          </w:tcPr>
          <w:p w14:paraId="49A620D6">
            <w:pPr>
              <w:spacing w:line="300" w:lineRule="exact"/>
              <w:jc w:val="center"/>
              <w:rPr>
                <w:rFonts w:ascii="Times New Roman" w:hAnsi="Times New Roman" w:eastAsia="宋体" w:cs="Times New Roman"/>
                <w:color w:val="000000"/>
                <w:sz w:val="21"/>
                <w:szCs w:val="21"/>
              </w:rPr>
            </w:pPr>
          </w:p>
        </w:tc>
        <w:tc>
          <w:tcPr>
            <w:tcW w:w="313" w:type="pct"/>
            <w:vMerge w:val="continue"/>
            <w:vAlign w:val="center"/>
          </w:tcPr>
          <w:p w14:paraId="68F60DE0">
            <w:pPr>
              <w:pStyle w:val="97"/>
              <w:spacing w:line="300" w:lineRule="exact"/>
              <w:rPr>
                <w:rFonts w:eastAsia="宋体"/>
                <w:color w:val="000000"/>
                <w:sz w:val="21"/>
                <w:szCs w:val="21"/>
              </w:rPr>
            </w:pPr>
          </w:p>
        </w:tc>
        <w:tc>
          <w:tcPr>
            <w:tcW w:w="282" w:type="pct"/>
            <w:vMerge w:val="continue"/>
            <w:vAlign w:val="center"/>
          </w:tcPr>
          <w:p w14:paraId="5DDC7A0B">
            <w:pPr>
              <w:pStyle w:val="97"/>
              <w:spacing w:line="300" w:lineRule="exact"/>
              <w:rPr>
                <w:rFonts w:eastAsia="宋体"/>
                <w:color w:val="000000"/>
                <w:sz w:val="21"/>
                <w:szCs w:val="21"/>
              </w:rPr>
            </w:pPr>
          </w:p>
        </w:tc>
        <w:tc>
          <w:tcPr>
            <w:tcW w:w="453" w:type="pct"/>
            <w:vAlign w:val="center"/>
          </w:tcPr>
          <w:p w14:paraId="0BDD53FB">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28" w:type="pct"/>
            <w:vAlign w:val="center"/>
          </w:tcPr>
          <w:p w14:paraId="149616F3">
            <w:pPr>
              <w:pStyle w:val="97"/>
              <w:spacing w:line="300" w:lineRule="exact"/>
              <w:rPr>
                <w:rFonts w:eastAsia="宋体"/>
                <w:b w:val="0"/>
                <w:color w:val="000000"/>
                <w:sz w:val="21"/>
                <w:szCs w:val="21"/>
              </w:rPr>
            </w:pPr>
            <w:r>
              <w:rPr>
                <w:rFonts w:eastAsia="宋体"/>
                <w:b w:val="0"/>
                <w:color w:val="000000"/>
                <w:sz w:val="21"/>
                <w:szCs w:val="21"/>
              </w:rPr>
              <w:t>/</w:t>
            </w:r>
          </w:p>
        </w:tc>
        <w:tc>
          <w:tcPr>
            <w:tcW w:w="615" w:type="pct"/>
            <w:vAlign w:val="center"/>
          </w:tcPr>
          <w:p w14:paraId="211F04D8">
            <w:pPr>
              <w:pStyle w:val="97"/>
              <w:spacing w:line="300" w:lineRule="exact"/>
              <w:rPr>
                <w:rFonts w:eastAsia="宋体"/>
                <w:b w:val="0"/>
                <w:color w:val="000000"/>
                <w:sz w:val="21"/>
                <w:szCs w:val="21"/>
              </w:rPr>
            </w:pPr>
            <w:r>
              <w:rPr>
                <w:rFonts w:eastAsia="宋体"/>
                <w:b w:val="0"/>
                <w:color w:val="000000"/>
                <w:sz w:val="21"/>
                <w:szCs w:val="21"/>
              </w:rPr>
              <w:t>/</w:t>
            </w:r>
          </w:p>
        </w:tc>
        <w:tc>
          <w:tcPr>
            <w:tcW w:w="309" w:type="pct"/>
            <w:vMerge w:val="continue"/>
            <w:vAlign w:val="center"/>
          </w:tcPr>
          <w:p w14:paraId="1D5C94C3">
            <w:pPr>
              <w:pStyle w:val="97"/>
              <w:spacing w:line="300" w:lineRule="exact"/>
              <w:rPr>
                <w:rFonts w:eastAsia="宋体"/>
                <w:color w:val="000000"/>
                <w:sz w:val="21"/>
                <w:szCs w:val="21"/>
              </w:rPr>
            </w:pPr>
          </w:p>
        </w:tc>
      </w:tr>
      <w:tr w14:paraId="3865A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restart"/>
            <w:vAlign w:val="center"/>
          </w:tcPr>
          <w:p w14:paraId="00DBFD0E">
            <w:pPr>
              <w:pStyle w:val="97"/>
              <w:spacing w:line="300" w:lineRule="exact"/>
              <w:rPr>
                <w:rFonts w:eastAsia="宋体"/>
                <w:b w:val="0"/>
                <w:color w:val="000000"/>
                <w:sz w:val="21"/>
                <w:szCs w:val="21"/>
              </w:rPr>
            </w:pPr>
            <w:r>
              <w:rPr>
                <w:rFonts w:hint="eastAsia" w:eastAsia="宋体"/>
                <w:b w:val="0"/>
                <w:color w:val="000000"/>
                <w:sz w:val="21"/>
                <w:szCs w:val="21"/>
              </w:rPr>
              <w:t>3</w:t>
            </w:r>
          </w:p>
        </w:tc>
        <w:tc>
          <w:tcPr>
            <w:tcW w:w="409" w:type="pct"/>
            <w:vMerge w:val="restart"/>
            <w:vAlign w:val="center"/>
          </w:tcPr>
          <w:p w14:paraId="47CA1F26">
            <w:pPr>
              <w:spacing w:line="300" w:lineRule="exact"/>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喷淋废水</w:t>
            </w:r>
          </w:p>
        </w:tc>
        <w:tc>
          <w:tcPr>
            <w:tcW w:w="350" w:type="pct"/>
            <w:vMerge w:val="restart"/>
            <w:vAlign w:val="center"/>
          </w:tcPr>
          <w:p w14:paraId="7269A95E">
            <w:pPr>
              <w:spacing w:line="300" w:lineRule="exact"/>
              <w:jc w:val="center"/>
              <w:rPr>
                <w:rFonts w:ascii="Times New Roman" w:hAnsi="Times New Roman" w:eastAsia="宋体" w:cs="Times New Roman"/>
                <w:color w:val="000000"/>
                <w:sz w:val="21"/>
                <w:szCs w:val="21"/>
              </w:rPr>
            </w:pPr>
          </w:p>
        </w:tc>
        <w:tc>
          <w:tcPr>
            <w:tcW w:w="462" w:type="pct"/>
            <w:vAlign w:val="center"/>
          </w:tcPr>
          <w:p w14:paraId="3E7442F9">
            <w:pPr>
              <w:widowControl/>
              <w:snapToGrid w:val="0"/>
              <w:spacing w:line="300" w:lineRule="exact"/>
              <w:jc w:val="center"/>
              <w:rPr>
                <w:color w:val="000000"/>
                <w:sz w:val="21"/>
                <w:szCs w:val="21"/>
              </w:rPr>
            </w:pPr>
          </w:p>
        </w:tc>
        <w:tc>
          <w:tcPr>
            <w:tcW w:w="502" w:type="pct"/>
            <w:vAlign w:val="center"/>
          </w:tcPr>
          <w:p w14:paraId="06221549">
            <w:pPr>
              <w:spacing w:line="300" w:lineRule="exact"/>
              <w:jc w:val="center"/>
              <w:rPr>
                <w:rFonts w:ascii="Times New Roman" w:hAnsi="Times New Roman" w:eastAsia="宋体" w:cs="Times New Roman"/>
                <w:color w:val="000000"/>
                <w:kern w:val="0"/>
                <w:sz w:val="21"/>
                <w:szCs w:val="21"/>
                <w:lang w:bidi="ar"/>
              </w:rPr>
            </w:pPr>
          </w:p>
        </w:tc>
        <w:tc>
          <w:tcPr>
            <w:tcW w:w="575" w:type="pct"/>
            <w:vAlign w:val="center"/>
          </w:tcPr>
          <w:p w14:paraId="7105CE08">
            <w:pPr>
              <w:spacing w:line="300" w:lineRule="exact"/>
              <w:jc w:val="center"/>
              <w:rPr>
                <w:rFonts w:ascii="Times New Roman" w:hAnsi="Times New Roman" w:eastAsia="宋体" w:cs="Times New Roman"/>
                <w:color w:val="000000"/>
                <w:kern w:val="0"/>
                <w:sz w:val="21"/>
                <w:szCs w:val="21"/>
              </w:rPr>
            </w:pPr>
          </w:p>
        </w:tc>
        <w:tc>
          <w:tcPr>
            <w:tcW w:w="313" w:type="pct"/>
            <w:vMerge w:val="continue"/>
            <w:vAlign w:val="center"/>
          </w:tcPr>
          <w:p w14:paraId="6F16D920">
            <w:pPr>
              <w:pStyle w:val="97"/>
              <w:spacing w:line="300" w:lineRule="exact"/>
              <w:rPr>
                <w:rFonts w:eastAsia="宋体"/>
                <w:color w:val="000000"/>
                <w:sz w:val="21"/>
                <w:szCs w:val="21"/>
              </w:rPr>
            </w:pPr>
          </w:p>
        </w:tc>
        <w:tc>
          <w:tcPr>
            <w:tcW w:w="282" w:type="pct"/>
            <w:vMerge w:val="restart"/>
            <w:vAlign w:val="center"/>
          </w:tcPr>
          <w:p w14:paraId="445D6A61">
            <w:pPr>
              <w:pStyle w:val="97"/>
              <w:spacing w:line="300" w:lineRule="exact"/>
              <w:rPr>
                <w:rFonts w:eastAsia="宋体"/>
                <w:color w:val="000000"/>
                <w:sz w:val="21"/>
                <w:szCs w:val="21"/>
              </w:rPr>
            </w:pPr>
          </w:p>
        </w:tc>
        <w:tc>
          <w:tcPr>
            <w:tcW w:w="453" w:type="pct"/>
            <w:vAlign w:val="center"/>
          </w:tcPr>
          <w:p w14:paraId="60C293D8">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28" w:type="pct"/>
            <w:vAlign w:val="center"/>
          </w:tcPr>
          <w:p w14:paraId="075FDF81">
            <w:pPr>
              <w:pStyle w:val="97"/>
              <w:spacing w:line="300" w:lineRule="exact"/>
              <w:rPr>
                <w:rFonts w:eastAsia="宋体"/>
                <w:b w:val="0"/>
                <w:color w:val="000000"/>
                <w:sz w:val="21"/>
                <w:szCs w:val="21"/>
              </w:rPr>
            </w:pPr>
            <w:r>
              <w:rPr>
                <w:rFonts w:eastAsia="宋体"/>
                <w:b w:val="0"/>
                <w:color w:val="000000"/>
                <w:sz w:val="21"/>
                <w:szCs w:val="21"/>
              </w:rPr>
              <w:t>/</w:t>
            </w:r>
          </w:p>
        </w:tc>
        <w:tc>
          <w:tcPr>
            <w:tcW w:w="615" w:type="pct"/>
            <w:vAlign w:val="center"/>
          </w:tcPr>
          <w:p w14:paraId="68CCC4B8">
            <w:pPr>
              <w:pStyle w:val="97"/>
              <w:spacing w:line="300" w:lineRule="exact"/>
              <w:rPr>
                <w:rFonts w:eastAsia="宋体"/>
                <w:b w:val="0"/>
                <w:color w:val="000000"/>
                <w:sz w:val="21"/>
                <w:szCs w:val="21"/>
              </w:rPr>
            </w:pPr>
            <w:r>
              <w:rPr>
                <w:rFonts w:eastAsia="宋体"/>
                <w:b w:val="0"/>
                <w:color w:val="000000"/>
                <w:sz w:val="21"/>
                <w:szCs w:val="21"/>
              </w:rPr>
              <w:t>/</w:t>
            </w:r>
          </w:p>
        </w:tc>
        <w:tc>
          <w:tcPr>
            <w:tcW w:w="309" w:type="pct"/>
            <w:vMerge w:val="continue"/>
            <w:vAlign w:val="center"/>
          </w:tcPr>
          <w:p w14:paraId="0B51A640">
            <w:pPr>
              <w:pStyle w:val="97"/>
              <w:spacing w:line="300" w:lineRule="exact"/>
              <w:rPr>
                <w:rFonts w:eastAsia="宋体"/>
                <w:color w:val="000000"/>
                <w:sz w:val="21"/>
                <w:szCs w:val="21"/>
              </w:rPr>
            </w:pPr>
          </w:p>
        </w:tc>
      </w:tr>
      <w:tr w14:paraId="532483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continue"/>
            <w:vAlign w:val="center"/>
          </w:tcPr>
          <w:p w14:paraId="218269FC">
            <w:pPr>
              <w:pStyle w:val="97"/>
              <w:spacing w:line="300" w:lineRule="exact"/>
              <w:rPr>
                <w:rFonts w:eastAsia="宋体"/>
                <w:b w:val="0"/>
                <w:color w:val="000000"/>
                <w:sz w:val="21"/>
                <w:szCs w:val="21"/>
              </w:rPr>
            </w:pPr>
          </w:p>
        </w:tc>
        <w:tc>
          <w:tcPr>
            <w:tcW w:w="409" w:type="pct"/>
            <w:vMerge w:val="continue"/>
            <w:vAlign w:val="center"/>
          </w:tcPr>
          <w:p w14:paraId="46052910">
            <w:pPr>
              <w:spacing w:line="300" w:lineRule="exact"/>
              <w:jc w:val="center"/>
              <w:rPr>
                <w:rFonts w:ascii="Times New Roman" w:hAnsi="Times New Roman" w:eastAsia="宋体" w:cs="Times New Roman"/>
                <w:color w:val="000000"/>
                <w:sz w:val="21"/>
                <w:szCs w:val="21"/>
              </w:rPr>
            </w:pPr>
          </w:p>
        </w:tc>
        <w:tc>
          <w:tcPr>
            <w:tcW w:w="350" w:type="pct"/>
            <w:vMerge w:val="continue"/>
            <w:vAlign w:val="center"/>
          </w:tcPr>
          <w:p w14:paraId="38BFAB9F">
            <w:pPr>
              <w:spacing w:line="300" w:lineRule="exact"/>
              <w:jc w:val="center"/>
              <w:rPr>
                <w:rFonts w:ascii="Times New Roman" w:hAnsi="Times New Roman" w:eastAsia="宋体" w:cs="Times New Roman"/>
                <w:color w:val="000000"/>
                <w:sz w:val="21"/>
                <w:szCs w:val="21"/>
              </w:rPr>
            </w:pPr>
          </w:p>
        </w:tc>
        <w:tc>
          <w:tcPr>
            <w:tcW w:w="462" w:type="pct"/>
            <w:vAlign w:val="center"/>
          </w:tcPr>
          <w:p w14:paraId="030C7ADC">
            <w:pPr>
              <w:widowControl/>
              <w:snapToGrid w:val="0"/>
              <w:spacing w:line="300" w:lineRule="exact"/>
              <w:jc w:val="center"/>
              <w:rPr>
                <w:color w:val="000000"/>
                <w:sz w:val="21"/>
                <w:szCs w:val="21"/>
              </w:rPr>
            </w:pPr>
          </w:p>
        </w:tc>
        <w:tc>
          <w:tcPr>
            <w:tcW w:w="502" w:type="pct"/>
            <w:vAlign w:val="center"/>
          </w:tcPr>
          <w:p w14:paraId="32E0A541">
            <w:pPr>
              <w:spacing w:line="300" w:lineRule="exact"/>
              <w:jc w:val="center"/>
              <w:rPr>
                <w:rFonts w:ascii="Times New Roman" w:hAnsi="Times New Roman" w:eastAsia="宋体" w:cs="Times New Roman"/>
                <w:color w:val="000000"/>
                <w:kern w:val="0"/>
                <w:sz w:val="21"/>
                <w:szCs w:val="21"/>
                <w:lang w:bidi="ar"/>
              </w:rPr>
            </w:pPr>
          </w:p>
        </w:tc>
        <w:tc>
          <w:tcPr>
            <w:tcW w:w="575" w:type="pct"/>
            <w:vAlign w:val="center"/>
          </w:tcPr>
          <w:p w14:paraId="29C84813">
            <w:pPr>
              <w:spacing w:line="300" w:lineRule="exact"/>
              <w:jc w:val="center"/>
              <w:rPr>
                <w:rFonts w:ascii="Times New Roman" w:hAnsi="Times New Roman" w:eastAsia="宋体" w:cs="Times New Roman"/>
                <w:color w:val="000000"/>
                <w:kern w:val="0"/>
                <w:sz w:val="21"/>
                <w:szCs w:val="21"/>
              </w:rPr>
            </w:pPr>
          </w:p>
        </w:tc>
        <w:tc>
          <w:tcPr>
            <w:tcW w:w="313" w:type="pct"/>
            <w:vMerge w:val="continue"/>
            <w:vAlign w:val="center"/>
          </w:tcPr>
          <w:p w14:paraId="104A0677">
            <w:pPr>
              <w:pStyle w:val="97"/>
              <w:spacing w:line="300" w:lineRule="exact"/>
              <w:rPr>
                <w:rFonts w:eastAsia="宋体"/>
                <w:color w:val="000000"/>
                <w:sz w:val="21"/>
                <w:szCs w:val="21"/>
              </w:rPr>
            </w:pPr>
          </w:p>
        </w:tc>
        <w:tc>
          <w:tcPr>
            <w:tcW w:w="282" w:type="pct"/>
            <w:vMerge w:val="continue"/>
            <w:vAlign w:val="center"/>
          </w:tcPr>
          <w:p w14:paraId="1847F7FA">
            <w:pPr>
              <w:pStyle w:val="97"/>
              <w:spacing w:line="300" w:lineRule="exact"/>
              <w:rPr>
                <w:rFonts w:eastAsia="宋体"/>
                <w:color w:val="000000"/>
                <w:sz w:val="21"/>
                <w:szCs w:val="21"/>
              </w:rPr>
            </w:pPr>
          </w:p>
        </w:tc>
        <w:tc>
          <w:tcPr>
            <w:tcW w:w="453" w:type="pct"/>
            <w:vAlign w:val="center"/>
          </w:tcPr>
          <w:p w14:paraId="603771AD">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28" w:type="pct"/>
            <w:vAlign w:val="center"/>
          </w:tcPr>
          <w:p w14:paraId="4888426F">
            <w:pPr>
              <w:pStyle w:val="97"/>
              <w:spacing w:line="300" w:lineRule="exact"/>
              <w:rPr>
                <w:rFonts w:eastAsia="宋体"/>
                <w:b w:val="0"/>
                <w:color w:val="000000"/>
                <w:sz w:val="21"/>
                <w:szCs w:val="21"/>
              </w:rPr>
            </w:pPr>
            <w:r>
              <w:rPr>
                <w:rFonts w:eastAsia="宋体"/>
                <w:b w:val="0"/>
                <w:color w:val="000000"/>
                <w:sz w:val="21"/>
                <w:szCs w:val="21"/>
              </w:rPr>
              <w:t>/</w:t>
            </w:r>
          </w:p>
        </w:tc>
        <w:tc>
          <w:tcPr>
            <w:tcW w:w="615" w:type="pct"/>
            <w:vAlign w:val="center"/>
          </w:tcPr>
          <w:p w14:paraId="4717F140">
            <w:pPr>
              <w:pStyle w:val="97"/>
              <w:spacing w:line="300" w:lineRule="exact"/>
              <w:rPr>
                <w:rFonts w:eastAsia="宋体"/>
                <w:b w:val="0"/>
                <w:color w:val="000000"/>
                <w:sz w:val="21"/>
                <w:szCs w:val="21"/>
              </w:rPr>
            </w:pPr>
            <w:r>
              <w:rPr>
                <w:rFonts w:eastAsia="宋体"/>
                <w:b w:val="0"/>
                <w:color w:val="000000"/>
                <w:sz w:val="21"/>
                <w:szCs w:val="21"/>
              </w:rPr>
              <w:t>/</w:t>
            </w:r>
          </w:p>
        </w:tc>
        <w:tc>
          <w:tcPr>
            <w:tcW w:w="309" w:type="pct"/>
            <w:vMerge w:val="continue"/>
            <w:vAlign w:val="center"/>
          </w:tcPr>
          <w:p w14:paraId="29954722">
            <w:pPr>
              <w:pStyle w:val="97"/>
              <w:spacing w:line="300" w:lineRule="exact"/>
              <w:rPr>
                <w:rFonts w:eastAsia="宋体"/>
                <w:color w:val="000000"/>
                <w:sz w:val="21"/>
                <w:szCs w:val="21"/>
              </w:rPr>
            </w:pPr>
          </w:p>
        </w:tc>
      </w:tr>
      <w:tr w14:paraId="1AC542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continue"/>
            <w:vAlign w:val="center"/>
          </w:tcPr>
          <w:p w14:paraId="33335717">
            <w:pPr>
              <w:pStyle w:val="97"/>
              <w:spacing w:line="300" w:lineRule="exact"/>
              <w:rPr>
                <w:rFonts w:eastAsia="宋体"/>
                <w:b w:val="0"/>
                <w:color w:val="000000"/>
                <w:sz w:val="21"/>
                <w:szCs w:val="21"/>
              </w:rPr>
            </w:pPr>
          </w:p>
        </w:tc>
        <w:tc>
          <w:tcPr>
            <w:tcW w:w="409" w:type="pct"/>
            <w:vMerge w:val="continue"/>
            <w:vAlign w:val="center"/>
          </w:tcPr>
          <w:p w14:paraId="0CE93AE3">
            <w:pPr>
              <w:spacing w:line="300" w:lineRule="exact"/>
              <w:jc w:val="center"/>
              <w:rPr>
                <w:rFonts w:ascii="Times New Roman" w:hAnsi="Times New Roman" w:eastAsia="宋体" w:cs="Times New Roman"/>
                <w:color w:val="000000"/>
                <w:sz w:val="21"/>
                <w:szCs w:val="21"/>
              </w:rPr>
            </w:pPr>
          </w:p>
        </w:tc>
        <w:tc>
          <w:tcPr>
            <w:tcW w:w="350" w:type="pct"/>
            <w:vMerge w:val="continue"/>
            <w:vAlign w:val="center"/>
          </w:tcPr>
          <w:p w14:paraId="07B8ACE5">
            <w:pPr>
              <w:spacing w:line="300" w:lineRule="exact"/>
              <w:jc w:val="center"/>
              <w:rPr>
                <w:rFonts w:ascii="Times New Roman" w:hAnsi="Times New Roman" w:eastAsia="宋体" w:cs="Times New Roman"/>
                <w:color w:val="000000"/>
                <w:sz w:val="21"/>
                <w:szCs w:val="21"/>
              </w:rPr>
            </w:pPr>
          </w:p>
        </w:tc>
        <w:tc>
          <w:tcPr>
            <w:tcW w:w="462" w:type="pct"/>
            <w:vAlign w:val="center"/>
          </w:tcPr>
          <w:p w14:paraId="637F8612">
            <w:pPr>
              <w:widowControl/>
              <w:snapToGrid w:val="0"/>
              <w:spacing w:line="300" w:lineRule="exact"/>
              <w:jc w:val="center"/>
              <w:rPr>
                <w:rFonts w:eastAsia="宋体"/>
                <w:color w:val="000000"/>
                <w:sz w:val="21"/>
                <w:szCs w:val="21"/>
              </w:rPr>
            </w:pPr>
          </w:p>
        </w:tc>
        <w:tc>
          <w:tcPr>
            <w:tcW w:w="502" w:type="pct"/>
            <w:vAlign w:val="center"/>
          </w:tcPr>
          <w:p w14:paraId="2F7F0006">
            <w:pPr>
              <w:spacing w:line="300" w:lineRule="exact"/>
              <w:jc w:val="center"/>
              <w:rPr>
                <w:rFonts w:ascii="Times New Roman" w:hAnsi="Times New Roman" w:eastAsia="宋体" w:cs="Times New Roman"/>
                <w:color w:val="000000"/>
                <w:kern w:val="0"/>
                <w:sz w:val="21"/>
                <w:szCs w:val="21"/>
                <w:lang w:bidi="ar"/>
              </w:rPr>
            </w:pPr>
          </w:p>
        </w:tc>
        <w:tc>
          <w:tcPr>
            <w:tcW w:w="575" w:type="pct"/>
            <w:vAlign w:val="center"/>
          </w:tcPr>
          <w:p w14:paraId="652A72AE">
            <w:pPr>
              <w:spacing w:line="300" w:lineRule="exact"/>
              <w:jc w:val="center"/>
              <w:rPr>
                <w:rFonts w:ascii="Times New Roman" w:hAnsi="Times New Roman" w:eastAsia="宋体" w:cs="Times New Roman"/>
                <w:color w:val="000000"/>
                <w:kern w:val="0"/>
                <w:sz w:val="21"/>
                <w:szCs w:val="21"/>
              </w:rPr>
            </w:pPr>
          </w:p>
        </w:tc>
        <w:tc>
          <w:tcPr>
            <w:tcW w:w="313" w:type="pct"/>
            <w:vMerge w:val="continue"/>
            <w:vAlign w:val="center"/>
          </w:tcPr>
          <w:p w14:paraId="04EBE2A7">
            <w:pPr>
              <w:pStyle w:val="97"/>
              <w:spacing w:line="300" w:lineRule="exact"/>
              <w:rPr>
                <w:rFonts w:eastAsia="宋体"/>
                <w:color w:val="000000"/>
                <w:sz w:val="21"/>
                <w:szCs w:val="21"/>
              </w:rPr>
            </w:pPr>
          </w:p>
        </w:tc>
        <w:tc>
          <w:tcPr>
            <w:tcW w:w="282" w:type="pct"/>
            <w:vMerge w:val="continue"/>
            <w:vAlign w:val="center"/>
          </w:tcPr>
          <w:p w14:paraId="26B8DD9E">
            <w:pPr>
              <w:pStyle w:val="97"/>
              <w:spacing w:line="300" w:lineRule="exact"/>
              <w:rPr>
                <w:rFonts w:eastAsia="宋体"/>
                <w:color w:val="000000"/>
                <w:sz w:val="21"/>
                <w:szCs w:val="21"/>
              </w:rPr>
            </w:pPr>
          </w:p>
        </w:tc>
        <w:tc>
          <w:tcPr>
            <w:tcW w:w="453" w:type="pct"/>
            <w:vAlign w:val="center"/>
          </w:tcPr>
          <w:p w14:paraId="203EA2ED">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28" w:type="pct"/>
            <w:vAlign w:val="center"/>
          </w:tcPr>
          <w:p w14:paraId="26773E84">
            <w:pPr>
              <w:pStyle w:val="97"/>
              <w:spacing w:line="300" w:lineRule="exact"/>
              <w:rPr>
                <w:rFonts w:eastAsia="宋体"/>
                <w:b w:val="0"/>
                <w:color w:val="000000"/>
                <w:sz w:val="21"/>
                <w:szCs w:val="21"/>
              </w:rPr>
            </w:pPr>
            <w:r>
              <w:rPr>
                <w:rFonts w:eastAsia="宋体"/>
                <w:b w:val="0"/>
                <w:color w:val="000000"/>
                <w:sz w:val="21"/>
                <w:szCs w:val="21"/>
              </w:rPr>
              <w:t>/</w:t>
            </w:r>
          </w:p>
        </w:tc>
        <w:tc>
          <w:tcPr>
            <w:tcW w:w="615" w:type="pct"/>
            <w:vAlign w:val="center"/>
          </w:tcPr>
          <w:p w14:paraId="78216C7C">
            <w:pPr>
              <w:pStyle w:val="97"/>
              <w:spacing w:line="300" w:lineRule="exact"/>
              <w:rPr>
                <w:rFonts w:eastAsia="宋体"/>
                <w:b w:val="0"/>
                <w:color w:val="000000"/>
                <w:sz w:val="21"/>
                <w:szCs w:val="21"/>
              </w:rPr>
            </w:pPr>
            <w:r>
              <w:rPr>
                <w:rFonts w:eastAsia="宋体"/>
                <w:b w:val="0"/>
                <w:color w:val="000000"/>
                <w:sz w:val="21"/>
                <w:szCs w:val="21"/>
              </w:rPr>
              <w:t>/</w:t>
            </w:r>
          </w:p>
        </w:tc>
        <w:tc>
          <w:tcPr>
            <w:tcW w:w="309" w:type="pct"/>
            <w:vMerge w:val="continue"/>
            <w:vAlign w:val="center"/>
          </w:tcPr>
          <w:p w14:paraId="161001F7">
            <w:pPr>
              <w:pStyle w:val="97"/>
              <w:spacing w:line="300" w:lineRule="exact"/>
              <w:rPr>
                <w:rFonts w:eastAsia="宋体"/>
                <w:color w:val="000000"/>
                <w:sz w:val="21"/>
                <w:szCs w:val="21"/>
              </w:rPr>
            </w:pPr>
          </w:p>
        </w:tc>
      </w:tr>
      <w:tr w14:paraId="0583C2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restart"/>
            <w:vAlign w:val="center"/>
          </w:tcPr>
          <w:p w14:paraId="3AD7D595">
            <w:pPr>
              <w:pStyle w:val="97"/>
              <w:spacing w:line="300" w:lineRule="exact"/>
              <w:rPr>
                <w:rFonts w:eastAsia="宋体"/>
                <w:b w:val="0"/>
                <w:color w:val="000000"/>
                <w:sz w:val="21"/>
                <w:szCs w:val="21"/>
              </w:rPr>
            </w:pPr>
            <w:r>
              <w:rPr>
                <w:rFonts w:hint="eastAsia" w:eastAsia="宋体"/>
                <w:b w:val="0"/>
                <w:color w:val="000000"/>
                <w:sz w:val="21"/>
                <w:szCs w:val="21"/>
              </w:rPr>
              <w:t>4</w:t>
            </w:r>
          </w:p>
        </w:tc>
        <w:tc>
          <w:tcPr>
            <w:tcW w:w="409" w:type="pct"/>
            <w:vMerge w:val="restart"/>
            <w:vAlign w:val="center"/>
          </w:tcPr>
          <w:p w14:paraId="471E6267">
            <w:pPr>
              <w:spacing w:line="300" w:lineRule="exact"/>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初期雨水</w:t>
            </w:r>
          </w:p>
        </w:tc>
        <w:tc>
          <w:tcPr>
            <w:tcW w:w="350" w:type="pct"/>
            <w:vMerge w:val="restart"/>
            <w:vAlign w:val="center"/>
          </w:tcPr>
          <w:p w14:paraId="4CFB6A2D">
            <w:pPr>
              <w:spacing w:line="300" w:lineRule="exact"/>
              <w:jc w:val="center"/>
              <w:rPr>
                <w:rFonts w:ascii="Times New Roman" w:hAnsi="Times New Roman" w:eastAsia="宋体" w:cs="Times New Roman"/>
                <w:color w:val="000000"/>
                <w:sz w:val="21"/>
                <w:szCs w:val="21"/>
              </w:rPr>
            </w:pPr>
          </w:p>
        </w:tc>
        <w:tc>
          <w:tcPr>
            <w:tcW w:w="462" w:type="pct"/>
            <w:vAlign w:val="center"/>
          </w:tcPr>
          <w:p w14:paraId="1C47EEC4">
            <w:pPr>
              <w:spacing w:line="300" w:lineRule="exact"/>
              <w:jc w:val="center"/>
              <w:rPr>
                <w:rFonts w:ascii="Times New Roman" w:hAnsi="Times New Roman" w:eastAsia="宋体" w:cs="Times New Roman"/>
                <w:color w:val="000000"/>
                <w:kern w:val="0"/>
                <w:sz w:val="21"/>
                <w:szCs w:val="21"/>
              </w:rPr>
            </w:pPr>
          </w:p>
        </w:tc>
        <w:tc>
          <w:tcPr>
            <w:tcW w:w="502" w:type="pct"/>
            <w:vAlign w:val="center"/>
          </w:tcPr>
          <w:p w14:paraId="5E48FF01">
            <w:pPr>
              <w:spacing w:line="300" w:lineRule="exact"/>
              <w:jc w:val="center"/>
              <w:rPr>
                <w:rFonts w:ascii="Times New Roman" w:hAnsi="Times New Roman" w:eastAsia="宋体" w:cs="Times New Roman"/>
                <w:color w:val="000000"/>
                <w:kern w:val="0"/>
                <w:sz w:val="21"/>
                <w:szCs w:val="21"/>
                <w:lang w:bidi="ar"/>
              </w:rPr>
            </w:pPr>
          </w:p>
        </w:tc>
        <w:tc>
          <w:tcPr>
            <w:tcW w:w="575" w:type="pct"/>
            <w:vAlign w:val="center"/>
          </w:tcPr>
          <w:p w14:paraId="517E68EA">
            <w:pPr>
              <w:spacing w:line="300" w:lineRule="exact"/>
              <w:jc w:val="center"/>
              <w:rPr>
                <w:rFonts w:ascii="Times New Roman" w:hAnsi="Times New Roman" w:eastAsia="宋体" w:cs="Times New Roman"/>
                <w:color w:val="000000"/>
                <w:kern w:val="0"/>
                <w:sz w:val="21"/>
                <w:szCs w:val="21"/>
              </w:rPr>
            </w:pPr>
          </w:p>
        </w:tc>
        <w:tc>
          <w:tcPr>
            <w:tcW w:w="313" w:type="pct"/>
            <w:vMerge w:val="continue"/>
            <w:vAlign w:val="center"/>
          </w:tcPr>
          <w:p w14:paraId="3D98442D">
            <w:pPr>
              <w:pStyle w:val="97"/>
              <w:spacing w:line="300" w:lineRule="exact"/>
              <w:rPr>
                <w:rFonts w:eastAsia="宋体"/>
                <w:color w:val="000000"/>
                <w:sz w:val="21"/>
                <w:szCs w:val="21"/>
              </w:rPr>
            </w:pPr>
          </w:p>
        </w:tc>
        <w:tc>
          <w:tcPr>
            <w:tcW w:w="282" w:type="pct"/>
            <w:vMerge w:val="restart"/>
            <w:vAlign w:val="center"/>
          </w:tcPr>
          <w:p w14:paraId="4776B0F9">
            <w:pPr>
              <w:pStyle w:val="97"/>
              <w:spacing w:line="300" w:lineRule="exact"/>
              <w:rPr>
                <w:rFonts w:eastAsia="宋体"/>
                <w:color w:val="000000"/>
                <w:sz w:val="21"/>
                <w:szCs w:val="21"/>
              </w:rPr>
            </w:pPr>
            <w:r>
              <w:rPr>
                <w:rFonts w:hint="eastAsia" w:eastAsia="宋体"/>
                <w:color w:val="000000"/>
                <w:sz w:val="21"/>
                <w:szCs w:val="21"/>
              </w:rPr>
              <w:t>/</w:t>
            </w:r>
          </w:p>
        </w:tc>
        <w:tc>
          <w:tcPr>
            <w:tcW w:w="453" w:type="pct"/>
            <w:vAlign w:val="center"/>
          </w:tcPr>
          <w:p w14:paraId="1C36CACC">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28" w:type="pct"/>
            <w:vAlign w:val="center"/>
          </w:tcPr>
          <w:p w14:paraId="0B9591B2">
            <w:pPr>
              <w:pStyle w:val="97"/>
              <w:spacing w:line="300" w:lineRule="exact"/>
              <w:rPr>
                <w:rFonts w:eastAsia="宋体"/>
                <w:b w:val="0"/>
                <w:color w:val="000000"/>
                <w:sz w:val="21"/>
                <w:szCs w:val="21"/>
              </w:rPr>
            </w:pPr>
            <w:r>
              <w:rPr>
                <w:rFonts w:eastAsia="宋体"/>
                <w:b w:val="0"/>
                <w:color w:val="000000"/>
                <w:sz w:val="21"/>
                <w:szCs w:val="21"/>
              </w:rPr>
              <w:t>/</w:t>
            </w:r>
          </w:p>
        </w:tc>
        <w:tc>
          <w:tcPr>
            <w:tcW w:w="615" w:type="pct"/>
            <w:vAlign w:val="center"/>
          </w:tcPr>
          <w:p w14:paraId="30C4D928">
            <w:pPr>
              <w:pStyle w:val="97"/>
              <w:spacing w:line="300" w:lineRule="exact"/>
              <w:rPr>
                <w:rFonts w:eastAsia="宋体"/>
                <w:b w:val="0"/>
                <w:color w:val="000000"/>
                <w:sz w:val="21"/>
                <w:szCs w:val="21"/>
              </w:rPr>
            </w:pPr>
            <w:r>
              <w:rPr>
                <w:rFonts w:eastAsia="宋体"/>
                <w:b w:val="0"/>
                <w:color w:val="000000"/>
                <w:sz w:val="21"/>
                <w:szCs w:val="21"/>
              </w:rPr>
              <w:t>/</w:t>
            </w:r>
          </w:p>
        </w:tc>
        <w:tc>
          <w:tcPr>
            <w:tcW w:w="309" w:type="pct"/>
            <w:vMerge w:val="continue"/>
            <w:vAlign w:val="center"/>
          </w:tcPr>
          <w:p w14:paraId="73BD2AC8">
            <w:pPr>
              <w:pStyle w:val="97"/>
              <w:spacing w:line="300" w:lineRule="exact"/>
              <w:rPr>
                <w:rFonts w:eastAsia="宋体"/>
                <w:color w:val="000000"/>
                <w:sz w:val="21"/>
                <w:szCs w:val="21"/>
              </w:rPr>
            </w:pPr>
          </w:p>
        </w:tc>
      </w:tr>
      <w:tr w14:paraId="54655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continue"/>
            <w:vAlign w:val="center"/>
          </w:tcPr>
          <w:p w14:paraId="654BBE38">
            <w:pPr>
              <w:pStyle w:val="97"/>
              <w:spacing w:line="300" w:lineRule="exact"/>
              <w:rPr>
                <w:rFonts w:eastAsia="宋体"/>
                <w:b w:val="0"/>
                <w:color w:val="000000"/>
                <w:sz w:val="21"/>
                <w:szCs w:val="21"/>
              </w:rPr>
            </w:pPr>
          </w:p>
        </w:tc>
        <w:tc>
          <w:tcPr>
            <w:tcW w:w="409" w:type="pct"/>
            <w:vMerge w:val="continue"/>
            <w:vAlign w:val="center"/>
          </w:tcPr>
          <w:p w14:paraId="3C5E559C">
            <w:pPr>
              <w:spacing w:line="300" w:lineRule="exact"/>
              <w:jc w:val="center"/>
              <w:rPr>
                <w:rFonts w:ascii="Times New Roman" w:hAnsi="Times New Roman" w:eastAsia="宋体" w:cs="Times New Roman"/>
                <w:color w:val="000000"/>
                <w:sz w:val="21"/>
                <w:szCs w:val="21"/>
              </w:rPr>
            </w:pPr>
          </w:p>
        </w:tc>
        <w:tc>
          <w:tcPr>
            <w:tcW w:w="350" w:type="pct"/>
            <w:vMerge w:val="continue"/>
            <w:vAlign w:val="center"/>
          </w:tcPr>
          <w:p w14:paraId="1FBB0A2A">
            <w:pPr>
              <w:spacing w:line="300" w:lineRule="exact"/>
              <w:jc w:val="center"/>
              <w:rPr>
                <w:rFonts w:ascii="Times New Roman" w:hAnsi="Times New Roman" w:eastAsia="宋体" w:cs="Times New Roman"/>
                <w:color w:val="000000"/>
                <w:sz w:val="21"/>
                <w:szCs w:val="21"/>
              </w:rPr>
            </w:pPr>
          </w:p>
        </w:tc>
        <w:tc>
          <w:tcPr>
            <w:tcW w:w="462" w:type="pct"/>
            <w:vAlign w:val="center"/>
          </w:tcPr>
          <w:p w14:paraId="32612C41">
            <w:pPr>
              <w:spacing w:line="300" w:lineRule="exact"/>
              <w:jc w:val="center"/>
              <w:rPr>
                <w:rFonts w:ascii="Times New Roman" w:hAnsi="Times New Roman" w:eastAsia="宋体" w:cs="Times New Roman"/>
                <w:color w:val="000000"/>
                <w:kern w:val="0"/>
                <w:sz w:val="21"/>
                <w:szCs w:val="21"/>
              </w:rPr>
            </w:pPr>
          </w:p>
        </w:tc>
        <w:tc>
          <w:tcPr>
            <w:tcW w:w="502" w:type="pct"/>
            <w:vAlign w:val="center"/>
          </w:tcPr>
          <w:p w14:paraId="0D5E1F07">
            <w:pPr>
              <w:spacing w:line="300" w:lineRule="exact"/>
              <w:jc w:val="center"/>
              <w:rPr>
                <w:rFonts w:ascii="Times New Roman" w:hAnsi="Times New Roman" w:eastAsia="宋体" w:cs="Times New Roman"/>
                <w:color w:val="000000"/>
                <w:kern w:val="0"/>
                <w:sz w:val="21"/>
                <w:szCs w:val="21"/>
                <w:lang w:bidi="ar"/>
              </w:rPr>
            </w:pPr>
          </w:p>
        </w:tc>
        <w:tc>
          <w:tcPr>
            <w:tcW w:w="575" w:type="pct"/>
            <w:vAlign w:val="center"/>
          </w:tcPr>
          <w:p w14:paraId="7E9FCA73">
            <w:pPr>
              <w:spacing w:line="300" w:lineRule="exact"/>
              <w:jc w:val="center"/>
              <w:rPr>
                <w:rFonts w:ascii="Times New Roman" w:hAnsi="Times New Roman" w:eastAsia="宋体" w:cs="Times New Roman"/>
                <w:color w:val="000000"/>
                <w:kern w:val="0"/>
                <w:sz w:val="21"/>
                <w:szCs w:val="21"/>
              </w:rPr>
            </w:pPr>
          </w:p>
        </w:tc>
        <w:tc>
          <w:tcPr>
            <w:tcW w:w="313" w:type="pct"/>
            <w:vMerge w:val="continue"/>
            <w:vAlign w:val="center"/>
          </w:tcPr>
          <w:p w14:paraId="38CE7898">
            <w:pPr>
              <w:pStyle w:val="97"/>
              <w:spacing w:line="300" w:lineRule="exact"/>
              <w:rPr>
                <w:rFonts w:eastAsia="宋体"/>
                <w:color w:val="000000"/>
                <w:sz w:val="21"/>
                <w:szCs w:val="21"/>
              </w:rPr>
            </w:pPr>
          </w:p>
        </w:tc>
        <w:tc>
          <w:tcPr>
            <w:tcW w:w="282" w:type="pct"/>
            <w:vMerge w:val="continue"/>
            <w:vAlign w:val="center"/>
          </w:tcPr>
          <w:p w14:paraId="11CBE280">
            <w:pPr>
              <w:pStyle w:val="97"/>
              <w:spacing w:line="300" w:lineRule="exact"/>
              <w:rPr>
                <w:rFonts w:eastAsia="宋体"/>
                <w:color w:val="000000"/>
                <w:sz w:val="21"/>
                <w:szCs w:val="21"/>
              </w:rPr>
            </w:pPr>
          </w:p>
        </w:tc>
        <w:tc>
          <w:tcPr>
            <w:tcW w:w="453" w:type="pct"/>
            <w:vAlign w:val="center"/>
          </w:tcPr>
          <w:p w14:paraId="14531BD5">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28" w:type="pct"/>
            <w:vAlign w:val="center"/>
          </w:tcPr>
          <w:p w14:paraId="3FFE0D68">
            <w:pPr>
              <w:pStyle w:val="97"/>
              <w:spacing w:line="300" w:lineRule="exact"/>
              <w:rPr>
                <w:rFonts w:eastAsia="宋体"/>
                <w:b w:val="0"/>
                <w:color w:val="000000"/>
                <w:sz w:val="21"/>
                <w:szCs w:val="21"/>
              </w:rPr>
            </w:pPr>
            <w:r>
              <w:rPr>
                <w:rFonts w:eastAsia="宋体"/>
                <w:b w:val="0"/>
                <w:color w:val="000000"/>
                <w:sz w:val="21"/>
                <w:szCs w:val="21"/>
              </w:rPr>
              <w:t>/</w:t>
            </w:r>
          </w:p>
        </w:tc>
        <w:tc>
          <w:tcPr>
            <w:tcW w:w="615" w:type="pct"/>
            <w:vAlign w:val="center"/>
          </w:tcPr>
          <w:p w14:paraId="338AFE12">
            <w:pPr>
              <w:pStyle w:val="97"/>
              <w:spacing w:line="300" w:lineRule="exact"/>
              <w:rPr>
                <w:rFonts w:eastAsia="宋体"/>
                <w:b w:val="0"/>
                <w:color w:val="000000"/>
                <w:sz w:val="21"/>
                <w:szCs w:val="21"/>
              </w:rPr>
            </w:pPr>
            <w:r>
              <w:rPr>
                <w:rFonts w:eastAsia="宋体"/>
                <w:b w:val="0"/>
                <w:color w:val="000000"/>
                <w:sz w:val="21"/>
                <w:szCs w:val="21"/>
              </w:rPr>
              <w:t>/</w:t>
            </w:r>
          </w:p>
        </w:tc>
        <w:tc>
          <w:tcPr>
            <w:tcW w:w="309" w:type="pct"/>
            <w:vMerge w:val="continue"/>
            <w:vAlign w:val="center"/>
          </w:tcPr>
          <w:p w14:paraId="749291D7">
            <w:pPr>
              <w:pStyle w:val="97"/>
              <w:spacing w:line="300" w:lineRule="exact"/>
              <w:rPr>
                <w:rFonts w:eastAsia="宋体"/>
                <w:color w:val="000000"/>
                <w:sz w:val="21"/>
                <w:szCs w:val="21"/>
              </w:rPr>
            </w:pPr>
          </w:p>
        </w:tc>
      </w:tr>
      <w:tr w14:paraId="7A9A4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restart"/>
            <w:vAlign w:val="center"/>
          </w:tcPr>
          <w:p w14:paraId="0894FB9D">
            <w:pPr>
              <w:pStyle w:val="97"/>
              <w:spacing w:line="300" w:lineRule="exact"/>
              <w:rPr>
                <w:rFonts w:eastAsia="宋体"/>
                <w:b w:val="0"/>
                <w:color w:val="000000"/>
                <w:sz w:val="21"/>
                <w:szCs w:val="21"/>
              </w:rPr>
            </w:pPr>
            <w:r>
              <w:rPr>
                <w:rFonts w:hint="eastAsia" w:eastAsia="宋体"/>
                <w:b w:val="0"/>
                <w:color w:val="000000"/>
                <w:sz w:val="21"/>
                <w:szCs w:val="21"/>
              </w:rPr>
              <w:t>5</w:t>
            </w:r>
          </w:p>
        </w:tc>
        <w:tc>
          <w:tcPr>
            <w:tcW w:w="409" w:type="pct"/>
            <w:vMerge w:val="restart"/>
            <w:vAlign w:val="center"/>
          </w:tcPr>
          <w:p w14:paraId="5FACE653">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全场混合废水（污水处理站）</w:t>
            </w:r>
          </w:p>
        </w:tc>
        <w:tc>
          <w:tcPr>
            <w:tcW w:w="350" w:type="pct"/>
            <w:vMerge w:val="restart"/>
            <w:vAlign w:val="center"/>
          </w:tcPr>
          <w:p w14:paraId="0E505719">
            <w:pPr>
              <w:spacing w:line="300" w:lineRule="exact"/>
              <w:jc w:val="center"/>
              <w:rPr>
                <w:rFonts w:ascii="Times New Roman" w:hAnsi="Times New Roman" w:eastAsia="宋体" w:cs="Times New Roman"/>
                <w:color w:val="000000"/>
                <w:sz w:val="21"/>
                <w:szCs w:val="21"/>
              </w:rPr>
            </w:pPr>
          </w:p>
        </w:tc>
        <w:tc>
          <w:tcPr>
            <w:tcW w:w="462" w:type="pct"/>
            <w:vAlign w:val="center"/>
          </w:tcPr>
          <w:p w14:paraId="3634D14C">
            <w:pPr>
              <w:spacing w:line="300" w:lineRule="exact"/>
              <w:jc w:val="center"/>
              <w:rPr>
                <w:rFonts w:ascii="Times New Roman" w:hAnsi="Times New Roman" w:eastAsia="宋体" w:cs="Times New Roman"/>
                <w:color w:val="000000"/>
                <w:sz w:val="21"/>
                <w:szCs w:val="21"/>
              </w:rPr>
            </w:pPr>
          </w:p>
        </w:tc>
        <w:tc>
          <w:tcPr>
            <w:tcW w:w="502" w:type="pct"/>
            <w:vAlign w:val="center"/>
          </w:tcPr>
          <w:p w14:paraId="6808D4A5">
            <w:pPr>
              <w:spacing w:line="300" w:lineRule="exact"/>
              <w:jc w:val="center"/>
              <w:rPr>
                <w:rFonts w:ascii="Times New Roman" w:hAnsi="Times New Roman" w:eastAsia="宋体" w:cs="Times New Roman"/>
                <w:color w:val="000000"/>
                <w:sz w:val="21"/>
                <w:szCs w:val="21"/>
              </w:rPr>
            </w:pPr>
          </w:p>
        </w:tc>
        <w:tc>
          <w:tcPr>
            <w:tcW w:w="575" w:type="pct"/>
            <w:vAlign w:val="center"/>
          </w:tcPr>
          <w:p w14:paraId="2BD0564A">
            <w:pPr>
              <w:spacing w:line="300" w:lineRule="exact"/>
              <w:jc w:val="center"/>
              <w:rPr>
                <w:rFonts w:ascii="Times New Roman" w:hAnsi="Times New Roman" w:eastAsia="宋体" w:cs="Times New Roman"/>
                <w:color w:val="000000"/>
                <w:sz w:val="21"/>
                <w:szCs w:val="21"/>
              </w:rPr>
            </w:pPr>
          </w:p>
        </w:tc>
        <w:tc>
          <w:tcPr>
            <w:tcW w:w="313" w:type="pct"/>
            <w:vMerge w:val="continue"/>
            <w:vAlign w:val="center"/>
          </w:tcPr>
          <w:p w14:paraId="7765A279">
            <w:pPr>
              <w:pStyle w:val="97"/>
              <w:spacing w:line="300" w:lineRule="exact"/>
              <w:rPr>
                <w:rFonts w:eastAsia="宋体"/>
                <w:color w:val="000000"/>
                <w:sz w:val="21"/>
                <w:szCs w:val="21"/>
              </w:rPr>
            </w:pPr>
          </w:p>
        </w:tc>
        <w:tc>
          <w:tcPr>
            <w:tcW w:w="282" w:type="pct"/>
            <w:vMerge w:val="restart"/>
            <w:vAlign w:val="center"/>
          </w:tcPr>
          <w:p w14:paraId="178D1F76">
            <w:pPr>
              <w:spacing w:line="300" w:lineRule="exact"/>
              <w:jc w:val="center"/>
              <w:rPr>
                <w:rFonts w:ascii="Times New Roman" w:hAnsi="Times New Roman" w:eastAsia="宋体" w:cs="Times New Roman"/>
                <w:color w:val="000000"/>
                <w:sz w:val="21"/>
                <w:szCs w:val="21"/>
              </w:rPr>
            </w:pPr>
          </w:p>
        </w:tc>
        <w:tc>
          <w:tcPr>
            <w:tcW w:w="453" w:type="pct"/>
            <w:vAlign w:val="center"/>
          </w:tcPr>
          <w:p w14:paraId="3104343E">
            <w:pPr>
              <w:spacing w:line="300" w:lineRule="exact"/>
              <w:jc w:val="center"/>
              <w:rPr>
                <w:rFonts w:ascii="Times New Roman" w:hAnsi="Times New Roman" w:eastAsia="宋体" w:cs="Times New Roman"/>
                <w:color w:val="000000"/>
                <w:sz w:val="21"/>
                <w:szCs w:val="21"/>
              </w:rPr>
            </w:pPr>
          </w:p>
        </w:tc>
        <w:tc>
          <w:tcPr>
            <w:tcW w:w="528" w:type="pct"/>
            <w:vAlign w:val="center"/>
          </w:tcPr>
          <w:p w14:paraId="6833992F">
            <w:pPr>
              <w:spacing w:line="300" w:lineRule="exact"/>
              <w:jc w:val="center"/>
              <w:rPr>
                <w:rFonts w:ascii="Times New Roman" w:hAnsi="Times New Roman" w:eastAsia="宋体" w:cs="Times New Roman"/>
                <w:color w:val="000000"/>
                <w:sz w:val="21"/>
                <w:szCs w:val="21"/>
              </w:rPr>
            </w:pPr>
          </w:p>
        </w:tc>
        <w:tc>
          <w:tcPr>
            <w:tcW w:w="615" w:type="pct"/>
            <w:vAlign w:val="center"/>
          </w:tcPr>
          <w:p w14:paraId="78EBD54B">
            <w:pPr>
              <w:spacing w:line="300" w:lineRule="exact"/>
              <w:jc w:val="center"/>
              <w:rPr>
                <w:rFonts w:ascii="Times New Roman" w:hAnsi="Times New Roman" w:eastAsia="宋体" w:cs="Times New Roman"/>
                <w:color w:val="000000"/>
                <w:sz w:val="21"/>
                <w:szCs w:val="21"/>
              </w:rPr>
            </w:pPr>
          </w:p>
        </w:tc>
        <w:tc>
          <w:tcPr>
            <w:tcW w:w="309" w:type="pct"/>
            <w:vMerge w:val="restart"/>
            <w:vAlign w:val="center"/>
          </w:tcPr>
          <w:p w14:paraId="5CEE5E3F">
            <w:pPr>
              <w:spacing w:line="300" w:lineRule="exact"/>
              <w:jc w:val="center"/>
              <w:rPr>
                <w:rFonts w:ascii="Times New Roman" w:hAnsi="Times New Roman" w:eastAsia="宋体" w:cs="Times New Roman"/>
                <w:color w:val="000000"/>
                <w:sz w:val="21"/>
                <w:szCs w:val="21"/>
              </w:rPr>
            </w:pPr>
          </w:p>
        </w:tc>
      </w:tr>
      <w:tr w14:paraId="7E67C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continue"/>
            <w:vAlign w:val="center"/>
          </w:tcPr>
          <w:p w14:paraId="2E14AACF">
            <w:pPr>
              <w:pStyle w:val="97"/>
              <w:spacing w:line="300" w:lineRule="exact"/>
              <w:rPr>
                <w:rFonts w:eastAsia="宋体"/>
                <w:color w:val="000000"/>
                <w:sz w:val="21"/>
                <w:szCs w:val="21"/>
              </w:rPr>
            </w:pPr>
          </w:p>
        </w:tc>
        <w:tc>
          <w:tcPr>
            <w:tcW w:w="409" w:type="pct"/>
            <w:vMerge w:val="continue"/>
            <w:vAlign w:val="center"/>
          </w:tcPr>
          <w:p w14:paraId="72879E20">
            <w:pPr>
              <w:spacing w:line="300" w:lineRule="exact"/>
              <w:jc w:val="center"/>
              <w:rPr>
                <w:rFonts w:ascii="Times New Roman" w:hAnsi="Times New Roman" w:eastAsia="宋体" w:cs="Times New Roman"/>
                <w:color w:val="000000"/>
                <w:sz w:val="21"/>
                <w:szCs w:val="21"/>
              </w:rPr>
            </w:pPr>
          </w:p>
        </w:tc>
        <w:tc>
          <w:tcPr>
            <w:tcW w:w="350" w:type="pct"/>
            <w:vMerge w:val="continue"/>
            <w:vAlign w:val="center"/>
          </w:tcPr>
          <w:p w14:paraId="5AA34CE8">
            <w:pPr>
              <w:spacing w:line="300" w:lineRule="exact"/>
              <w:jc w:val="center"/>
              <w:rPr>
                <w:rFonts w:ascii="Times New Roman" w:hAnsi="Times New Roman" w:eastAsia="宋体" w:cs="Times New Roman"/>
                <w:color w:val="000000"/>
                <w:sz w:val="21"/>
                <w:szCs w:val="21"/>
              </w:rPr>
            </w:pPr>
          </w:p>
        </w:tc>
        <w:tc>
          <w:tcPr>
            <w:tcW w:w="462" w:type="pct"/>
            <w:vAlign w:val="center"/>
          </w:tcPr>
          <w:p w14:paraId="5586AAC4">
            <w:pPr>
              <w:spacing w:line="300" w:lineRule="exact"/>
              <w:jc w:val="center"/>
              <w:rPr>
                <w:rFonts w:ascii="Times New Roman" w:hAnsi="Times New Roman" w:eastAsia="宋体" w:cs="Times New Roman"/>
                <w:color w:val="000000"/>
                <w:sz w:val="21"/>
                <w:szCs w:val="21"/>
              </w:rPr>
            </w:pPr>
          </w:p>
        </w:tc>
        <w:tc>
          <w:tcPr>
            <w:tcW w:w="502" w:type="pct"/>
            <w:vAlign w:val="center"/>
          </w:tcPr>
          <w:p w14:paraId="38986DFF">
            <w:pPr>
              <w:spacing w:line="300" w:lineRule="exact"/>
              <w:jc w:val="center"/>
              <w:rPr>
                <w:rFonts w:ascii="Times New Roman" w:hAnsi="Times New Roman" w:eastAsia="宋体" w:cs="Times New Roman"/>
                <w:color w:val="000000"/>
                <w:sz w:val="21"/>
                <w:szCs w:val="21"/>
              </w:rPr>
            </w:pPr>
          </w:p>
        </w:tc>
        <w:tc>
          <w:tcPr>
            <w:tcW w:w="575" w:type="pct"/>
            <w:vAlign w:val="center"/>
          </w:tcPr>
          <w:p w14:paraId="56E810F1">
            <w:pPr>
              <w:spacing w:line="300" w:lineRule="exact"/>
              <w:jc w:val="center"/>
              <w:rPr>
                <w:rFonts w:ascii="Times New Roman" w:hAnsi="Times New Roman" w:eastAsia="宋体" w:cs="Times New Roman"/>
                <w:color w:val="000000"/>
                <w:sz w:val="21"/>
                <w:szCs w:val="21"/>
              </w:rPr>
            </w:pPr>
          </w:p>
        </w:tc>
        <w:tc>
          <w:tcPr>
            <w:tcW w:w="313" w:type="pct"/>
            <w:vMerge w:val="continue"/>
            <w:vAlign w:val="center"/>
          </w:tcPr>
          <w:p w14:paraId="33C419CC">
            <w:pPr>
              <w:pStyle w:val="97"/>
              <w:spacing w:line="300" w:lineRule="exact"/>
              <w:rPr>
                <w:rFonts w:eastAsia="宋体"/>
                <w:color w:val="000000"/>
                <w:sz w:val="21"/>
                <w:szCs w:val="21"/>
              </w:rPr>
            </w:pPr>
          </w:p>
        </w:tc>
        <w:tc>
          <w:tcPr>
            <w:tcW w:w="282" w:type="pct"/>
            <w:vMerge w:val="continue"/>
            <w:vAlign w:val="center"/>
          </w:tcPr>
          <w:p w14:paraId="64605B7A">
            <w:pPr>
              <w:pStyle w:val="97"/>
              <w:spacing w:line="300" w:lineRule="exact"/>
              <w:rPr>
                <w:rFonts w:eastAsia="宋体"/>
                <w:b w:val="0"/>
                <w:color w:val="000000"/>
                <w:sz w:val="21"/>
                <w:szCs w:val="21"/>
              </w:rPr>
            </w:pPr>
          </w:p>
        </w:tc>
        <w:tc>
          <w:tcPr>
            <w:tcW w:w="453" w:type="pct"/>
            <w:vAlign w:val="center"/>
          </w:tcPr>
          <w:p w14:paraId="70C647F3">
            <w:pPr>
              <w:spacing w:line="300" w:lineRule="exact"/>
              <w:jc w:val="center"/>
              <w:rPr>
                <w:rFonts w:ascii="Times New Roman" w:hAnsi="Times New Roman" w:eastAsia="宋体" w:cs="Times New Roman"/>
                <w:color w:val="000000"/>
                <w:sz w:val="21"/>
                <w:szCs w:val="21"/>
              </w:rPr>
            </w:pPr>
          </w:p>
        </w:tc>
        <w:tc>
          <w:tcPr>
            <w:tcW w:w="528" w:type="pct"/>
            <w:vAlign w:val="center"/>
          </w:tcPr>
          <w:p w14:paraId="2265DF75">
            <w:pPr>
              <w:spacing w:line="300" w:lineRule="exact"/>
              <w:jc w:val="center"/>
              <w:rPr>
                <w:rFonts w:ascii="Times New Roman" w:hAnsi="Times New Roman" w:eastAsia="宋体" w:cs="Times New Roman"/>
                <w:color w:val="000000"/>
                <w:sz w:val="21"/>
                <w:szCs w:val="21"/>
              </w:rPr>
            </w:pPr>
          </w:p>
        </w:tc>
        <w:tc>
          <w:tcPr>
            <w:tcW w:w="615" w:type="pct"/>
            <w:vAlign w:val="center"/>
          </w:tcPr>
          <w:p w14:paraId="4A045C67">
            <w:pPr>
              <w:spacing w:line="300" w:lineRule="exact"/>
              <w:jc w:val="center"/>
              <w:rPr>
                <w:rFonts w:ascii="Times New Roman" w:hAnsi="Times New Roman" w:eastAsia="宋体" w:cs="Times New Roman"/>
                <w:color w:val="000000"/>
                <w:sz w:val="21"/>
                <w:szCs w:val="21"/>
              </w:rPr>
            </w:pPr>
          </w:p>
        </w:tc>
        <w:tc>
          <w:tcPr>
            <w:tcW w:w="309" w:type="pct"/>
            <w:vMerge w:val="continue"/>
            <w:vAlign w:val="center"/>
          </w:tcPr>
          <w:p w14:paraId="684CF1F1">
            <w:pPr>
              <w:spacing w:line="300" w:lineRule="exact"/>
              <w:jc w:val="center"/>
              <w:rPr>
                <w:rFonts w:ascii="Times New Roman" w:hAnsi="Times New Roman" w:eastAsia="宋体" w:cs="Times New Roman"/>
                <w:color w:val="000000"/>
                <w:sz w:val="21"/>
                <w:szCs w:val="21"/>
              </w:rPr>
            </w:pPr>
          </w:p>
        </w:tc>
      </w:tr>
      <w:tr w14:paraId="39AC0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continue"/>
            <w:vAlign w:val="center"/>
          </w:tcPr>
          <w:p w14:paraId="0AFC6CF6">
            <w:pPr>
              <w:pStyle w:val="97"/>
              <w:spacing w:line="300" w:lineRule="exact"/>
              <w:rPr>
                <w:rFonts w:eastAsia="宋体"/>
                <w:color w:val="000000"/>
                <w:sz w:val="21"/>
                <w:szCs w:val="21"/>
              </w:rPr>
            </w:pPr>
          </w:p>
        </w:tc>
        <w:tc>
          <w:tcPr>
            <w:tcW w:w="409" w:type="pct"/>
            <w:vMerge w:val="continue"/>
            <w:vAlign w:val="center"/>
          </w:tcPr>
          <w:p w14:paraId="18F7D8A9">
            <w:pPr>
              <w:spacing w:line="300" w:lineRule="exact"/>
              <w:jc w:val="center"/>
              <w:rPr>
                <w:rFonts w:ascii="Times New Roman" w:hAnsi="Times New Roman" w:eastAsia="宋体" w:cs="Times New Roman"/>
                <w:color w:val="000000"/>
                <w:sz w:val="21"/>
                <w:szCs w:val="21"/>
              </w:rPr>
            </w:pPr>
          </w:p>
        </w:tc>
        <w:tc>
          <w:tcPr>
            <w:tcW w:w="350" w:type="pct"/>
            <w:vMerge w:val="continue"/>
            <w:vAlign w:val="center"/>
          </w:tcPr>
          <w:p w14:paraId="39A8BC52">
            <w:pPr>
              <w:spacing w:line="300" w:lineRule="exact"/>
              <w:jc w:val="center"/>
              <w:rPr>
                <w:rFonts w:ascii="Times New Roman" w:hAnsi="Times New Roman" w:eastAsia="宋体" w:cs="Times New Roman"/>
                <w:color w:val="000000"/>
                <w:sz w:val="21"/>
                <w:szCs w:val="21"/>
              </w:rPr>
            </w:pPr>
          </w:p>
        </w:tc>
        <w:tc>
          <w:tcPr>
            <w:tcW w:w="462" w:type="pct"/>
            <w:vAlign w:val="center"/>
          </w:tcPr>
          <w:p w14:paraId="605B3E09">
            <w:pPr>
              <w:spacing w:line="300" w:lineRule="exact"/>
              <w:jc w:val="center"/>
              <w:rPr>
                <w:rFonts w:ascii="Times New Roman" w:hAnsi="Times New Roman" w:eastAsia="宋体" w:cs="Times New Roman"/>
                <w:color w:val="000000"/>
                <w:sz w:val="21"/>
                <w:szCs w:val="21"/>
              </w:rPr>
            </w:pPr>
          </w:p>
        </w:tc>
        <w:tc>
          <w:tcPr>
            <w:tcW w:w="502" w:type="pct"/>
            <w:vAlign w:val="center"/>
          </w:tcPr>
          <w:p w14:paraId="55D4D640">
            <w:pPr>
              <w:spacing w:line="300" w:lineRule="exact"/>
              <w:jc w:val="center"/>
              <w:rPr>
                <w:rFonts w:ascii="Times New Roman" w:hAnsi="Times New Roman" w:eastAsia="宋体" w:cs="Times New Roman"/>
                <w:color w:val="000000"/>
                <w:sz w:val="21"/>
                <w:szCs w:val="21"/>
              </w:rPr>
            </w:pPr>
          </w:p>
        </w:tc>
        <w:tc>
          <w:tcPr>
            <w:tcW w:w="575" w:type="pct"/>
            <w:vAlign w:val="center"/>
          </w:tcPr>
          <w:p w14:paraId="368689B6">
            <w:pPr>
              <w:spacing w:line="300" w:lineRule="exact"/>
              <w:jc w:val="center"/>
              <w:rPr>
                <w:rFonts w:ascii="Times New Roman" w:hAnsi="Times New Roman" w:eastAsia="宋体" w:cs="Times New Roman"/>
                <w:color w:val="000000"/>
                <w:sz w:val="21"/>
                <w:szCs w:val="21"/>
              </w:rPr>
            </w:pPr>
          </w:p>
        </w:tc>
        <w:tc>
          <w:tcPr>
            <w:tcW w:w="313" w:type="pct"/>
            <w:vMerge w:val="continue"/>
            <w:vAlign w:val="center"/>
          </w:tcPr>
          <w:p w14:paraId="04BF3A78">
            <w:pPr>
              <w:pStyle w:val="97"/>
              <w:spacing w:line="300" w:lineRule="exact"/>
              <w:rPr>
                <w:rFonts w:eastAsia="宋体"/>
                <w:color w:val="000000"/>
                <w:sz w:val="21"/>
                <w:szCs w:val="21"/>
              </w:rPr>
            </w:pPr>
          </w:p>
        </w:tc>
        <w:tc>
          <w:tcPr>
            <w:tcW w:w="282" w:type="pct"/>
            <w:vMerge w:val="continue"/>
            <w:vAlign w:val="center"/>
          </w:tcPr>
          <w:p w14:paraId="36B49B8F">
            <w:pPr>
              <w:pStyle w:val="97"/>
              <w:spacing w:line="300" w:lineRule="exact"/>
              <w:rPr>
                <w:rFonts w:eastAsia="宋体"/>
                <w:b w:val="0"/>
                <w:color w:val="000000"/>
                <w:sz w:val="21"/>
                <w:szCs w:val="21"/>
              </w:rPr>
            </w:pPr>
          </w:p>
        </w:tc>
        <w:tc>
          <w:tcPr>
            <w:tcW w:w="453" w:type="pct"/>
            <w:vAlign w:val="center"/>
          </w:tcPr>
          <w:p w14:paraId="2C0EDE5A">
            <w:pPr>
              <w:spacing w:line="300" w:lineRule="exact"/>
              <w:jc w:val="center"/>
              <w:rPr>
                <w:rFonts w:ascii="Times New Roman" w:hAnsi="Times New Roman" w:eastAsia="宋体" w:cs="Times New Roman"/>
                <w:color w:val="000000"/>
                <w:sz w:val="21"/>
                <w:szCs w:val="21"/>
              </w:rPr>
            </w:pPr>
          </w:p>
        </w:tc>
        <w:tc>
          <w:tcPr>
            <w:tcW w:w="528" w:type="pct"/>
            <w:vAlign w:val="center"/>
          </w:tcPr>
          <w:p w14:paraId="34A7FBBD">
            <w:pPr>
              <w:spacing w:line="300" w:lineRule="exact"/>
              <w:jc w:val="center"/>
              <w:rPr>
                <w:rFonts w:ascii="Times New Roman" w:hAnsi="Times New Roman" w:eastAsia="宋体" w:cs="Times New Roman"/>
                <w:color w:val="000000"/>
                <w:sz w:val="21"/>
                <w:szCs w:val="21"/>
              </w:rPr>
            </w:pPr>
          </w:p>
        </w:tc>
        <w:tc>
          <w:tcPr>
            <w:tcW w:w="615" w:type="pct"/>
            <w:vAlign w:val="center"/>
          </w:tcPr>
          <w:p w14:paraId="442622D5">
            <w:pPr>
              <w:spacing w:line="300" w:lineRule="exact"/>
              <w:jc w:val="center"/>
              <w:rPr>
                <w:rFonts w:ascii="Times New Roman" w:hAnsi="Times New Roman" w:eastAsia="宋体" w:cs="Times New Roman"/>
                <w:color w:val="000000"/>
                <w:sz w:val="21"/>
                <w:szCs w:val="21"/>
              </w:rPr>
            </w:pPr>
          </w:p>
        </w:tc>
        <w:tc>
          <w:tcPr>
            <w:tcW w:w="309" w:type="pct"/>
            <w:vMerge w:val="continue"/>
            <w:vAlign w:val="center"/>
          </w:tcPr>
          <w:p w14:paraId="232BE577">
            <w:pPr>
              <w:pStyle w:val="97"/>
              <w:spacing w:line="300" w:lineRule="exact"/>
              <w:rPr>
                <w:rFonts w:eastAsia="宋体"/>
                <w:color w:val="000000"/>
                <w:sz w:val="21"/>
                <w:szCs w:val="21"/>
              </w:rPr>
            </w:pPr>
          </w:p>
        </w:tc>
      </w:tr>
      <w:tr w14:paraId="334BE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continue"/>
            <w:vAlign w:val="center"/>
          </w:tcPr>
          <w:p w14:paraId="5A80FCF7">
            <w:pPr>
              <w:pStyle w:val="97"/>
              <w:spacing w:line="300" w:lineRule="exact"/>
              <w:rPr>
                <w:rFonts w:eastAsia="宋体"/>
                <w:color w:val="000000"/>
                <w:sz w:val="21"/>
                <w:szCs w:val="21"/>
              </w:rPr>
            </w:pPr>
          </w:p>
        </w:tc>
        <w:tc>
          <w:tcPr>
            <w:tcW w:w="409" w:type="pct"/>
            <w:vMerge w:val="continue"/>
            <w:vAlign w:val="center"/>
          </w:tcPr>
          <w:p w14:paraId="4366EC89">
            <w:pPr>
              <w:spacing w:line="300" w:lineRule="exact"/>
              <w:jc w:val="center"/>
              <w:rPr>
                <w:rFonts w:ascii="Times New Roman" w:hAnsi="Times New Roman" w:eastAsia="宋体" w:cs="Times New Roman"/>
                <w:color w:val="000000"/>
                <w:sz w:val="21"/>
                <w:szCs w:val="21"/>
              </w:rPr>
            </w:pPr>
          </w:p>
        </w:tc>
        <w:tc>
          <w:tcPr>
            <w:tcW w:w="350" w:type="pct"/>
            <w:vMerge w:val="continue"/>
            <w:vAlign w:val="center"/>
          </w:tcPr>
          <w:p w14:paraId="1AB0F590">
            <w:pPr>
              <w:spacing w:line="300" w:lineRule="exact"/>
              <w:jc w:val="center"/>
              <w:rPr>
                <w:rFonts w:ascii="Times New Roman" w:hAnsi="Times New Roman" w:eastAsia="宋体" w:cs="Times New Roman"/>
                <w:color w:val="000000"/>
                <w:sz w:val="21"/>
                <w:szCs w:val="21"/>
              </w:rPr>
            </w:pPr>
          </w:p>
        </w:tc>
        <w:tc>
          <w:tcPr>
            <w:tcW w:w="462" w:type="pct"/>
            <w:vAlign w:val="center"/>
          </w:tcPr>
          <w:p w14:paraId="17C7219E">
            <w:pPr>
              <w:spacing w:line="300" w:lineRule="exact"/>
              <w:jc w:val="center"/>
              <w:rPr>
                <w:rFonts w:ascii="Times New Roman" w:hAnsi="Times New Roman" w:eastAsia="宋体" w:cs="Times New Roman"/>
                <w:color w:val="000000"/>
                <w:sz w:val="21"/>
                <w:szCs w:val="21"/>
              </w:rPr>
            </w:pPr>
          </w:p>
        </w:tc>
        <w:tc>
          <w:tcPr>
            <w:tcW w:w="502" w:type="pct"/>
            <w:vAlign w:val="center"/>
          </w:tcPr>
          <w:p w14:paraId="191928B6">
            <w:pPr>
              <w:spacing w:line="300" w:lineRule="exact"/>
              <w:jc w:val="center"/>
              <w:rPr>
                <w:rFonts w:ascii="Times New Roman" w:hAnsi="Times New Roman" w:eastAsia="宋体" w:cs="Times New Roman"/>
                <w:color w:val="000000"/>
                <w:sz w:val="21"/>
                <w:szCs w:val="21"/>
              </w:rPr>
            </w:pPr>
          </w:p>
        </w:tc>
        <w:tc>
          <w:tcPr>
            <w:tcW w:w="575" w:type="pct"/>
            <w:vAlign w:val="center"/>
          </w:tcPr>
          <w:p w14:paraId="57D2AAB4">
            <w:pPr>
              <w:spacing w:line="300" w:lineRule="exact"/>
              <w:jc w:val="center"/>
              <w:rPr>
                <w:rFonts w:ascii="Times New Roman" w:hAnsi="Times New Roman" w:eastAsia="宋体" w:cs="Times New Roman"/>
                <w:color w:val="000000"/>
                <w:sz w:val="21"/>
                <w:szCs w:val="21"/>
              </w:rPr>
            </w:pPr>
          </w:p>
        </w:tc>
        <w:tc>
          <w:tcPr>
            <w:tcW w:w="313" w:type="pct"/>
            <w:vMerge w:val="continue"/>
            <w:vAlign w:val="center"/>
          </w:tcPr>
          <w:p w14:paraId="36F83C16">
            <w:pPr>
              <w:pStyle w:val="97"/>
              <w:spacing w:line="300" w:lineRule="exact"/>
              <w:rPr>
                <w:rFonts w:eastAsia="宋体"/>
                <w:color w:val="000000"/>
                <w:sz w:val="21"/>
                <w:szCs w:val="21"/>
              </w:rPr>
            </w:pPr>
          </w:p>
        </w:tc>
        <w:tc>
          <w:tcPr>
            <w:tcW w:w="282" w:type="pct"/>
            <w:vMerge w:val="continue"/>
            <w:vAlign w:val="center"/>
          </w:tcPr>
          <w:p w14:paraId="4E9A7960">
            <w:pPr>
              <w:pStyle w:val="97"/>
              <w:spacing w:line="300" w:lineRule="exact"/>
              <w:rPr>
                <w:rFonts w:eastAsia="宋体"/>
                <w:b w:val="0"/>
                <w:color w:val="000000"/>
                <w:sz w:val="21"/>
                <w:szCs w:val="21"/>
              </w:rPr>
            </w:pPr>
          </w:p>
        </w:tc>
        <w:tc>
          <w:tcPr>
            <w:tcW w:w="453" w:type="pct"/>
            <w:vAlign w:val="center"/>
          </w:tcPr>
          <w:p w14:paraId="745560AA">
            <w:pPr>
              <w:spacing w:line="300" w:lineRule="exact"/>
              <w:jc w:val="center"/>
              <w:rPr>
                <w:rFonts w:ascii="Times New Roman" w:hAnsi="Times New Roman" w:eastAsia="宋体" w:cs="Times New Roman"/>
                <w:color w:val="000000"/>
                <w:sz w:val="21"/>
                <w:szCs w:val="21"/>
              </w:rPr>
            </w:pPr>
          </w:p>
        </w:tc>
        <w:tc>
          <w:tcPr>
            <w:tcW w:w="528" w:type="pct"/>
            <w:vAlign w:val="center"/>
          </w:tcPr>
          <w:p w14:paraId="452C3FE1">
            <w:pPr>
              <w:spacing w:line="300" w:lineRule="exact"/>
              <w:jc w:val="center"/>
              <w:rPr>
                <w:rFonts w:ascii="Times New Roman" w:hAnsi="Times New Roman" w:eastAsia="宋体" w:cs="Times New Roman"/>
                <w:color w:val="000000"/>
                <w:sz w:val="21"/>
                <w:szCs w:val="21"/>
              </w:rPr>
            </w:pPr>
          </w:p>
        </w:tc>
        <w:tc>
          <w:tcPr>
            <w:tcW w:w="615" w:type="pct"/>
            <w:vAlign w:val="center"/>
          </w:tcPr>
          <w:p w14:paraId="210A7333">
            <w:pPr>
              <w:spacing w:line="300" w:lineRule="exact"/>
              <w:jc w:val="center"/>
              <w:rPr>
                <w:rFonts w:ascii="Times New Roman" w:hAnsi="Times New Roman" w:eastAsia="宋体" w:cs="Times New Roman"/>
                <w:color w:val="000000"/>
                <w:sz w:val="21"/>
                <w:szCs w:val="21"/>
              </w:rPr>
            </w:pPr>
          </w:p>
        </w:tc>
        <w:tc>
          <w:tcPr>
            <w:tcW w:w="309" w:type="pct"/>
            <w:vMerge w:val="continue"/>
            <w:vAlign w:val="center"/>
          </w:tcPr>
          <w:p w14:paraId="66B0AE39">
            <w:pPr>
              <w:pStyle w:val="97"/>
              <w:spacing w:line="300" w:lineRule="exact"/>
              <w:rPr>
                <w:rFonts w:eastAsia="宋体"/>
                <w:color w:val="000000"/>
                <w:sz w:val="21"/>
                <w:szCs w:val="21"/>
              </w:rPr>
            </w:pPr>
          </w:p>
        </w:tc>
      </w:tr>
      <w:tr w14:paraId="280370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continue"/>
            <w:vAlign w:val="center"/>
          </w:tcPr>
          <w:p w14:paraId="76E903BE">
            <w:pPr>
              <w:pStyle w:val="97"/>
              <w:spacing w:line="300" w:lineRule="exact"/>
              <w:rPr>
                <w:rFonts w:eastAsia="宋体"/>
                <w:color w:val="000000"/>
                <w:sz w:val="21"/>
                <w:szCs w:val="21"/>
              </w:rPr>
            </w:pPr>
          </w:p>
        </w:tc>
        <w:tc>
          <w:tcPr>
            <w:tcW w:w="409" w:type="pct"/>
            <w:vMerge w:val="continue"/>
            <w:vAlign w:val="center"/>
          </w:tcPr>
          <w:p w14:paraId="2E0D9232">
            <w:pPr>
              <w:spacing w:line="300" w:lineRule="exact"/>
              <w:jc w:val="center"/>
              <w:rPr>
                <w:rFonts w:ascii="Times New Roman" w:hAnsi="Times New Roman" w:eastAsia="宋体" w:cs="Times New Roman"/>
                <w:color w:val="000000"/>
                <w:sz w:val="21"/>
                <w:szCs w:val="21"/>
              </w:rPr>
            </w:pPr>
          </w:p>
        </w:tc>
        <w:tc>
          <w:tcPr>
            <w:tcW w:w="350" w:type="pct"/>
            <w:vMerge w:val="continue"/>
            <w:vAlign w:val="center"/>
          </w:tcPr>
          <w:p w14:paraId="33654A21">
            <w:pPr>
              <w:spacing w:line="300" w:lineRule="exact"/>
              <w:jc w:val="center"/>
              <w:rPr>
                <w:rFonts w:ascii="Times New Roman" w:hAnsi="Times New Roman" w:eastAsia="宋体" w:cs="Times New Roman"/>
                <w:color w:val="000000"/>
                <w:sz w:val="21"/>
                <w:szCs w:val="21"/>
              </w:rPr>
            </w:pPr>
          </w:p>
        </w:tc>
        <w:tc>
          <w:tcPr>
            <w:tcW w:w="462" w:type="pct"/>
            <w:vAlign w:val="center"/>
          </w:tcPr>
          <w:p w14:paraId="6F97984F">
            <w:pPr>
              <w:spacing w:line="300" w:lineRule="exact"/>
              <w:jc w:val="center"/>
              <w:rPr>
                <w:rFonts w:ascii="Times New Roman" w:hAnsi="Times New Roman" w:eastAsia="宋体" w:cs="Times New Roman"/>
                <w:color w:val="000000"/>
                <w:sz w:val="21"/>
                <w:szCs w:val="21"/>
              </w:rPr>
            </w:pPr>
          </w:p>
        </w:tc>
        <w:tc>
          <w:tcPr>
            <w:tcW w:w="502" w:type="pct"/>
            <w:vAlign w:val="center"/>
          </w:tcPr>
          <w:p w14:paraId="0BC18243">
            <w:pPr>
              <w:spacing w:line="300" w:lineRule="exact"/>
              <w:jc w:val="center"/>
              <w:rPr>
                <w:rFonts w:ascii="Times New Roman" w:hAnsi="Times New Roman" w:eastAsia="宋体" w:cs="Times New Roman"/>
                <w:color w:val="000000"/>
                <w:sz w:val="21"/>
                <w:szCs w:val="21"/>
              </w:rPr>
            </w:pPr>
          </w:p>
        </w:tc>
        <w:tc>
          <w:tcPr>
            <w:tcW w:w="575" w:type="pct"/>
            <w:vAlign w:val="center"/>
          </w:tcPr>
          <w:p w14:paraId="293FFDE6">
            <w:pPr>
              <w:spacing w:line="300" w:lineRule="exact"/>
              <w:jc w:val="center"/>
              <w:rPr>
                <w:rFonts w:ascii="Times New Roman" w:hAnsi="Times New Roman" w:eastAsia="宋体" w:cs="Times New Roman"/>
                <w:color w:val="000000"/>
                <w:sz w:val="21"/>
                <w:szCs w:val="21"/>
              </w:rPr>
            </w:pPr>
          </w:p>
        </w:tc>
        <w:tc>
          <w:tcPr>
            <w:tcW w:w="313" w:type="pct"/>
            <w:vMerge w:val="continue"/>
            <w:vAlign w:val="center"/>
          </w:tcPr>
          <w:p w14:paraId="1B3295BD">
            <w:pPr>
              <w:pStyle w:val="97"/>
              <w:spacing w:line="300" w:lineRule="exact"/>
              <w:rPr>
                <w:rFonts w:eastAsia="宋体"/>
                <w:color w:val="000000"/>
                <w:sz w:val="21"/>
                <w:szCs w:val="21"/>
              </w:rPr>
            </w:pPr>
          </w:p>
        </w:tc>
        <w:tc>
          <w:tcPr>
            <w:tcW w:w="282" w:type="pct"/>
            <w:vMerge w:val="continue"/>
            <w:vAlign w:val="center"/>
          </w:tcPr>
          <w:p w14:paraId="43A58897">
            <w:pPr>
              <w:pStyle w:val="97"/>
              <w:spacing w:line="300" w:lineRule="exact"/>
              <w:rPr>
                <w:rFonts w:eastAsia="宋体"/>
                <w:b w:val="0"/>
                <w:color w:val="000000"/>
                <w:sz w:val="21"/>
                <w:szCs w:val="21"/>
              </w:rPr>
            </w:pPr>
          </w:p>
        </w:tc>
        <w:tc>
          <w:tcPr>
            <w:tcW w:w="453" w:type="pct"/>
            <w:vAlign w:val="center"/>
          </w:tcPr>
          <w:p w14:paraId="7DE5D771">
            <w:pPr>
              <w:spacing w:line="300" w:lineRule="exact"/>
              <w:jc w:val="center"/>
              <w:rPr>
                <w:rFonts w:ascii="Times New Roman" w:hAnsi="Times New Roman" w:eastAsia="宋体" w:cs="Times New Roman"/>
                <w:color w:val="000000"/>
                <w:sz w:val="21"/>
                <w:szCs w:val="21"/>
              </w:rPr>
            </w:pPr>
          </w:p>
        </w:tc>
        <w:tc>
          <w:tcPr>
            <w:tcW w:w="528" w:type="pct"/>
            <w:vAlign w:val="center"/>
          </w:tcPr>
          <w:p w14:paraId="5080C41F">
            <w:pPr>
              <w:spacing w:line="300" w:lineRule="exact"/>
              <w:jc w:val="center"/>
              <w:rPr>
                <w:rFonts w:ascii="Times New Roman" w:hAnsi="Times New Roman" w:eastAsia="宋体" w:cs="Times New Roman"/>
                <w:color w:val="000000"/>
                <w:sz w:val="21"/>
                <w:szCs w:val="21"/>
              </w:rPr>
            </w:pPr>
          </w:p>
        </w:tc>
        <w:tc>
          <w:tcPr>
            <w:tcW w:w="615" w:type="pct"/>
            <w:vAlign w:val="center"/>
          </w:tcPr>
          <w:p w14:paraId="4CE8D333">
            <w:pPr>
              <w:spacing w:line="300" w:lineRule="exact"/>
              <w:jc w:val="center"/>
              <w:rPr>
                <w:rFonts w:ascii="Times New Roman" w:hAnsi="Times New Roman" w:eastAsia="宋体" w:cs="Times New Roman"/>
                <w:color w:val="000000"/>
                <w:sz w:val="21"/>
                <w:szCs w:val="21"/>
              </w:rPr>
            </w:pPr>
          </w:p>
        </w:tc>
        <w:tc>
          <w:tcPr>
            <w:tcW w:w="309" w:type="pct"/>
            <w:vMerge w:val="continue"/>
            <w:vAlign w:val="center"/>
          </w:tcPr>
          <w:p w14:paraId="28A63733">
            <w:pPr>
              <w:pStyle w:val="97"/>
              <w:spacing w:line="300" w:lineRule="exact"/>
              <w:rPr>
                <w:rFonts w:eastAsia="宋体"/>
                <w:color w:val="000000"/>
                <w:sz w:val="21"/>
                <w:szCs w:val="21"/>
              </w:rPr>
            </w:pPr>
          </w:p>
        </w:tc>
      </w:tr>
      <w:tr w14:paraId="7096E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continue"/>
            <w:vAlign w:val="center"/>
          </w:tcPr>
          <w:p w14:paraId="4D5C3C01">
            <w:pPr>
              <w:pStyle w:val="97"/>
              <w:spacing w:line="300" w:lineRule="exact"/>
              <w:rPr>
                <w:rFonts w:eastAsia="宋体"/>
                <w:color w:val="000000"/>
                <w:sz w:val="21"/>
                <w:szCs w:val="21"/>
              </w:rPr>
            </w:pPr>
            <w:bookmarkStart w:id="63" w:name="OLE_LINK28"/>
          </w:p>
        </w:tc>
        <w:tc>
          <w:tcPr>
            <w:tcW w:w="409" w:type="pct"/>
            <w:vMerge w:val="continue"/>
            <w:vAlign w:val="center"/>
          </w:tcPr>
          <w:p w14:paraId="330F227F">
            <w:pPr>
              <w:spacing w:line="300" w:lineRule="exact"/>
              <w:jc w:val="center"/>
              <w:rPr>
                <w:rFonts w:ascii="Times New Roman" w:hAnsi="Times New Roman" w:eastAsia="宋体" w:cs="Times New Roman"/>
                <w:color w:val="000000"/>
                <w:sz w:val="21"/>
                <w:szCs w:val="21"/>
              </w:rPr>
            </w:pPr>
          </w:p>
        </w:tc>
        <w:tc>
          <w:tcPr>
            <w:tcW w:w="350" w:type="pct"/>
            <w:vMerge w:val="continue"/>
            <w:vAlign w:val="center"/>
          </w:tcPr>
          <w:p w14:paraId="743AAD4A">
            <w:pPr>
              <w:spacing w:line="300" w:lineRule="exact"/>
              <w:jc w:val="center"/>
              <w:rPr>
                <w:rFonts w:ascii="Times New Roman" w:hAnsi="Times New Roman" w:eastAsia="宋体" w:cs="Times New Roman"/>
                <w:color w:val="000000"/>
                <w:sz w:val="21"/>
                <w:szCs w:val="21"/>
              </w:rPr>
            </w:pPr>
          </w:p>
        </w:tc>
        <w:tc>
          <w:tcPr>
            <w:tcW w:w="462" w:type="pct"/>
            <w:vAlign w:val="center"/>
          </w:tcPr>
          <w:p w14:paraId="137B4C63">
            <w:pPr>
              <w:spacing w:line="300" w:lineRule="exact"/>
              <w:jc w:val="center"/>
              <w:rPr>
                <w:rFonts w:ascii="Times New Roman" w:hAnsi="Times New Roman" w:eastAsia="宋体" w:cs="Times New Roman"/>
                <w:color w:val="000000"/>
                <w:sz w:val="21"/>
                <w:szCs w:val="21"/>
              </w:rPr>
            </w:pPr>
          </w:p>
        </w:tc>
        <w:tc>
          <w:tcPr>
            <w:tcW w:w="502" w:type="pct"/>
            <w:vAlign w:val="center"/>
          </w:tcPr>
          <w:p w14:paraId="64ECC96D">
            <w:pPr>
              <w:spacing w:line="300" w:lineRule="exact"/>
              <w:jc w:val="center"/>
              <w:rPr>
                <w:rFonts w:ascii="Times New Roman" w:hAnsi="Times New Roman" w:eastAsia="宋体" w:cs="Times New Roman"/>
                <w:color w:val="000000"/>
                <w:sz w:val="21"/>
                <w:szCs w:val="21"/>
              </w:rPr>
            </w:pPr>
          </w:p>
        </w:tc>
        <w:tc>
          <w:tcPr>
            <w:tcW w:w="575" w:type="pct"/>
            <w:vAlign w:val="center"/>
          </w:tcPr>
          <w:p w14:paraId="6C76CFBB">
            <w:pPr>
              <w:spacing w:line="300" w:lineRule="exact"/>
              <w:jc w:val="center"/>
              <w:rPr>
                <w:rFonts w:ascii="Times New Roman" w:hAnsi="Times New Roman" w:eastAsia="宋体" w:cs="Times New Roman"/>
                <w:color w:val="000000"/>
                <w:sz w:val="21"/>
                <w:szCs w:val="21"/>
              </w:rPr>
            </w:pPr>
          </w:p>
        </w:tc>
        <w:tc>
          <w:tcPr>
            <w:tcW w:w="313" w:type="pct"/>
            <w:vMerge w:val="continue"/>
            <w:vAlign w:val="center"/>
          </w:tcPr>
          <w:p w14:paraId="1270A69C">
            <w:pPr>
              <w:pStyle w:val="97"/>
              <w:spacing w:line="300" w:lineRule="exact"/>
              <w:rPr>
                <w:rFonts w:eastAsia="宋体"/>
                <w:color w:val="000000"/>
                <w:sz w:val="21"/>
                <w:szCs w:val="21"/>
              </w:rPr>
            </w:pPr>
          </w:p>
        </w:tc>
        <w:tc>
          <w:tcPr>
            <w:tcW w:w="282" w:type="pct"/>
            <w:vMerge w:val="continue"/>
            <w:vAlign w:val="center"/>
          </w:tcPr>
          <w:p w14:paraId="50F3616C">
            <w:pPr>
              <w:pStyle w:val="97"/>
              <w:spacing w:line="300" w:lineRule="exact"/>
              <w:rPr>
                <w:rFonts w:eastAsia="宋体"/>
                <w:b w:val="0"/>
                <w:color w:val="000000"/>
                <w:sz w:val="21"/>
                <w:szCs w:val="21"/>
              </w:rPr>
            </w:pPr>
          </w:p>
        </w:tc>
        <w:tc>
          <w:tcPr>
            <w:tcW w:w="453" w:type="pct"/>
            <w:vAlign w:val="center"/>
          </w:tcPr>
          <w:p w14:paraId="326B4A52">
            <w:pPr>
              <w:spacing w:line="300" w:lineRule="exact"/>
              <w:jc w:val="center"/>
              <w:rPr>
                <w:rFonts w:ascii="Times New Roman" w:hAnsi="Times New Roman" w:eastAsia="宋体" w:cs="Times New Roman"/>
                <w:color w:val="000000"/>
                <w:sz w:val="21"/>
                <w:szCs w:val="21"/>
              </w:rPr>
            </w:pPr>
          </w:p>
        </w:tc>
        <w:tc>
          <w:tcPr>
            <w:tcW w:w="528" w:type="pct"/>
            <w:vAlign w:val="center"/>
          </w:tcPr>
          <w:p w14:paraId="6C3CEC39">
            <w:pPr>
              <w:spacing w:line="300" w:lineRule="exact"/>
              <w:jc w:val="center"/>
              <w:rPr>
                <w:rFonts w:ascii="Times New Roman" w:hAnsi="Times New Roman" w:eastAsia="宋体" w:cs="Times New Roman"/>
                <w:color w:val="000000"/>
                <w:sz w:val="21"/>
                <w:szCs w:val="21"/>
              </w:rPr>
            </w:pPr>
          </w:p>
        </w:tc>
        <w:tc>
          <w:tcPr>
            <w:tcW w:w="615" w:type="pct"/>
            <w:vAlign w:val="center"/>
          </w:tcPr>
          <w:p w14:paraId="3C888C78">
            <w:pPr>
              <w:spacing w:line="300" w:lineRule="exact"/>
              <w:jc w:val="center"/>
              <w:rPr>
                <w:rFonts w:ascii="Times New Roman" w:hAnsi="Times New Roman" w:eastAsia="宋体" w:cs="Times New Roman"/>
                <w:color w:val="000000"/>
                <w:sz w:val="21"/>
                <w:szCs w:val="21"/>
              </w:rPr>
            </w:pPr>
          </w:p>
        </w:tc>
        <w:tc>
          <w:tcPr>
            <w:tcW w:w="309" w:type="pct"/>
            <w:vMerge w:val="continue"/>
            <w:vAlign w:val="center"/>
          </w:tcPr>
          <w:p w14:paraId="0F80612A">
            <w:pPr>
              <w:pStyle w:val="97"/>
              <w:spacing w:line="300" w:lineRule="exact"/>
              <w:rPr>
                <w:rFonts w:eastAsia="宋体"/>
                <w:color w:val="000000"/>
                <w:sz w:val="21"/>
                <w:szCs w:val="21"/>
              </w:rPr>
            </w:pPr>
          </w:p>
        </w:tc>
      </w:tr>
      <w:tr w14:paraId="0F0E9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28" w:type="dxa"/>
            <w:right w:w="57" w:type="dxa"/>
          </w:tblCellMar>
        </w:tblPrEx>
        <w:trPr>
          <w:cantSplit/>
          <w:trHeight w:val="397" w:hRule="atLeast"/>
          <w:jc w:val="center"/>
        </w:trPr>
        <w:tc>
          <w:tcPr>
            <w:tcW w:w="196" w:type="pct"/>
            <w:vMerge w:val="continue"/>
            <w:vAlign w:val="center"/>
          </w:tcPr>
          <w:p w14:paraId="58F652B6">
            <w:pPr>
              <w:pStyle w:val="97"/>
              <w:spacing w:line="300" w:lineRule="exact"/>
              <w:rPr>
                <w:rFonts w:eastAsia="宋体"/>
                <w:color w:val="000000"/>
                <w:sz w:val="21"/>
                <w:szCs w:val="21"/>
              </w:rPr>
            </w:pPr>
          </w:p>
        </w:tc>
        <w:tc>
          <w:tcPr>
            <w:tcW w:w="409" w:type="pct"/>
            <w:vMerge w:val="continue"/>
            <w:vAlign w:val="center"/>
          </w:tcPr>
          <w:p w14:paraId="233EB2B0">
            <w:pPr>
              <w:spacing w:line="300" w:lineRule="exact"/>
              <w:jc w:val="center"/>
              <w:rPr>
                <w:rFonts w:ascii="Times New Roman" w:hAnsi="Times New Roman" w:eastAsia="宋体" w:cs="Times New Roman"/>
                <w:color w:val="000000"/>
                <w:sz w:val="21"/>
                <w:szCs w:val="21"/>
              </w:rPr>
            </w:pPr>
          </w:p>
        </w:tc>
        <w:tc>
          <w:tcPr>
            <w:tcW w:w="350" w:type="pct"/>
            <w:vMerge w:val="continue"/>
            <w:vAlign w:val="center"/>
          </w:tcPr>
          <w:p w14:paraId="6E083B37">
            <w:pPr>
              <w:spacing w:line="300" w:lineRule="exact"/>
              <w:jc w:val="center"/>
              <w:rPr>
                <w:rFonts w:ascii="Times New Roman" w:hAnsi="Times New Roman" w:eastAsia="宋体" w:cs="Times New Roman"/>
                <w:color w:val="000000"/>
                <w:sz w:val="21"/>
                <w:szCs w:val="21"/>
              </w:rPr>
            </w:pPr>
          </w:p>
        </w:tc>
        <w:tc>
          <w:tcPr>
            <w:tcW w:w="462" w:type="pct"/>
            <w:vAlign w:val="center"/>
          </w:tcPr>
          <w:p w14:paraId="3A9B4A86">
            <w:pPr>
              <w:spacing w:line="300" w:lineRule="exact"/>
              <w:jc w:val="center"/>
              <w:rPr>
                <w:rFonts w:ascii="Times New Roman" w:hAnsi="Times New Roman" w:eastAsia="宋体" w:cs="Times New Roman"/>
                <w:color w:val="000000"/>
                <w:sz w:val="21"/>
                <w:szCs w:val="21"/>
              </w:rPr>
            </w:pPr>
          </w:p>
        </w:tc>
        <w:tc>
          <w:tcPr>
            <w:tcW w:w="502" w:type="pct"/>
            <w:vAlign w:val="center"/>
          </w:tcPr>
          <w:p w14:paraId="081FA940">
            <w:pPr>
              <w:spacing w:line="300" w:lineRule="exact"/>
              <w:jc w:val="center"/>
              <w:rPr>
                <w:rFonts w:ascii="Times New Roman" w:hAnsi="Times New Roman" w:eastAsia="宋体" w:cs="Times New Roman"/>
                <w:color w:val="000000"/>
                <w:sz w:val="21"/>
                <w:szCs w:val="21"/>
              </w:rPr>
            </w:pPr>
          </w:p>
        </w:tc>
        <w:tc>
          <w:tcPr>
            <w:tcW w:w="575" w:type="pct"/>
            <w:vAlign w:val="center"/>
          </w:tcPr>
          <w:p w14:paraId="2A9AC813">
            <w:pPr>
              <w:spacing w:line="300" w:lineRule="exact"/>
              <w:jc w:val="center"/>
              <w:rPr>
                <w:rFonts w:ascii="Times New Roman" w:hAnsi="Times New Roman" w:eastAsia="宋体" w:cs="Times New Roman"/>
                <w:color w:val="000000"/>
                <w:sz w:val="21"/>
                <w:szCs w:val="21"/>
              </w:rPr>
            </w:pPr>
          </w:p>
        </w:tc>
        <w:tc>
          <w:tcPr>
            <w:tcW w:w="313" w:type="pct"/>
            <w:vMerge w:val="continue"/>
            <w:vAlign w:val="center"/>
          </w:tcPr>
          <w:p w14:paraId="3FF9D349">
            <w:pPr>
              <w:pStyle w:val="97"/>
              <w:spacing w:line="300" w:lineRule="exact"/>
              <w:rPr>
                <w:rFonts w:eastAsia="宋体"/>
                <w:color w:val="000000"/>
                <w:sz w:val="21"/>
                <w:szCs w:val="21"/>
              </w:rPr>
            </w:pPr>
          </w:p>
        </w:tc>
        <w:tc>
          <w:tcPr>
            <w:tcW w:w="282" w:type="pct"/>
            <w:vMerge w:val="continue"/>
            <w:vAlign w:val="center"/>
          </w:tcPr>
          <w:p w14:paraId="54D3A0B4">
            <w:pPr>
              <w:pStyle w:val="97"/>
              <w:spacing w:line="300" w:lineRule="exact"/>
              <w:rPr>
                <w:rFonts w:eastAsia="宋体"/>
                <w:b w:val="0"/>
                <w:color w:val="000000"/>
                <w:sz w:val="21"/>
                <w:szCs w:val="21"/>
              </w:rPr>
            </w:pPr>
          </w:p>
        </w:tc>
        <w:tc>
          <w:tcPr>
            <w:tcW w:w="453" w:type="pct"/>
            <w:vAlign w:val="center"/>
          </w:tcPr>
          <w:p w14:paraId="5DF9A6EB">
            <w:pPr>
              <w:spacing w:line="300" w:lineRule="exact"/>
              <w:jc w:val="center"/>
              <w:rPr>
                <w:rFonts w:ascii="Times New Roman" w:hAnsi="Times New Roman" w:eastAsia="宋体" w:cs="Times New Roman"/>
                <w:color w:val="000000"/>
                <w:sz w:val="21"/>
                <w:szCs w:val="21"/>
              </w:rPr>
            </w:pPr>
          </w:p>
        </w:tc>
        <w:tc>
          <w:tcPr>
            <w:tcW w:w="528" w:type="pct"/>
            <w:vAlign w:val="center"/>
          </w:tcPr>
          <w:p w14:paraId="338E26C6">
            <w:pPr>
              <w:spacing w:line="300" w:lineRule="exact"/>
              <w:jc w:val="center"/>
              <w:rPr>
                <w:rFonts w:ascii="Times New Roman" w:hAnsi="Times New Roman" w:eastAsia="宋体" w:cs="Times New Roman"/>
                <w:color w:val="000000"/>
                <w:sz w:val="21"/>
                <w:szCs w:val="21"/>
              </w:rPr>
            </w:pPr>
          </w:p>
        </w:tc>
        <w:tc>
          <w:tcPr>
            <w:tcW w:w="615" w:type="pct"/>
            <w:vAlign w:val="center"/>
          </w:tcPr>
          <w:p w14:paraId="33FAB885">
            <w:pPr>
              <w:spacing w:line="300" w:lineRule="exact"/>
              <w:jc w:val="center"/>
              <w:rPr>
                <w:rFonts w:ascii="Times New Roman" w:hAnsi="Times New Roman" w:eastAsia="宋体" w:cs="Times New Roman"/>
                <w:color w:val="000000"/>
                <w:sz w:val="21"/>
                <w:szCs w:val="21"/>
              </w:rPr>
            </w:pPr>
          </w:p>
        </w:tc>
        <w:tc>
          <w:tcPr>
            <w:tcW w:w="309" w:type="pct"/>
            <w:vMerge w:val="continue"/>
            <w:vAlign w:val="center"/>
          </w:tcPr>
          <w:p w14:paraId="36DAE426">
            <w:pPr>
              <w:pStyle w:val="97"/>
              <w:spacing w:line="300" w:lineRule="exact"/>
              <w:rPr>
                <w:rFonts w:eastAsia="宋体"/>
                <w:color w:val="000000"/>
                <w:sz w:val="21"/>
                <w:szCs w:val="21"/>
              </w:rPr>
            </w:pPr>
          </w:p>
        </w:tc>
      </w:tr>
      <w:bookmarkEnd w:id="56"/>
      <w:bookmarkEnd w:id="63"/>
    </w:tbl>
    <w:p w14:paraId="320C337B">
      <w:pPr>
        <w:ind w:firstLine="480" w:firstLineChars="200"/>
        <w:sectPr>
          <w:pgSz w:w="16838" w:h="11906" w:orient="landscape"/>
          <w:pgMar w:top="1417" w:right="1417" w:bottom="1417" w:left="1417" w:header="850" w:footer="850" w:gutter="0"/>
          <w:pgNumType w:fmt="decimal"/>
          <w:cols w:space="425" w:num="1"/>
          <w:docGrid w:type="lines" w:linePitch="326" w:charSpace="0"/>
        </w:sectPr>
      </w:pPr>
    </w:p>
    <w:p w14:paraId="41CA374A">
      <w:pPr>
        <w:pStyle w:val="7"/>
        <w:spacing w:line="480" w:lineRule="exact"/>
      </w:pPr>
      <w:r>
        <w:rPr>
          <w:rFonts w:hint="eastAsia"/>
        </w:rPr>
        <w:t>3</w:t>
      </w:r>
      <w:r>
        <w:t xml:space="preserve">.7.3 </w:t>
      </w:r>
      <w:r>
        <w:rPr>
          <w:rFonts w:hint="eastAsia"/>
        </w:rPr>
        <w:t>噪声源</w:t>
      </w:r>
    </w:p>
    <w:p w14:paraId="41910813">
      <w:pPr>
        <w:spacing w:line="480" w:lineRule="exact"/>
        <w:ind w:firstLine="480" w:firstLineChars="200"/>
      </w:pPr>
      <w:r>
        <w:rPr>
          <w:rFonts w:hint="eastAsia"/>
        </w:rPr>
        <w:t>本项目噪声主要来源于</w:t>
      </w:r>
      <w:r>
        <w:rPr>
          <w:rFonts w:hint="eastAsia"/>
          <w:lang w:val="en-US" w:eastAsia="zh-CN"/>
        </w:rPr>
        <w:t>电热水锅炉</w:t>
      </w:r>
      <w:r>
        <w:rPr>
          <w:rFonts w:hint="eastAsia"/>
          <w:color w:val="000000" w:themeColor="text1"/>
          <w14:textFill>
            <w14:solidFill>
              <w14:schemeClr w14:val="tx1"/>
            </w14:solidFill>
          </w14:textFill>
        </w:rPr>
        <w:t>、</w:t>
      </w:r>
      <w:r>
        <w:rPr>
          <w:rFonts w:hint="eastAsia"/>
        </w:rPr>
        <w:t>水泵、各类风机等设备运转产生的噪声及鸡叫声，其声压级在70~</w:t>
      </w:r>
      <w:r>
        <w:t>85</w:t>
      </w:r>
      <w:r>
        <w:rPr>
          <w:rFonts w:hint="eastAsia"/>
        </w:rPr>
        <w:t>分贝之间。通过类比调查，各类噪声源强度见表3.</w:t>
      </w:r>
      <w:r>
        <w:t>7</w:t>
      </w:r>
      <w:r>
        <w:rPr>
          <w:rFonts w:hint="eastAsia"/>
        </w:rPr>
        <w:t>-</w:t>
      </w:r>
      <w:r>
        <w:t>7</w:t>
      </w:r>
      <w:r>
        <w:rPr>
          <w:rFonts w:hint="eastAsia"/>
        </w:rPr>
        <w:t>。</w:t>
      </w:r>
    </w:p>
    <w:p w14:paraId="2EDEE4BB">
      <w:pPr>
        <w:pStyle w:val="31"/>
        <w:spacing w:before="0" w:line="480" w:lineRule="exact"/>
      </w:pPr>
      <w:r>
        <w:rPr>
          <w:rFonts w:hint="eastAsia"/>
        </w:rPr>
        <w:t>表</w:t>
      </w:r>
      <w:r>
        <w:t>3.7-</w:t>
      </w:r>
      <w:r>
        <w:rPr>
          <w:rFonts w:hint="eastAsia"/>
        </w:rPr>
        <w:t xml:space="preserve">7项目噪声源一览表  </w:t>
      </w:r>
      <w:r>
        <w:rPr>
          <w:rFonts w:ascii="Times New Roman"/>
          <w:color w:val="000000"/>
          <w:szCs w:val="24"/>
        </w:rPr>
        <w:t>单位：dB（A）</w:t>
      </w:r>
    </w:p>
    <w:tbl>
      <w:tblPr>
        <w:tblStyle w:val="4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7" w:type="dxa"/>
          <w:bottom w:w="0" w:type="dxa"/>
          <w:right w:w="17" w:type="dxa"/>
        </w:tblCellMar>
      </w:tblPr>
      <w:tblGrid>
        <w:gridCol w:w="988"/>
        <w:gridCol w:w="1006"/>
        <w:gridCol w:w="700"/>
        <w:gridCol w:w="507"/>
        <w:gridCol w:w="787"/>
        <w:gridCol w:w="769"/>
        <w:gridCol w:w="1307"/>
        <w:gridCol w:w="991"/>
        <w:gridCol w:w="1152"/>
        <w:gridCol w:w="899"/>
      </w:tblGrid>
      <w:tr w14:paraId="187CC8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97" w:hRule="atLeast"/>
          <w:jc w:val="center"/>
        </w:trPr>
        <w:tc>
          <w:tcPr>
            <w:tcW w:w="542" w:type="pct"/>
            <w:vMerge w:val="restart"/>
            <w:tcBorders>
              <w:tl2br w:val="nil"/>
              <w:tr2bl w:val="nil"/>
            </w:tcBorders>
            <w:vAlign w:val="center"/>
          </w:tcPr>
          <w:p w14:paraId="49FF5EF3">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工序</w:t>
            </w:r>
          </w:p>
          <w:p w14:paraId="098B8FEF">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/生产线</w:t>
            </w:r>
          </w:p>
        </w:tc>
        <w:tc>
          <w:tcPr>
            <w:tcW w:w="552" w:type="pct"/>
            <w:vMerge w:val="restart"/>
            <w:tcBorders>
              <w:tl2br w:val="nil"/>
              <w:tr2bl w:val="nil"/>
            </w:tcBorders>
            <w:vAlign w:val="center"/>
          </w:tcPr>
          <w:p w14:paraId="4BE7C4B9">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装置/噪声源</w:t>
            </w:r>
          </w:p>
        </w:tc>
        <w:tc>
          <w:tcPr>
            <w:tcW w:w="384" w:type="pct"/>
            <w:vMerge w:val="restart"/>
            <w:tcBorders>
              <w:tl2br w:val="nil"/>
              <w:tr2bl w:val="nil"/>
            </w:tcBorders>
            <w:vAlign w:val="center"/>
          </w:tcPr>
          <w:p w14:paraId="6D48BE90">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数量</w:t>
            </w:r>
          </w:p>
        </w:tc>
        <w:tc>
          <w:tcPr>
            <w:tcW w:w="278" w:type="pct"/>
            <w:vMerge w:val="restart"/>
            <w:tcBorders>
              <w:tl2br w:val="nil"/>
              <w:tr2bl w:val="nil"/>
            </w:tcBorders>
            <w:vAlign w:val="center"/>
          </w:tcPr>
          <w:p w14:paraId="456AE73D">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声源类型</w:t>
            </w:r>
          </w:p>
        </w:tc>
        <w:tc>
          <w:tcPr>
            <w:tcW w:w="854" w:type="pct"/>
            <w:gridSpan w:val="2"/>
            <w:tcBorders>
              <w:tl2br w:val="nil"/>
              <w:tr2bl w:val="nil"/>
            </w:tcBorders>
            <w:vAlign w:val="center"/>
          </w:tcPr>
          <w:p w14:paraId="5CB1786B">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噪声源强</w:t>
            </w:r>
          </w:p>
        </w:tc>
        <w:tc>
          <w:tcPr>
            <w:tcW w:w="1261" w:type="pct"/>
            <w:gridSpan w:val="2"/>
            <w:tcBorders>
              <w:tl2br w:val="nil"/>
              <w:tr2bl w:val="nil"/>
            </w:tcBorders>
            <w:vAlign w:val="center"/>
          </w:tcPr>
          <w:p w14:paraId="12E2BCCF">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降噪措施</w:t>
            </w:r>
          </w:p>
        </w:tc>
        <w:tc>
          <w:tcPr>
            <w:tcW w:w="632" w:type="pct"/>
            <w:vMerge w:val="restart"/>
            <w:tcBorders>
              <w:tl2br w:val="nil"/>
              <w:tr2bl w:val="nil"/>
            </w:tcBorders>
            <w:vAlign w:val="center"/>
          </w:tcPr>
          <w:p w14:paraId="234707BC">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设备距厂界最近距离</w:t>
            </w:r>
            <w:r>
              <w:rPr>
                <w:rFonts w:hint="eastAsia" w:eastAsia="宋体" w:cs="Times New Roman"/>
                <w:bCs/>
                <w:color w:val="000000" w:themeColor="text1"/>
                <w:sz w:val="21"/>
                <w:szCs w:val="21"/>
                <w14:textFill>
                  <w14:solidFill>
                    <w14:schemeClr w14:val="tx1"/>
                  </w14:solidFill>
                </w14:textFill>
              </w:rPr>
              <w:t>（m）</w:t>
            </w:r>
          </w:p>
        </w:tc>
        <w:tc>
          <w:tcPr>
            <w:tcW w:w="493" w:type="pct"/>
            <w:vMerge w:val="restart"/>
            <w:tcBorders>
              <w:tl2br w:val="nil"/>
              <w:tr2bl w:val="nil"/>
            </w:tcBorders>
            <w:vAlign w:val="center"/>
          </w:tcPr>
          <w:p w14:paraId="651ACD9E">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持续时间/h</w:t>
            </w:r>
          </w:p>
        </w:tc>
      </w:tr>
      <w:tr w14:paraId="061963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97" w:hRule="atLeast"/>
          <w:jc w:val="center"/>
        </w:trPr>
        <w:tc>
          <w:tcPr>
            <w:tcW w:w="542" w:type="pct"/>
            <w:vMerge w:val="continue"/>
            <w:tcBorders>
              <w:tl2br w:val="nil"/>
              <w:tr2bl w:val="nil"/>
            </w:tcBorders>
            <w:vAlign w:val="center"/>
          </w:tcPr>
          <w:p w14:paraId="3553BF49">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p>
        </w:tc>
        <w:tc>
          <w:tcPr>
            <w:tcW w:w="552" w:type="pct"/>
            <w:vMerge w:val="continue"/>
            <w:tcBorders>
              <w:tl2br w:val="nil"/>
              <w:tr2bl w:val="nil"/>
            </w:tcBorders>
            <w:vAlign w:val="center"/>
          </w:tcPr>
          <w:p w14:paraId="627DF330">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p>
        </w:tc>
        <w:tc>
          <w:tcPr>
            <w:tcW w:w="384" w:type="pct"/>
            <w:vMerge w:val="continue"/>
            <w:tcBorders>
              <w:tl2br w:val="nil"/>
              <w:tr2bl w:val="nil"/>
            </w:tcBorders>
            <w:vAlign w:val="center"/>
          </w:tcPr>
          <w:p w14:paraId="646A6311">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p>
        </w:tc>
        <w:tc>
          <w:tcPr>
            <w:tcW w:w="278" w:type="pct"/>
            <w:vMerge w:val="continue"/>
            <w:tcBorders>
              <w:tl2br w:val="nil"/>
              <w:tr2bl w:val="nil"/>
            </w:tcBorders>
            <w:vAlign w:val="center"/>
          </w:tcPr>
          <w:p w14:paraId="6BBA7EFF">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p>
        </w:tc>
        <w:tc>
          <w:tcPr>
            <w:tcW w:w="432" w:type="pct"/>
            <w:tcBorders>
              <w:tl2br w:val="nil"/>
              <w:tr2bl w:val="nil"/>
            </w:tcBorders>
            <w:vAlign w:val="center"/>
          </w:tcPr>
          <w:p w14:paraId="55FEEE5C">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核算方法</w:t>
            </w:r>
          </w:p>
        </w:tc>
        <w:tc>
          <w:tcPr>
            <w:tcW w:w="422" w:type="pct"/>
            <w:tcBorders>
              <w:tl2br w:val="nil"/>
              <w:tr2bl w:val="nil"/>
            </w:tcBorders>
            <w:vAlign w:val="center"/>
          </w:tcPr>
          <w:p w14:paraId="7E0218F2">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噪声值</w:t>
            </w:r>
          </w:p>
        </w:tc>
        <w:tc>
          <w:tcPr>
            <w:tcW w:w="717" w:type="pct"/>
            <w:tcBorders>
              <w:tl2br w:val="nil"/>
              <w:tr2bl w:val="nil"/>
            </w:tcBorders>
            <w:vAlign w:val="center"/>
          </w:tcPr>
          <w:p w14:paraId="75F9027E">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工艺</w:t>
            </w:r>
          </w:p>
        </w:tc>
        <w:tc>
          <w:tcPr>
            <w:tcW w:w="544" w:type="pct"/>
            <w:tcBorders>
              <w:tl2br w:val="nil"/>
              <w:tr2bl w:val="nil"/>
            </w:tcBorders>
            <w:vAlign w:val="center"/>
          </w:tcPr>
          <w:p w14:paraId="4ED3861F">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降噪效果</w:t>
            </w:r>
          </w:p>
        </w:tc>
        <w:tc>
          <w:tcPr>
            <w:tcW w:w="632" w:type="pct"/>
            <w:vMerge w:val="continue"/>
            <w:tcBorders>
              <w:tl2br w:val="nil"/>
              <w:tr2bl w:val="nil"/>
            </w:tcBorders>
            <w:vAlign w:val="center"/>
          </w:tcPr>
          <w:p w14:paraId="4429ECF4">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p>
        </w:tc>
        <w:tc>
          <w:tcPr>
            <w:tcW w:w="493" w:type="pct"/>
            <w:vMerge w:val="continue"/>
            <w:tcBorders>
              <w:tl2br w:val="nil"/>
              <w:tr2bl w:val="nil"/>
            </w:tcBorders>
            <w:vAlign w:val="center"/>
          </w:tcPr>
          <w:p w14:paraId="2D8DCA30">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p>
        </w:tc>
      </w:tr>
      <w:tr w14:paraId="4327ED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97" w:hRule="atLeast"/>
          <w:jc w:val="center"/>
        </w:trPr>
        <w:tc>
          <w:tcPr>
            <w:tcW w:w="542" w:type="pct"/>
            <w:tcBorders>
              <w:tl2br w:val="nil"/>
              <w:tr2bl w:val="nil"/>
            </w:tcBorders>
            <w:vAlign w:val="center"/>
          </w:tcPr>
          <w:p w14:paraId="66675E1B">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养殖</w:t>
            </w:r>
          </w:p>
        </w:tc>
        <w:tc>
          <w:tcPr>
            <w:tcW w:w="552" w:type="pct"/>
            <w:tcBorders>
              <w:tl2br w:val="nil"/>
              <w:tr2bl w:val="nil"/>
            </w:tcBorders>
            <w:vAlign w:val="center"/>
          </w:tcPr>
          <w:p w14:paraId="3EBB7184">
            <w:pPr>
              <w:adjustRightIn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鸡叫声</w:t>
            </w:r>
          </w:p>
        </w:tc>
        <w:tc>
          <w:tcPr>
            <w:tcW w:w="384" w:type="pct"/>
            <w:tcBorders>
              <w:tl2br w:val="nil"/>
              <w:tr2bl w:val="nil"/>
            </w:tcBorders>
            <w:vAlign w:val="center"/>
          </w:tcPr>
          <w:p w14:paraId="6ED45213">
            <w:pPr>
              <w:adjustRightIn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eastAsia="宋体" w:cs="Times New Roman"/>
                <w:bCs/>
                <w:color w:val="000000" w:themeColor="text1"/>
                <w:sz w:val="21"/>
                <w:szCs w:val="21"/>
                <w14:textFill>
                  <w14:solidFill>
                    <w14:schemeClr w14:val="tx1"/>
                  </w14:solidFill>
                </w14:textFill>
              </w:rPr>
              <w:t>若干</w:t>
            </w:r>
          </w:p>
        </w:tc>
        <w:tc>
          <w:tcPr>
            <w:tcW w:w="278" w:type="pct"/>
            <w:tcBorders>
              <w:tl2br w:val="nil"/>
              <w:tr2bl w:val="nil"/>
            </w:tcBorders>
            <w:vAlign w:val="center"/>
          </w:tcPr>
          <w:p w14:paraId="4D0E9B6B">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频发</w:t>
            </w:r>
          </w:p>
        </w:tc>
        <w:tc>
          <w:tcPr>
            <w:tcW w:w="432" w:type="pct"/>
            <w:vMerge w:val="restart"/>
            <w:tcBorders>
              <w:tl2br w:val="nil"/>
              <w:tr2bl w:val="nil"/>
            </w:tcBorders>
            <w:vAlign w:val="center"/>
          </w:tcPr>
          <w:p w14:paraId="16C88A7B">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类比法</w:t>
            </w:r>
          </w:p>
        </w:tc>
        <w:tc>
          <w:tcPr>
            <w:tcW w:w="422" w:type="pct"/>
            <w:tcBorders>
              <w:tl2br w:val="nil"/>
              <w:tr2bl w:val="nil"/>
            </w:tcBorders>
            <w:vAlign w:val="center"/>
          </w:tcPr>
          <w:p w14:paraId="14D7E110">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70</w:t>
            </w:r>
            <w:r>
              <w:rPr>
                <w:rFonts w:ascii="Times New Roman" w:hAnsi="Times New Roman" w:eastAsia="宋体" w:cs="Times New Roman"/>
                <w:bCs/>
                <w:color w:val="000000" w:themeColor="text1"/>
                <w:sz w:val="21"/>
                <w:szCs w:val="21"/>
                <w14:textFill>
                  <w14:solidFill>
                    <w14:schemeClr w14:val="tx1"/>
                  </w14:solidFill>
                </w14:textFill>
              </w:rPr>
              <w:t>~</w:t>
            </w:r>
            <w:r>
              <w:rPr>
                <w:rFonts w:hint="eastAsia" w:ascii="Times New Roman" w:hAnsi="Times New Roman" w:eastAsia="宋体" w:cs="Times New Roman"/>
                <w:bCs/>
                <w:color w:val="000000" w:themeColor="text1"/>
                <w:sz w:val="21"/>
                <w:szCs w:val="21"/>
                <w14:textFill>
                  <w14:solidFill>
                    <w14:schemeClr w14:val="tx1"/>
                  </w14:solidFill>
                </w14:textFill>
              </w:rPr>
              <w:t>80</w:t>
            </w:r>
          </w:p>
        </w:tc>
        <w:tc>
          <w:tcPr>
            <w:tcW w:w="717" w:type="pct"/>
            <w:tcBorders>
              <w:tl2br w:val="nil"/>
              <w:tr2bl w:val="nil"/>
            </w:tcBorders>
            <w:vAlign w:val="center"/>
          </w:tcPr>
          <w:p w14:paraId="0994FE95">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ascii="宋体" w:hAnsi="宋体" w:eastAsia="宋体" w:cs="宋体"/>
                <w:color w:val="000000"/>
                <w:kern w:val="0"/>
                <w:sz w:val="21"/>
                <w:szCs w:val="21"/>
                <w:lang w:bidi="ar"/>
              </w:rPr>
              <w:t>喂足饲料和水，避免饥渴及突发性噪声，</w:t>
            </w:r>
            <w:r>
              <w:rPr>
                <w:rFonts w:ascii="Times New Roman" w:hAnsi="Times New Roman" w:eastAsia="宋体" w:cs="Times New Roman"/>
                <w:bCs/>
                <w:color w:val="000000" w:themeColor="text1"/>
                <w:sz w:val="21"/>
                <w:szCs w:val="21"/>
                <w14:textFill>
                  <w14:solidFill>
                    <w14:schemeClr w14:val="tx1"/>
                  </w14:solidFill>
                </w14:textFill>
              </w:rPr>
              <w:t>合理布局、厂房隔声、距离衰减、绿化吸声</w:t>
            </w:r>
          </w:p>
        </w:tc>
        <w:tc>
          <w:tcPr>
            <w:tcW w:w="544" w:type="pct"/>
            <w:tcBorders>
              <w:tl2br w:val="nil"/>
              <w:tr2bl w:val="nil"/>
            </w:tcBorders>
            <w:vAlign w:val="center"/>
          </w:tcPr>
          <w:p w14:paraId="3773661B">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20~30</w:t>
            </w:r>
          </w:p>
        </w:tc>
        <w:tc>
          <w:tcPr>
            <w:tcW w:w="632" w:type="pct"/>
            <w:tcBorders>
              <w:tl2br w:val="nil"/>
              <w:tr2bl w:val="nil"/>
            </w:tcBorders>
            <w:vAlign w:val="center"/>
          </w:tcPr>
          <w:p w14:paraId="7F62C252">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E</w:t>
            </w:r>
            <w:r>
              <w:rPr>
                <w:rFonts w:ascii="Times New Roman" w:hAnsi="Times New Roman" w:eastAsia="宋体" w:cs="Times New Roman"/>
                <w:bCs/>
                <w:color w:val="000000" w:themeColor="text1"/>
                <w:sz w:val="21"/>
                <w:szCs w:val="21"/>
                <w14:textFill>
                  <w14:solidFill>
                    <w14:schemeClr w14:val="tx1"/>
                  </w14:solidFill>
                </w14:textFill>
              </w:rPr>
              <w:t>/</w:t>
            </w:r>
            <w:r>
              <w:rPr>
                <w:rFonts w:hint="eastAsia" w:ascii="Times New Roman" w:hAnsi="Times New Roman" w:eastAsia="宋体" w:cs="Times New Roman"/>
                <w:bCs/>
                <w:color w:val="000000" w:themeColor="text1"/>
                <w:sz w:val="21"/>
                <w:szCs w:val="21"/>
                <w14:textFill>
                  <w14:solidFill>
                    <w14:schemeClr w14:val="tx1"/>
                  </w14:solidFill>
                </w14:textFill>
              </w:rPr>
              <w:t>10</w:t>
            </w:r>
          </w:p>
        </w:tc>
        <w:tc>
          <w:tcPr>
            <w:tcW w:w="493" w:type="pct"/>
            <w:tcBorders>
              <w:tl2br w:val="nil"/>
              <w:tr2bl w:val="nil"/>
            </w:tcBorders>
            <w:vAlign w:val="center"/>
          </w:tcPr>
          <w:p w14:paraId="393691E4">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7200</w:t>
            </w:r>
          </w:p>
        </w:tc>
      </w:tr>
      <w:tr w14:paraId="6CCF3A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97" w:hRule="atLeast"/>
          <w:jc w:val="center"/>
        </w:trPr>
        <w:tc>
          <w:tcPr>
            <w:tcW w:w="542" w:type="pct"/>
            <w:vMerge w:val="restart"/>
            <w:tcBorders>
              <w:tl2br w:val="nil"/>
              <w:tr2bl w:val="nil"/>
            </w:tcBorders>
            <w:vAlign w:val="center"/>
          </w:tcPr>
          <w:p w14:paraId="3ABDF386">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污染防治及公用工程</w:t>
            </w:r>
          </w:p>
        </w:tc>
        <w:tc>
          <w:tcPr>
            <w:tcW w:w="552" w:type="pct"/>
            <w:tcBorders>
              <w:tl2br w:val="nil"/>
              <w:tr2bl w:val="nil"/>
            </w:tcBorders>
            <w:shd w:val="clear" w:color="auto" w:fill="auto"/>
            <w:vAlign w:val="center"/>
          </w:tcPr>
          <w:p w14:paraId="53DADD81">
            <w:pPr>
              <w:adjustRightInd w:val="0"/>
              <w:spacing w:line="30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电热水锅炉</w:t>
            </w:r>
          </w:p>
        </w:tc>
        <w:tc>
          <w:tcPr>
            <w:tcW w:w="384" w:type="pct"/>
            <w:tcBorders>
              <w:tl2br w:val="nil"/>
              <w:tr2bl w:val="nil"/>
            </w:tcBorders>
            <w:shd w:val="clear" w:color="auto" w:fill="auto"/>
            <w:vAlign w:val="center"/>
          </w:tcPr>
          <w:p w14:paraId="10535D51">
            <w:pPr>
              <w:adjustRightInd w:val="0"/>
              <w:spacing w:line="30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1</w:t>
            </w:r>
          </w:p>
        </w:tc>
        <w:tc>
          <w:tcPr>
            <w:tcW w:w="278" w:type="pct"/>
            <w:tcBorders>
              <w:tl2br w:val="nil"/>
              <w:tr2bl w:val="nil"/>
            </w:tcBorders>
            <w:shd w:val="clear" w:color="auto" w:fill="auto"/>
            <w:vAlign w:val="center"/>
          </w:tcPr>
          <w:p w14:paraId="4691D389">
            <w:pPr>
              <w:adjustRightInd w:val="0"/>
              <w:snapToGrid w:val="0"/>
              <w:spacing w:line="30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频发</w:t>
            </w:r>
          </w:p>
        </w:tc>
        <w:tc>
          <w:tcPr>
            <w:tcW w:w="432" w:type="pct"/>
            <w:vMerge w:val="continue"/>
            <w:tcBorders>
              <w:tl2br w:val="nil"/>
              <w:tr2bl w:val="nil"/>
            </w:tcBorders>
            <w:vAlign w:val="center"/>
          </w:tcPr>
          <w:p w14:paraId="28A8B5EC">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p>
        </w:tc>
        <w:tc>
          <w:tcPr>
            <w:tcW w:w="422" w:type="pct"/>
            <w:tcBorders>
              <w:tl2br w:val="nil"/>
              <w:tr2bl w:val="nil"/>
            </w:tcBorders>
            <w:vAlign w:val="center"/>
          </w:tcPr>
          <w:p w14:paraId="459D4FC3">
            <w:pPr>
              <w:adjustRightIn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70</w:t>
            </w:r>
            <w:r>
              <w:rPr>
                <w:rFonts w:ascii="Times New Roman" w:hAnsi="Times New Roman" w:eastAsia="宋体" w:cs="Times New Roman"/>
                <w:bCs/>
                <w:color w:val="000000" w:themeColor="text1"/>
                <w:sz w:val="21"/>
                <w:szCs w:val="21"/>
                <w14:textFill>
                  <w14:solidFill>
                    <w14:schemeClr w14:val="tx1"/>
                  </w14:solidFill>
                </w14:textFill>
              </w:rPr>
              <w:t>~</w:t>
            </w:r>
            <w:r>
              <w:rPr>
                <w:rFonts w:hint="eastAsia" w:ascii="Times New Roman" w:hAnsi="Times New Roman" w:eastAsia="宋体" w:cs="Times New Roman"/>
                <w:bCs/>
                <w:color w:val="000000" w:themeColor="text1"/>
                <w:sz w:val="21"/>
                <w:szCs w:val="21"/>
                <w14:textFill>
                  <w14:solidFill>
                    <w14:schemeClr w14:val="tx1"/>
                  </w14:solidFill>
                </w14:textFill>
              </w:rPr>
              <w:t>80</w:t>
            </w:r>
          </w:p>
        </w:tc>
        <w:tc>
          <w:tcPr>
            <w:tcW w:w="717" w:type="pct"/>
            <w:tcBorders>
              <w:tl2br w:val="nil"/>
              <w:tr2bl w:val="nil"/>
            </w:tcBorders>
            <w:vAlign w:val="center"/>
          </w:tcPr>
          <w:p w14:paraId="52617190">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建筑隔声、消声、减震</w:t>
            </w:r>
          </w:p>
        </w:tc>
        <w:tc>
          <w:tcPr>
            <w:tcW w:w="544" w:type="pct"/>
            <w:tcBorders>
              <w:tl2br w:val="nil"/>
              <w:tr2bl w:val="nil"/>
            </w:tcBorders>
            <w:shd w:val="clear" w:color="auto" w:fill="auto"/>
            <w:vAlign w:val="center"/>
          </w:tcPr>
          <w:p w14:paraId="1B46590F">
            <w:pPr>
              <w:adjustRightInd w:val="0"/>
              <w:snapToGrid w:val="0"/>
              <w:spacing w:line="30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20~30</w:t>
            </w:r>
          </w:p>
        </w:tc>
        <w:tc>
          <w:tcPr>
            <w:tcW w:w="632" w:type="pct"/>
            <w:tcBorders>
              <w:tl2br w:val="nil"/>
              <w:tr2bl w:val="nil"/>
            </w:tcBorders>
            <w:shd w:val="clear" w:color="auto" w:fill="auto"/>
            <w:vAlign w:val="center"/>
          </w:tcPr>
          <w:p w14:paraId="5B8A3974">
            <w:pPr>
              <w:adjustRightInd w:val="0"/>
              <w:snapToGrid w:val="0"/>
              <w:spacing w:line="30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E</w:t>
            </w:r>
            <w:r>
              <w:rPr>
                <w:rFonts w:ascii="Times New Roman" w:hAnsi="Times New Roman" w:eastAsia="宋体" w:cs="Times New Roman"/>
                <w:bCs/>
                <w:color w:val="000000" w:themeColor="text1"/>
                <w:sz w:val="21"/>
                <w:szCs w:val="21"/>
                <w14:textFill>
                  <w14:solidFill>
                    <w14:schemeClr w14:val="tx1"/>
                  </w14:solidFill>
                </w14:textFill>
              </w:rPr>
              <w:t>/</w:t>
            </w:r>
            <w:r>
              <w:rPr>
                <w:rFonts w:hint="eastAsia" w:ascii="Times New Roman" w:hAnsi="Times New Roman" w:eastAsia="宋体" w:cs="Times New Roman"/>
                <w:bCs/>
                <w:color w:val="000000" w:themeColor="text1"/>
                <w:sz w:val="21"/>
                <w:szCs w:val="21"/>
                <w14:textFill>
                  <w14:solidFill>
                    <w14:schemeClr w14:val="tx1"/>
                  </w14:solidFill>
                </w14:textFill>
              </w:rPr>
              <w:t>25</w:t>
            </w:r>
          </w:p>
        </w:tc>
        <w:tc>
          <w:tcPr>
            <w:tcW w:w="493" w:type="pct"/>
            <w:tcBorders>
              <w:tl2br w:val="nil"/>
              <w:tr2bl w:val="nil"/>
            </w:tcBorders>
            <w:shd w:val="clear" w:color="auto" w:fill="auto"/>
            <w:vAlign w:val="center"/>
          </w:tcPr>
          <w:p w14:paraId="5034C444">
            <w:pPr>
              <w:adjustRightInd w:val="0"/>
              <w:snapToGrid w:val="0"/>
              <w:spacing w:line="300" w:lineRule="exact"/>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2160</w:t>
            </w:r>
          </w:p>
        </w:tc>
      </w:tr>
      <w:tr w14:paraId="220FAF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97" w:hRule="atLeast"/>
          <w:jc w:val="center"/>
        </w:trPr>
        <w:tc>
          <w:tcPr>
            <w:tcW w:w="542" w:type="pct"/>
            <w:vMerge w:val="continue"/>
            <w:tcBorders>
              <w:tl2br w:val="nil"/>
              <w:tr2bl w:val="nil"/>
            </w:tcBorders>
            <w:vAlign w:val="center"/>
          </w:tcPr>
          <w:p w14:paraId="5F504E85">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p>
        </w:tc>
        <w:tc>
          <w:tcPr>
            <w:tcW w:w="552" w:type="pct"/>
            <w:tcBorders>
              <w:tl2br w:val="nil"/>
              <w:tr2bl w:val="nil"/>
            </w:tcBorders>
            <w:vAlign w:val="center"/>
          </w:tcPr>
          <w:p w14:paraId="1E338AEA">
            <w:pPr>
              <w:adjustRightIn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风机</w:t>
            </w:r>
          </w:p>
        </w:tc>
        <w:tc>
          <w:tcPr>
            <w:tcW w:w="384" w:type="pct"/>
            <w:tcBorders>
              <w:tl2br w:val="nil"/>
              <w:tr2bl w:val="nil"/>
            </w:tcBorders>
            <w:vAlign w:val="center"/>
          </w:tcPr>
          <w:p w14:paraId="2583F306">
            <w:pPr>
              <w:adjustRightIn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若干</w:t>
            </w:r>
          </w:p>
        </w:tc>
        <w:tc>
          <w:tcPr>
            <w:tcW w:w="278" w:type="pct"/>
            <w:tcBorders>
              <w:tl2br w:val="nil"/>
              <w:tr2bl w:val="nil"/>
            </w:tcBorders>
            <w:vAlign w:val="center"/>
          </w:tcPr>
          <w:p w14:paraId="00C1C40D">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频发</w:t>
            </w:r>
          </w:p>
        </w:tc>
        <w:tc>
          <w:tcPr>
            <w:tcW w:w="432" w:type="pct"/>
            <w:vMerge w:val="continue"/>
            <w:tcBorders>
              <w:tl2br w:val="nil"/>
              <w:tr2bl w:val="nil"/>
            </w:tcBorders>
            <w:vAlign w:val="center"/>
          </w:tcPr>
          <w:p w14:paraId="0FCCBDD2">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p>
        </w:tc>
        <w:tc>
          <w:tcPr>
            <w:tcW w:w="422" w:type="pct"/>
            <w:tcBorders>
              <w:tl2br w:val="nil"/>
              <w:tr2bl w:val="nil"/>
            </w:tcBorders>
            <w:vAlign w:val="center"/>
          </w:tcPr>
          <w:p w14:paraId="38D60327">
            <w:pPr>
              <w:adjustRightIn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75</w:t>
            </w:r>
            <w:r>
              <w:rPr>
                <w:rFonts w:ascii="Times New Roman" w:hAnsi="Times New Roman" w:eastAsia="宋体" w:cs="Times New Roman"/>
                <w:bCs/>
                <w:color w:val="000000" w:themeColor="text1"/>
                <w:sz w:val="21"/>
                <w:szCs w:val="21"/>
                <w14:textFill>
                  <w14:solidFill>
                    <w14:schemeClr w14:val="tx1"/>
                  </w14:solidFill>
                </w14:textFill>
              </w:rPr>
              <w:t>~</w:t>
            </w:r>
            <w:r>
              <w:rPr>
                <w:rFonts w:hint="eastAsia" w:ascii="Times New Roman" w:hAnsi="Times New Roman" w:eastAsia="宋体" w:cs="Times New Roman"/>
                <w:bCs/>
                <w:color w:val="000000" w:themeColor="text1"/>
                <w:sz w:val="21"/>
                <w:szCs w:val="21"/>
                <w14:textFill>
                  <w14:solidFill>
                    <w14:schemeClr w14:val="tx1"/>
                  </w14:solidFill>
                </w14:textFill>
              </w:rPr>
              <w:t>85</w:t>
            </w:r>
          </w:p>
        </w:tc>
        <w:tc>
          <w:tcPr>
            <w:tcW w:w="717" w:type="pct"/>
            <w:vMerge w:val="restart"/>
            <w:tcBorders>
              <w:tl2br w:val="nil"/>
              <w:tr2bl w:val="nil"/>
            </w:tcBorders>
            <w:vAlign w:val="center"/>
          </w:tcPr>
          <w:p w14:paraId="703BD264">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合理布置、消声器、减震垫</w:t>
            </w:r>
          </w:p>
        </w:tc>
        <w:tc>
          <w:tcPr>
            <w:tcW w:w="544" w:type="pct"/>
            <w:tcBorders>
              <w:tl2br w:val="nil"/>
              <w:tr2bl w:val="nil"/>
            </w:tcBorders>
            <w:vAlign w:val="center"/>
          </w:tcPr>
          <w:p w14:paraId="25108E97">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20~30</w:t>
            </w:r>
          </w:p>
        </w:tc>
        <w:tc>
          <w:tcPr>
            <w:tcW w:w="632" w:type="pct"/>
            <w:tcBorders>
              <w:tl2br w:val="nil"/>
              <w:tr2bl w:val="nil"/>
            </w:tcBorders>
            <w:vAlign w:val="center"/>
          </w:tcPr>
          <w:p w14:paraId="2F64765B">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E</w:t>
            </w:r>
            <w:r>
              <w:rPr>
                <w:rFonts w:ascii="Times New Roman" w:hAnsi="Times New Roman" w:eastAsia="宋体" w:cs="Times New Roman"/>
                <w:bCs/>
                <w:color w:val="000000" w:themeColor="text1"/>
                <w:sz w:val="21"/>
                <w:szCs w:val="21"/>
                <w14:textFill>
                  <w14:solidFill>
                    <w14:schemeClr w14:val="tx1"/>
                  </w14:solidFill>
                </w14:textFill>
              </w:rPr>
              <w:t>/1</w:t>
            </w:r>
            <w:r>
              <w:rPr>
                <w:rFonts w:hint="eastAsia" w:ascii="Times New Roman" w:hAnsi="Times New Roman" w:eastAsia="宋体" w:cs="Times New Roman"/>
                <w:bCs/>
                <w:color w:val="000000" w:themeColor="text1"/>
                <w:sz w:val="21"/>
                <w:szCs w:val="21"/>
                <w14:textFill>
                  <w14:solidFill>
                    <w14:schemeClr w14:val="tx1"/>
                  </w14:solidFill>
                </w14:textFill>
              </w:rPr>
              <w:t>5</w:t>
            </w:r>
          </w:p>
        </w:tc>
        <w:tc>
          <w:tcPr>
            <w:tcW w:w="493" w:type="pct"/>
            <w:tcBorders>
              <w:tl2br w:val="nil"/>
              <w:tr2bl w:val="nil"/>
            </w:tcBorders>
            <w:vAlign w:val="center"/>
          </w:tcPr>
          <w:p w14:paraId="1D72C339">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7200</w:t>
            </w:r>
          </w:p>
        </w:tc>
      </w:tr>
      <w:tr w14:paraId="5EF73C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97" w:hRule="atLeast"/>
          <w:jc w:val="center"/>
        </w:trPr>
        <w:tc>
          <w:tcPr>
            <w:tcW w:w="542" w:type="pct"/>
            <w:vMerge w:val="continue"/>
            <w:tcBorders>
              <w:tl2br w:val="nil"/>
              <w:tr2bl w:val="nil"/>
            </w:tcBorders>
            <w:vAlign w:val="center"/>
          </w:tcPr>
          <w:p w14:paraId="19063018">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p>
        </w:tc>
        <w:tc>
          <w:tcPr>
            <w:tcW w:w="552" w:type="pct"/>
            <w:tcBorders>
              <w:tl2br w:val="nil"/>
              <w:tr2bl w:val="nil"/>
            </w:tcBorders>
            <w:vAlign w:val="center"/>
          </w:tcPr>
          <w:p w14:paraId="7735759A">
            <w:pPr>
              <w:adjustRightIn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水泵</w:t>
            </w:r>
          </w:p>
        </w:tc>
        <w:tc>
          <w:tcPr>
            <w:tcW w:w="384" w:type="pct"/>
            <w:tcBorders>
              <w:tl2br w:val="nil"/>
              <w:tr2bl w:val="nil"/>
            </w:tcBorders>
            <w:vAlign w:val="center"/>
          </w:tcPr>
          <w:p w14:paraId="6FC97ECC">
            <w:pPr>
              <w:adjustRightIn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若干</w:t>
            </w:r>
          </w:p>
        </w:tc>
        <w:tc>
          <w:tcPr>
            <w:tcW w:w="278" w:type="pct"/>
            <w:tcBorders>
              <w:tl2br w:val="nil"/>
              <w:tr2bl w:val="nil"/>
            </w:tcBorders>
            <w:vAlign w:val="center"/>
          </w:tcPr>
          <w:p w14:paraId="1D98668D">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频发</w:t>
            </w:r>
          </w:p>
        </w:tc>
        <w:tc>
          <w:tcPr>
            <w:tcW w:w="432" w:type="pct"/>
            <w:vMerge w:val="continue"/>
            <w:tcBorders>
              <w:tl2br w:val="nil"/>
              <w:tr2bl w:val="nil"/>
            </w:tcBorders>
            <w:vAlign w:val="center"/>
          </w:tcPr>
          <w:p w14:paraId="7A94DE8A">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p>
        </w:tc>
        <w:tc>
          <w:tcPr>
            <w:tcW w:w="422" w:type="pct"/>
            <w:tcBorders>
              <w:tl2br w:val="nil"/>
              <w:tr2bl w:val="nil"/>
            </w:tcBorders>
            <w:vAlign w:val="center"/>
          </w:tcPr>
          <w:p w14:paraId="2E95B419">
            <w:pPr>
              <w:adjustRightIn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75~85</w:t>
            </w:r>
          </w:p>
        </w:tc>
        <w:tc>
          <w:tcPr>
            <w:tcW w:w="717" w:type="pct"/>
            <w:vMerge w:val="continue"/>
            <w:tcBorders>
              <w:tl2br w:val="nil"/>
              <w:tr2bl w:val="nil"/>
            </w:tcBorders>
            <w:vAlign w:val="center"/>
          </w:tcPr>
          <w:p w14:paraId="5B5EC01E">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p>
        </w:tc>
        <w:tc>
          <w:tcPr>
            <w:tcW w:w="544" w:type="pct"/>
            <w:tcBorders>
              <w:tl2br w:val="nil"/>
              <w:tr2bl w:val="nil"/>
            </w:tcBorders>
            <w:vAlign w:val="center"/>
          </w:tcPr>
          <w:p w14:paraId="4E46BC45">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20~30</w:t>
            </w:r>
          </w:p>
        </w:tc>
        <w:tc>
          <w:tcPr>
            <w:tcW w:w="632" w:type="pct"/>
            <w:tcBorders>
              <w:tl2br w:val="nil"/>
              <w:tr2bl w:val="nil"/>
            </w:tcBorders>
            <w:vAlign w:val="center"/>
          </w:tcPr>
          <w:p w14:paraId="5584B431">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N</w:t>
            </w:r>
            <w:r>
              <w:rPr>
                <w:rFonts w:ascii="Times New Roman" w:hAnsi="Times New Roman" w:eastAsia="宋体" w:cs="Times New Roman"/>
                <w:bCs/>
                <w:color w:val="000000" w:themeColor="text1"/>
                <w:sz w:val="21"/>
                <w:szCs w:val="21"/>
                <w14:textFill>
                  <w14:solidFill>
                    <w14:schemeClr w14:val="tx1"/>
                  </w14:solidFill>
                </w14:textFill>
              </w:rPr>
              <w:t>/</w:t>
            </w:r>
            <w:r>
              <w:rPr>
                <w:rFonts w:hint="eastAsia" w:ascii="Times New Roman" w:hAnsi="Times New Roman" w:eastAsia="宋体" w:cs="Times New Roman"/>
                <w:bCs/>
                <w:color w:val="000000" w:themeColor="text1"/>
                <w:sz w:val="21"/>
                <w:szCs w:val="21"/>
                <w14:textFill>
                  <w14:solidFill>
                    <w14:schemeClr w14:val="tx1"/>
                  </w14:solidFill>
                </w14:textFill>
              </w:rPr>
              <w:t>20</w:t>
            </w:r>
          </w:p>
        </w:tc>
        <w:tc>
          <w:tcPr>
            <w:tcW w:w="493" w:type="pct"/>
            <w:tcBorders>
              <w:tl2br w:val="nil"/>
              <w:tr2bl w:val="nil"/>
            </w:tcBorders>
            <w:vAlign w:val="center"/>
          </w:tcPr>
          <w:p w14:paraId="68DCBC9C">
            <w:pPr>
              <w:adjustRightInd w:val="0"/>
              <w:snapToGrid w:val="0"/>
              <w:spacing w:line="30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7200</w:t>
            </w:r>
          </w:p>
        </w:tc>
      </w:tr>
    </w:tbl>
    <w:p w14:paraId="00672FC1">
      <w:pPr>
        <w:pStyle w:val="7"/>
        <w:spacing w:line="480" w:lineRule="exact"/>
      </w:pPr>
      <w:r>
        <w:rPr>
          <w:rFonts w:hint="eastAsia"/>
        </w:rPr>
        <w:t>3.</w:t>
      </w:r>
      <w:r>
        <w:t>7.4 固体废物</w:t>
      </w:r>
    </w:p>
    <w:p w14:paraId="576EDA0C">
      <w:pPr>
        <w:spacing w:line="480" w:lineRule="exact"/>
        <w:ind w:firstLine="480" w:firstLineChars="200"/>
        <w:rPr>
          <w:rFonts w:ascii="Times New Roman" w:hAnsi="Times New Roman" w:cs="Times New Roman"/>
          <w:szCs w:val="24"/>
        </w:rPr>
      </w:pPr>
      <w:r>
        <w:rPr>
          <w:rFonts w:ascii="Times New Roman" w:hAnsi="Times New Roman" w:cs="Times New Roman"/>
          <w:szCs w:val="24"/>
        </w:rPr>
        <w:t>本项目固体废弃物主要包括：病死鸡、鸡粪、废包装、医疗废物、污泥、</w:t>
      </w:r>
      <w:r>
        <w:rPr>
          <w:rFonts w:ascii="Times New Roman" w:hAnsi="Times New Roman" w:cs="Times New Roman"/>
          <w:kern w:val="0"/>
          <w:szCs w:val="24"/>
        </w:rPr>
        <w:t>饲料残渣</w:t>
      </w:r>
      <w:r>
        <w:rPr>
          <w:rFonts w:hint="eastAsia" w:ascii="Times New Roman" w:hAnsi="Times New Roman" w:cs="Times New Roman"/>
          <w:kern w:val="0"/>
          <w:szCs w:val="24"/>
        </w:rPr>
        <w:t>及</w:t>
      </w:r>
      <w:r>
        <w:rPr>
          <w:rFonts w:ascii="Times New Roman" w:hAnsi="Times New Roman" w:cs="Times New Roman"/>
          <w:kern w:val="0"/>
          <w:szCs w:val="24"/>
        </w:rPr>
        <w:t>散落羽毛</w:t>
      </w:r>
      <w:r>
        <w:rPr>
          <w:rFonts w:hint="eastAsia" w:ascii="Times New Roman" w:hAnsi="Times New Roman" w:cs="Times New Roman"/>
          <w:kern w:val="0"/>
          <w:szCs w:val="24"/>
        </w:rPr>
        <w:t>、废树脂</w:t>
      </w:r>
      <w:r>
        <w:rPr>
          <w:rFonts w:ascii="Times New Roman" w:hAnsi="Times New Roman" w:cs="Times New Roman"/>
          <w:szCs w:val="24"/>
        </w:rPr>
        <w:t>和生活垃圾。</w:t>
      </w:r>
    </w:p>
    <w:p w14:paraId="2BB75C86">
      <w:pPr>
        <w:autoSpaceDE w:val="0"/>
        <w:autoSpaceDN w:val="0"/>
        <w:adjustRightInd w:val="0"/>
        <w:spacing w:line="480" w:lineRule="exact"/>
        <w:ind w:firstLine="480" w:firstLineChars="200"/>
        <w:outlineLvl w:val="1"/>
        <w:rPr>
          <w:rFonts w:ascii="Times New Roman" w:hAnsi="Times New Roman" w:cs="Times New Roman"/>
          <w:kern w:val="0"/>
          <w:szCs w:val="24"/>
        </w:rPr>
      </w:pPr>
      <w:bookmarkStart w:id="64" w:name="_Toc16936"/>
      <w:bookmarkStart w:id="65" w:name="_Toc20610"/>
      <w:bookmarkStart w:id="66" w:name="_Toc30940"/>
      <w:bookmarkStart w:id="67" w:name="_Toc29288"/>
      <w:r>
        <w:rPr>
          <w:rFonts w:ascii="Times New Roman" w:hAnsi="Times New Roman" w:cs="Times New Roman"/>
          <w:kern w:val="0"/>
          <w:szCs w:val="24"/>
        </w:rPr>
        <w:t>（1）病死鸡</w:t>
      </w:r>
      <w:bookmarkEnd w:id="64"/>
      <w:bookmarkEnd w:id="65"/>
      <w:bookmarkEnd w:id="66"/>
      <w:bookmarkEnd w:id="67"/>
    </w:p>
    <w:p w14:paraId="7E171BB3">
      <w:pPr>
        <w:autoSpaceDE w:val="0"/>
        <w:autoSpaceDN w:val="0"/>
        <w:adjustRightInd w:val="0"/>
        <w:spacing w:line="480" w:lineRule="exact"/>
        <w:ind w:firstLine="480" w:firstLineChars="200"/>
        <w:rPr>
          <w:rFonts w:ascii="Times New Roman" w:hAnsi="Times New Roman" w:eastAsia="宋体" w:cs="Times New Roman"/>
          <w:kern w:val="0"/>
          <w:szCs w:val="24"/>
        </w:rPr>
      </w:pPr>
      <w:r>
        <w:rPr>
          <w:rFonts w:ascii="Times New Roman" w:hAnsi="Times New Roman" w:cs="Times New Roman"/>
          <w:kern w:val="0"/>
          <w:szCs w:val="24"/>
        </w:rPr>
        <w:t>根据企业提供及同行业类比的数据，肉鸡死亡率约</w:t>
      </w:r>
      <w:r>
        <w:rPr>
          <w:rFonts w:hint="eastAsia" w:ascii="Times New Roman" w:hAnsi="Times New Roman" w:cs="Times New Roman"/>
          <w:kern w:val="0"/>
          <w:szCs w:val="24"/>
        </w:rPr>
        <w:t>2.5</w:t>
      </w:r>
      <w:r>
        <w:rPr>
          <w:rFonts w:ascii="Times New Roman" w:hAnsi="Times New Roman" w:cs="Times New Roman"/>
          <w:kern w:val="0"/>
          <w:szCs w:val="24"/>
        </w:rPr>
        <w:t>%左右，本项目病死鸡产生量约</w:t>
      </w:r>
      <w:r>
        <w:rPr>
          <w:rFonts w:hint="eastAsia" w:ascii="Times New Roman" w:hAnsi="Times New Roman" w:cs="Times New Roman"/>
          <w:kern w:val="0"/>
          <w:szCs w:val="24"/>
        </w:rPr>
        <w:t>2.5</w:t>
      </w:r>
      <w:r>
        <w:rPr>
          <w:rFonts w:ascii="Times New Roman" w:hAnsi="Times New Roman" w:cs="Times New Roman"/>
          <w:kern w:val="0"/>
          <w:szCs w:val="24"/>
        </w:rPr>
        <w:t>万只/a，体重按1kg计（均重），重量共计</w:t>
      </w:r>
      <w:r>
        <w:rPr>
          <w:rFonts w:hint="eastAsia" w:ascii="Times New Roman" w:hAnsi="Times New Roman" w:cs="Times New Roman"/>
          <w:kern w:val="0"/>
          <w:szCs w:val="24"/>
        </w:rPr>
        <w:t>25</w:t>
      </w:r>
      <w:r>
        <w:rPr>
          <w:rFonts w:ascii="Times New Roman" w:hAnsi="Times New Roman" w:cs="Times New Roman"/>
          <w:kern w:val="0"/>
          <w:szCs w:val="24"/>
        </w:rPr>
        <w:t>t/a，</w:t>
      </w:r>
      <w:r>
        <w:rPr>
          <w:rFonts w:ascii="Times New Roman" w:hAnsi="Times New Roman" w:eastAsia="宋体" w:cs="Times New Roman"/>
          <w:szCs w:val="24"/>
        </w:rPr>
        <w:t>病死鸡及时委托</w:t>
      </w:r>
      <w:r>
        <w:rPr>
          <w:rFonts w:hint="eastAsia" w:ascii="Times New Roman" w:hAnsi="Times New Roman" w:eastAsia="宋体" w:cs="Times New Roman"/>
          <w:szCs w:val="24"/>
        </w:rPr>
        <w:t>泗阳北斗星动物无害化处理有限公司</w:t>
      </w:r>
      <w:r>
        <w:rPr>
          <w:rFonts w:ascii="Times New Roman" w:hAnsi="Times New Roman" w:eastAsia="宋体" w:cs="Times New Roman"/>
          <w:szCs w:val="24"/>
        </w:rPr>
        <w:t>进行无害化处置，如遇特殊情况无法出场，则暂存于固废间的冰柜中制冷，而后再运送至</w:t>
      </w:r>
      <w:r>
        <w:rPr>
          <w:rFonts w:hint="eastAsia" w:ascii="Times New Roman" w:hAnsi="Times New Roman" w:eastAsia="宋体" w:cs="Times New Roman"/>
          <w:szCs w:val="24"/>
        </w:rPr>
        <w:t>泗阳北斗星动物无害化处理有限公司</w:t>
      </w:r>
      <w:r>
        <w:rPr>
          <w:rFonts w:ascii="Times New Roman" w:hAnsi="Times New Roman" w:eastAsia="宋体" w:cs="Times New Roman"/>
          <w:szCs w:val="24"/>
        </w:rPr>
        <w:t>进行无害化处置</w:t>
      </w:r>
      <w:r>
        <w:rPr>
          <w:rFonts w:hint="eastAsia" w:ascii="Times New Roman" w:hAnsi="Times New Roman" w:eastAsia="宋体" w:cs="Times New Roman"/>
          <w:szCs w:val="24"/>
        </w:rPr>
        <w:t>。</w:t>
      </w:r>
    </w:p>
    <w:p w14:paraId="44C86B62">
      <w:pPr>
        <w:autoSpaceDE w:val="0"/>
        <w:autoSpaceDN w:val="0"/>
        <w:adjustRightInd w:val="0"/>
        <w:spacing w:line="480" w:lineRule="exact"/>
        <w:ind w:firstLine="480" w:firstLineChars="200"/>
        <w:rPr>
          <w:rFonts w:ascii="Times New Roman" w:hAnsi="Times New Roman" w:cs="Times New Roman"/>
          <w:kern w:val="0"/>
          <w:szCs w:val="24"/>
        </w:rPr>
      </w:pPr>
      <w:r>
        <w:rPr>
          <w:rFonts w:ascii="Times New Roman" w:hAnsi="Times New Roman" w:cs="Times New Roman"/>
          <w:kern w:val="0"/>
          <w:szCs w:val="24"/>
        </w:rPr>
        <w:t>根据中华人民共和国国务院第450号令《重大动物疫情应急条例》，畜禽养殖业出现重大疫情和传染病时，政府监管部门和养殖业主对出现的病、死畜禽采取集中应急销毁处理制度，此时出现的病、死畜禽不属于养殖业主无公害化处理范围。</w:t>
      </w:r>
    </w:p>
    <w:p w14:paraId="691F1E7E">
      <w:pPr>
        <w:autoSpaceDE w:val="0"/>
        <w:autoSpaceDN w:val="0"/>
        <w:adjustRightInd w:val="0"/>
        <w:spacing w:line="480" w:lineRule="exact"/>
        <w:ind w:firstLine="480" w:firstLineChars="200"/>
        <w:rPr>
          <w:rFonts w:ascii="Times New Roman" w:hAnsi="Times New Roman" w:cs="Times New Roman"/>
          <w:kern w:val="0"/>
          <w:szCs w:val="24"/>
        </w:rPr>
      </w:pPr>
      <w:r>
        <w:rPr>
          <w:rFonts w:ascii="Times New Roman" w:hAnsi="Times New Roman" w:cs="Times New Roman"/>
          <w:kern w:val="0"/>
          <w:szCs w:val="24"/>
        </w:rPr>
        <w:t>本项目所涉及的病死鸡为养殖过程中出现的病、惊吓、营养不良等正常死亡及先天病弱性死亡，根据畜禽养殖行业无公害化规定，本项目对养殖过程出现的正常病死鸡及时委托</w:t>
      </w:r>
      <w:r>
        <w:rPr>
          <w:rFonts w:hint="eastAsia" w:ascii="Times New Roman" w:hAnsi="Times New Roman" w:cs="Times New Roman"/>
          <w:kern w:val="0"/>
          <w:szCs w:val="24"/>
        </w:rPr>
        <w:t>泗阳北斗星动物无害化处理有限公司</w:t>
      </w:r>
      <w:r>
        <w:rPr>
          <w:rFonts w:ascii="Times New Roman" w:hAnsi="Times New Roman" w:cs="Times New Roman"/>
          <w:kern w:val="0"/>
          <w:szCs w:val="24"/>
        </w:rPr>
        <w:t>进行无害化处置。</w:t>
      </w:r>
    </w:p>
    <w:p w14:paraId="14DA0EF9">
      <w:pPr>
        <w:pStyle w:val="2"/>
        <w:spacing w:after="0"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根据《中华人民共和国环境保护部办公厅关于病害动物无害化处理有关意见的复函》（环办函[2014]789号）：“为防治动物传染病而需要收集和处置的废物’被列入《国家危险废物名录》中，编号为900-001-01。但是，根据法律位阶高于部门规章的法律适用规则，病害动物的无害化处理应执行《动物防疫法》。我部认为病害动物无害化处理项目由农业部门按照有关法律法规和技术规范进行监管，可以实现病害动物无害化处理和环境污染防控的目的，不宜再认定为危险废物集中处置项目”，根据以上规定，病死鸡不属于危险废物。</w:t>
      </w:r>
    </w:p>
    <w:p w14:paraId="4BF4F3EB">
      <w:pPr>
        <w:autoSpaceDE w:val="0"/>
        <w:autoSpaceDN w:val="0"/>
        <w:adjustRightInd w:val="0"/>
        <w:spacing w:line="480" w:lineRule="exact"/>
        <w:ind w:firstLine="480" w:firstLineChars="200"/>
        <w:outlineLvl w:val="1"/>
        <w:rPr>
          <w:rFonts w:ascii="Times New Roman" w:hAnsi="Times New Roman" w:cs="Times New Roman"/>
          <w:kern w:val="0"/>
          <w:szCs w:val="24"/>
        </w:rPr>
      </w:pPr>
      <w:bookmarkStart w:id="68" w:name="_Toc9374"/>
      <w:bookmarkStart w:id="69" w:name="_Toc1946"/>
      <w:bookmarkStart w:id="70" w:name="_Toc31098"/>
      <w:bookmarkStart w:id="71" w:name="_Toc6516"/>
      <w:r>
        <w:rPr>
          <w:rFonts w:ascii="Times New Roman" w:hAnsi="Times New Roman" w:cs="Times New Roman"/>
          <w:kern w:val="0"/>
          <w:szCs w:val="24"/>
        </w:rPr>
        <w:t>（2）鸡粪</w:t>
      </w:r>
      <w:bookmarkEnd w:id="68"/>
      <w:bookmarkEnd w:id="69"/>
      <w:bookmarkEnd w:id="70"/>
      <w:bookmarkEnd w:id="71"/>
    </w:p>
    <w:p w14:paraId="5129824F">
      <w:pPr>
        <w:autoSpaceDE w:val="0"/>
        <w:autoSpaceDN w:val="0"/>
        <w:adjustRightInd w:val="0"/>
        <w:spacing w:line="480" w:lineRule="exact"/>
        <w:ind w:firstLine="480" w:firstLineChars="200"/>
        <w:rPr>
          <w:rFonts w:ascii="Times New Roman" w:hAnsi="Times New Roman" w:cs="Times New Roman"/>
          <w:kern w:val="0"/>
          <w:szCs w:val="24"/>
        </w:rPr>
      </w:pPr>
      <w:r>
        <w:rPr>
          <w:rFonts w:ascii="Times New Roman" w:hAnsi="Times New Roman" w:cs="Times New Roman"/>
          <w:kern w:val="0"/>
          <w:szCs w:val="24"/>
        </w:rPr>
        <w:t>项目年出栏肉鸡</w:t>
      </w:r>
      <w:r>
        <w:rPr>
          <w:rFonts w:hint="eastAsia" w:ascii="Times New Roman" w:hAnsi="Times New Roman" w:cs="Times New Roman"/>
          <w:kern w:val="0"/>
          <w:szCs w:val="24"/>
        </w:rPr>
        <w:t>5</w:t>
      </w:r>
      <w:r>
        <w:rPr>
          <w:rFonts w:ascii="Times New Roman" w:hAnsi="Times New Roman" w:cs="Times New Roman"/>
          <w:kern w:val="0"/>
          <w:szCs w:val="24"/>
        </w:rPr>
        <w:t>批次，每批次</w:t>
      </w:r>
      <w:r>
        <w:rPr>
          <w:rFonts w:hint="eastAsia" w:ascii="Times New Roman" w:hAnsi="Times New Roman" w:cs="Times New Roman"/>
          <w:kern w:val="0"/>
          <w:szCs w:val="24"/>
        </w:rPr>
        <w:t>20</w:t>
      </w:r>
      <w:r>
        <w:rPr>
          <w:rFonts w:ascii="Times New Roman" w:hAnsi="Times New Roman" w:cs="Times New Roman"/>
          <w:kern w:val="0"/>
          <w:szCs w:val="24"/>
        </w:rPr>
        <w:t>万只，出栏时间为4</w:t>
      </w:r>
      <w:r>
        <w:rPr>
          <w:rFonts w:hint="eastAsia" w:ascii="Times New Roman" w:hAnsi="Times New Roman" w:cs="Times New Roman"/>
          <w:kern w:val="0"/>
          <w:szCs w:val="24"/>
        </w:rPr>
        <w:t>5</w:t>
      </w:r>
      <w:r>
        <w:rPr>
          <w:rFonts w:ascii="Times New Roman" w:hAnsi="Times New Roman" w:cs="Times New Roman"/>
          <w:kern w:val="0"/>
          <w:szCs w:val="24"/>
        </w:rPr>
        <w:t>d，全年出栏</w:t>
      </w:r>
      <w:r>
        <w:rPr>
          <w:rFonts w:hint="eastAsia" w:ascii="Times New Roman" w:hAnsi="Times New Roman" w:cs="Times New Roman"/>
          <w:kern w:val="0"/>
          <w:szCs w:val="24"/>
        </w:rPr>
        <w:t>100</w:t>
      </w:r>
      <w:r>
        <w:rPr>
          <w:rFonts w:ascii="Times New Roman" w:hAnsi="Times New Roman" w:cs="Times New Roman"/>
          <w:kern w:val="0"/>
          <w:szCs w:val="24"/>
        </w:rPr>
        <w:t>万只肉鸡。根据《排污许可证申请与核发技术规范 畜禽养殖行业》（HJ1029-2019），肉鸡饲养粪便产生量为0.11kg/d·只，本项目鸡粪产生总量为</w:t>
      </w:r>
      <w:r>
        <w:rPr>
          <w:rFonts w:hint="eastAsia" w:ascii="Times New Roman" w:hAnsi="Times New Roman" w:cs="Times New Roman"/>
          <w:bCs/>
          <w:szCs w:val="24"/>
        </w:rPr>
        <w:t>4950</w:t>
      </w:r>
      <w:r>
        <w:rPr>
          <w:rFonts w:ascii="Times New Roman" w:hAnsi="Times New Roman" w:cs="Times New Roman"/>
          <w:kern w:val="0"/>
          <w:szCs w:val="24"/>
        </w:rPr>
        <w:t>t/a。</w:t>
      </w:r>
    </w:p>
    <w:p w14:paraId="1ACD0604">
      <w:pPr>
        <w:autoSpaceDE w:val="0"/>
        <w:autoSpaceDN w:val="0"/>
        <w:adjustRightInd w:val="0"/>
        <w:spacing w:line="480" w:lineRule="exact"/>
        <w:ind w:firstLine="480" w:firstLineChars="200"/>
        <w:rPr>
          <w:rFonts w:ascii="Times New Roman" w:hAnsi="Times New Roman" w:cs="Times New Roman"/>
          <w:kern w:val="0"/>
          <w:szCs w:val="24"/>
        </w:rPr>
      </w:pPr>
      <w:r>
        <w:rPr>
          <w:rFonts w:ascii="Times New Roman" w:hAnsi="Times New Roman" w:cs="Times New Roman"/>
          <w:kern w:val="0"/>
          <w:szCs w:val="24"/>
        </w:rPr>
        <w:t>项目鸡舍采用履带式干清粪，自动化程度高，日产日清，清出的鸡粪临时存放于</w:t>
      </w:r>
      <w:r>
        <w:rPr>
          <w:rFonts w:hint="eastAsia" w:ascii="Times New Roman" w:hAnsi="Times New Roman" w:cs="Times New Roman"/>
          <w:kern w:val="0"/>
          <w:szCs w:val="24"/>
        </w:rPr>
        <w:t>鸡粪暂存库</w:t>
      </w:r>
      <w:r>
        <w:rPr>
          <w:rFonts w:ascii="Times New Roman" w:hAnsi="Times New Roman" w:cs="Times New Roman"/>
          <w:kern w:val="0"/>
          <w:szCs w:val="24"/>
        </w:rPr>
        <w:t>，每天由专车运至鸡粪协议处置单位综合利用。</w:t>
      </w:r>
    </w:p>
    <w:p w14:paraId="43599617">
      <w:pPr>
        <w:autoSpaceDE w:val="0"/>
        <w:autoSpaceDN w:val="0"/>
        <w:adjustRightInd w:val="0"/>
        <w:spacing w:line="480" w:lineRule="exact"/>
        <w:ind w:firstLine="480" w:firstLineChars="200"/>
        <w:outlineLvl w:val="1"/>
        <w:rPr>
          <w:rFonts w:ascii="Times New Roman" w:hAnsi="Times New Roman" w:cs="Times New Roman"/>
          <w:kern w:val="0"/>
          <w:szCs w:val="24"/>
        </w:rPr>
      </w:pPr>
      <w:bookmarkStart w:id="72" w:name="_Toc10456"/>
      <w:bookmarkStart w:id="73" w:name="_Toc5414"/>
      <w:bookmarkStart w:id="74" w:name="_Toc25660"/>
      <w:bookmarkStart w:id="75" w:name="_Toc8250"/>
      <w:r>
        <w:rPr>
          <w:rFonts w:ascii="Times New Roman" w:hAnsi="Times New Roman" w:cs="Times New Roman"/>
          <w:kern w:val="0"/>
          <w:szCs w:val="24"/>
        </w:rPr>
        <w:t>（3）废包装</w:t>
      </w:r>
      <w:bookmarkEnd w:id="72"/>
      <w:bookmarkEnd w:id="73"/>
      <w:bookmarkEnd w:id="74"/>
      <w:bookmarkEnd w:id="75"/>
    </w:p>
    <w:p w14:paraId="3EE5213D">
      <w:pPr>
        <w:autoSpaceDE w:val="0"/>
        <w:autoSpaceDN w:val="0"/>
        <w:adjustRightInd w:val="0"/>
        <w:spacing w:line="480" w:lineRule="exact"/>
        <w:ind w:firstLine="480" w:firstLineChars="200"/>
        <w:rPr>
          <w:rFonts w:ascii="Times New Roman" w:hAnsi="Times New Roman" w:cs="Times New Roman"/>
          <w:kern w:val="0"/>
          <w:szCs w:val="24"/>
        </w:rPr>
      </w:pPr>
      <w:r>
        <w:rPr>
          <w:rFonts w:ascii="Times New Roman" w:hAnsi="Times New Roman" w:cs="Times New Roman"/>
          <w:kern w:val="0"/>
          <w:szCs w:val="24"/>
        </w:rPr>
        <w:t>项目运营过程中会产生一些一般包装废弃物，废弃包装产生量约为2t/a，集中收集后外售利用。</w:t>
      </w:r>
    </w:p>
    <w:p w14:paraId="49BEAF8F">
      <w:pPr>
        <w:autoSpaceDE w:val="0"/>
        <w:autoSpaceDN w:val="0"/>
        <w:adjustRightInd w:val="0"/>
        <w:spacing w:line="480" w:lineRule="exact"/>
        <w:ind w:firstLine="480" w:firstLineChars="200"/>
        <w:outlineLvl w:val="1"/>
        <w:rPr>
          <w:rFonts w:ascii="Times New Roman" w:hAnsi="Times New Roman" w:cs="Times New Roman"/>
          <w:kern w:val="0"/>
          <w:szCs w:val="24"/>
        </w:rPr>
      </w:pPr>
      <w:bookmarkStart w:id="76" w:name="_Toc22672"/>
      <w:bookmarkStart w:id="77" w:name="_Toc31118"/>
      <w:bookmarkStart w:id="78" w:name="_Toc30386"/>
      <w:bookmarkStart w:id="79" w:name="_Toc18766"/>
      <w:r>
        <w:rPr>
          <w:rFonts w:ascii="Times New Roman" w:hAnsi="Times New Roman" w:cs="Times New Roman"/>
          <w:kern w:val="0"/>
          <w:szCs w:val="24"/>
        </w:rPr>
        <w:t>（4）医疗废物</w:t>
      </w:r>
      <w:bookmarkEnd w:id="76"/>
      <w:bookmarkEnd w:id="77"/>
      <w:bookmarkEnd w:id="78"/>
      <w:bookmarkEnd w:id="79"/>
    </w:p>
    <w:p w14:paraId="5639732F">
      <w:pPr>
        <w:autoSpaceDE w:val="0"/>
        <w:autoSpaceDN w:val="0"/>
        <w:adjustRightInd w:val="0"/>
        <w:spacing w:line="480" w:lineRule="exact"/>
        <w:ind w:firstLine="480" w:firstLineChars="200"/>
        <w:rPr>
          <w:rFonts w:ascii="Times New Roman" w:hAnsi="Times New Roman" w:cs="Times New Roman"/>
          <w:kern w:val="0"/>
          <w:szCs w:val="24"/>
        </w:rPr>
      </w:pPr>
      <w:r>
        <w:rPr>
          <w:rFonts w:ascii="Times New Roman" w:hAnsi="Times New Roman" w:cs="Times New Roman"/>
          <w:kern w:val="0"/>
          <w:szCs w:val="24"/>
        </w:rPr>
        <w:t>项目消毒剂及药品使用过程产生中会产生医疗废物，产生量合计约0.</w:t>
      </w:r>
      <w:r>
        <w:rPr>
          <w:rFonts w:hint="eastAsia" w:ascii="Times New Roman" w:hAnsi="Times New Roman" w:cs="Times New Roman"/>
          <w:kern w:val="0"/>
          <w:szCs w:val="24"/>
        </w:rPr>
        <w:t>1</w:t>
      </w:r>
      <w:r>
        <w:rPr>
          <w:rFonts w:ascii="Times New Roman" w:hAnsi="Times New Roman" w:cs="Times New Roman"/>
          <w:kern w:val="0"/>
          <w:szCs w:val="24"/>
        </w:rPr>
        <w:t>t/a，委托有资质单位</w:t>
      </w:r>
      <w:r>
        <w:rPr>
          <w:rFonts w:hint="eastAsia" w:ascii="Times New Roman" w:hAnsi="Times New Roman" w:cs="Times New Roman"/>
          <w:kern w:val="0"/>
          <w:szCs w:val="24"/>
        </w:rPr>
        <w:t>安全</w:t>
      </w:r>
      <w:r>
        <w:rPr>
          <w:rFonts w:ascii="Times New Roman" w:hAnsi="Times New Roman" w:cs="Times New Roman"/>
          <w:kern w:val="0"/>
          <w:szCs w:val="24"/>
        </w:rPr>
        <w:t>处置。</w:t>
      </w:r>
    </w:p>
    <w:p w14:paraId="091A9DE2">
      <w:pPr>
        <w:autoSpaceDE w:val="0"/>
        <w:autoSpaceDN w:val="0"/>
        <w:adjustRightInd w:val="0"/>
        <w:spacing w:line="480" w:lineRule="exact"/>
        <w:ind w:firstLine="480" w:firstLineChars="200"/>
        <w:outlineLvl w:val="1"/>
        <w:rPr>
          <w:rFonts w:ascii="Times New Roman" w:hAnsi="Times New Roman" w:cs="Times New Roman"/>
          <w:kern w:val="0"/>
          <w:szCs w:val="24"/>
        </w:rPr>
      </w:pPr>
      <w:bookmarkStart w:id="80" w:name="_Toc11585"/>
      <w:bookmarkStart w:id="81" w:name="_Toc25479"/>
      <w:bookmarkStart w:id="82" w:name="_Toc13837"/>
      <w:bookmarkStart w:id="83" w:name="_Toc17428"/>
      <w:r>
        <w:rPr>
          <w:rFonts w:ascii="Times New Roman" w:hAnsi="Times New Roman" w:cs="Times New Roman"/>
          <w:kern w:val="0"/>
          <w:szCs w:val="24"/>
        </w:rPr>
        <w:t>（5）污泥</w:t>
      </w:r>
      <w:bookmarkEnd w:id="80"/>
      <w:bookmarkEnd w:id="81"/>
      <w:bookmarkEnd w:id="82"/>
      <w:bookmarkEnd w:id="83"/>
    </w:p>
    <w:p w14:paraId="3D1D437D">
      <w:pPr>
        <w:autoSpaceDE w:val="0"/>
        <w:autoSpaceDN w:val="0"/>
        <w:adjustRightInd w:val="0"/>
        <w:spacing w:line="480" w:lineRule="exact"/>
        <w:ind w:firstLine="480" w:firstLineChars="200"/>
        <w:rPr>
          <w:rFonts w:ascii="Times New Roman" w:hAnsi="Times New Roman" w:cs="Times New Roman"/>
          <w:kern w:val="0"/>
          <w:szCs w:val="24"/>
        </w:rPr>
      </w:pPr>
      <w:r>
        <w:rPr>
          <w:rFonts w:ascii="Times New Roman" w:hAnsi="Times New Roman" w:cs="Times New Roman"/>
          <w:kern w:val="0"/>
          <w:szCs w:val="24"/>
        </w:rPr>
        <w:t>项目废水处理过程去除的SS量</w:t>
      </w:r>
      <w:r>
        <w:rPr>
          <w:rFonts w:hint="eastAsia" w:ascii="Times New Roman" w:hAnsi="Times New Roman" w:cs="Times New Roman"/>
          <w:kern w:val="0"/>
          <w:szCs w:val="24"/>
        </w:rPr>
        <w:t>约</w:t>
      </w:r>
      <w:r>
        <w:rPr>
          <w:rFonts w:ascii="Times New Roman" w:hAnsi="Times New Roman" w:cs="Times New Roman"/>
          <w:kern w:val="0"/>
          <w:szCs w:val="24"/>
        </w:rPr>
        <w:t>为0.</w:t>
      </w:r>
      <w:r>
        <w:rPr>
          <w:rFonts w:hint="eastAsia" w:ascii="Times New Roman" w:hAnsi="Times New Roman" w:cs="Times New Roman"/>
          <w:kern w:val="0"/>
          <w:szCs w:val="24"/>
        </w:rPr>
        <w:t>84</w:t>
      </w:r>
      <w:r>
        <w:rPr>
          <w:rFonts w:ascii="Times New Roman" w:hAnsi="Times New Roman" w:cs="Times New Roman"/>
          <w:kern w:val="0"/>
          <w:szCs w:val="24"/>
        </w:rPr>
        <w:t>t/a，污泥含水率</w:t>
      </w:r>
      <w:r>
        <w:rPr>
          <w:rFonts w:hint="eastAsia" w:ascii="Times New Roman" w:hAnsi="Times New Roman" w:cs="Times New Roman"/>
          <w:kern w:val="0"/>
          <w:szCs w:val="24"/>
        </w:rPr>
        <w:t>约</w:t>
      </w:r>
      <w:r>
        <w:rPr>
          <w:rFonts w:ascii="Times New Roman" w:hAnsi="Times New Roman" w:cs="Times New Roman"/>
          <w:kern w:val="0"/>
          <w:szCs w:val="24"/>
        </w:rPr>
        <w:t>90%，则污泥产生量</w:t>
      </w:r>
      <w:r>
        <w:rPr>
          <w:rFonts w:hint="eastAsia" w:ascii="Times New Roman" w:hAnsi="Times New Roman" w:cs="Times New Roman"/>
          <w:kern w:val="0"/>
          <w:szCs w:val="24"/>
        </w:rPr>
        <w:t>约8.4</w:t>
      </w:r>
      <w:r>
        <w:rPr>
          <w:rFonts w:ascii="Times New Roman" w:hAnsi="Times New Roman" w:cs="Times New Roman"/>
          <w:kern w:val="0"/>
          <w:szCs w:val="24"/>
        </w:rPr>
        <w:t>t/a。</w:t>
      </w:r>
    </w:p>
    <w:p w14:paraId="66061B47">
      <w:pPr>
        <w:autoSpaceDE w:val="0"/>
        <w:autoSpaceDN w:val="0"/>
        <w:adjustRightInd w:val="0"/>
        <w:spacing w:line="480" w:lineRule="exact"/>
        <w:ind w:firstLine="480" w:firstLineChars="200"/>
        <w:outlineLvl w:val="1"/>
        <w:rPr>
          <w:rFonts w:ascii="Times New Roman" w:hAnsi="Times New Roman" w:eastAsia="宋体" w:cs="Times New Roman"/>
          <w:kern w:val="0"/>
          <w:szCs w:val="24"/>
        </w:rPr>
      </w:pPr>
      <w:bookmarkStart w:id="84" w:name="_Toc17678"/>
      <w:bookmarkStart w:id="85" w:name="_Toc5824"/>
      <w:bookmarkStart w:id="86" w:name="_Toc6069"/>
      <w:bookmarkStart w:id="87" w:name="_Toc22787"/>
      <w:r>
        <w:rPr>
          <w:rFonts w:ascii="Times New Roman" w:hAnsi="Times New Roman" w:cs="Times New Roman"/>
          <w:kern w:val="0"/>
          <w:szCs w:val="24"/>
        </w:rPr>
        <w:t>（</w:t>
      </w:r>
      <w:r>
        <w:rPr>
          <w:rFonts w:hint="eastAsia" w:ascii="Times New Roman" w:hAnsi="Times New Roman" w:cs="Times New Roman"/>
          <w:kern w:val="0"/>
          <w:szCs w:val="24"/>
        </w:rPr>
        <w:t>6</w:t>
      </w:r>
      <w:r>
        <w:rPr>
          <w:rFonts w:ascii="Times New Roman" w:hAnsi="Times New Roman" w:cs="Times New Roman"/>
          <w:kern w:val="0"/>
          <w:szCs w:val="24"/>
        </w:rPr>
        <w:t>）饲料残渣及散落羽毛</w:t>
      </w:r>
      <w:bookmarkEnd w:id="84"/>
      <w:bookmarkEnd w:id="85"/>
      <w:bookmarkEnd w:id="86"/>
      <w:bookmarkEnd w:id="87"/>
    </w:p>
    <w:p w14:paraId="4D4DB795">
      <w:pPr>
        <w:widowControl/>
        <w:spacing w:line="480" w:lineRule="exact"/>
        <w:ind w:firstLine="480" w:firstLineChars="200"/>
        <w:jc w:val="left"/>
        <w:rPr>
          <w:rFonts w:ascii="Times New Roman" w:hAnsi="Times New Roman" w:eastAsia="宋体" w:cs="Times New Roman"/>
          <w:szCs w:val="24"/>
        </w:rPr>
      </w:pPr>
      <w:r>
        <w:rPr>
          <w:rFonts w:ascii="Times New Roman" w:hAnsi="Times New Roman" w:eastAsia="宋体" w:cs="Times New Roman"/>
          <w:szCs w:val="24"/>
        </w:rPr>
        <w:t>本项目养殖过程中，鸡舍会产生饲料残渣和散落羽毛，根据企业提供资料，产生量为</w:t>
      </w:r>
      <w:r>
        <w:rPr>
          <w:rFonts w:hint="eastAsia" w:ascii="Times New Roman" w:hAnsi="Times New Roman" w:eastAsia="宋体" w:cs="Times New Roman"/>
          <w:szCs w:val="24"/>
        </w:rPr>
        <w:t>5</w:t>
      </w:r>
      <w:r>
        <w:rPr>
          <w:rFonts w:ascii="Times New Roman" w:hAnsi="Times New Roman" w:eastAsia="宋体" w:cs="Times New Roman"/>
          <w:szCs w:val="24"/>
        </w:rPr>
        <w:t>t/a，收集后外售综合利用。</w:t>
      </w:r>
    </w:p>
    <w:p w14:paraId="78B6E3D0">
      <w:pPr>
        <w:widowControl/>
        <w:numPr>
          <w:ilvl w:val="0"/>
          <w:numId w:val="5"/>
        </w:numPr>
        <w:spacing w:line="480" w:lineRule="exact"/>
        <w:ind w:firstLine="480" w:firstLineChars="200"/>
        <w:jc w:val="left"/>
        <w:rPr>
          <w:rFonts w:ascii="Times New Roman" w:hAnsi="Times New Roman" w:eastAsia="宋体" w:cs="Times New Roman"/>
          <w:szCs w:val="24"/>
        </w:rPr>
      </w:pPr>
      <w:bookmarkStart w:id="88" w:name="_Toc13024"/>
      <w:bookmarkStart w:id="89" w:name="_Toc26895"/>
      <w:r>
        <w:rPr>
          <w:rFonts w:ascii="Times New Roman" w:hAnsi="Times New Roman" w:eastAsia="宋体" w:cs="Times New Roman"/>
          <w:szCs w:val="24"/>
        </w:rPr>
        <w:t>废树脂</w:t>
      </w:r>
    </w:p>
    <w:p w14:paraId="1BFEB366">
      <w:pPr>
        <w:widowControl/>
        <w:spacing w:line="480" w:lineRule="exact"/>
        <w:ind w:firstLine="480" w:firstLineChars="200"/>
        <w:jc w:val="left"/>
        <w:rPr>
          <w:rFonts w:ascii="Times New Roman" w:hAnsi="Times New Roman" w:eastAsia="宋体" w:cs="Times New Roman"/>
          <w:szCs w:val="24"/>
        </w:rPr>
      </w:pPr>
      <w:r>
        <w:rPr>
          <w:rFonts w:ascii="Times New Roman" w:hAnsi="Times New Roman" w:eastAsia="宋体" w:cs="Times New Roman"/>
          <w:szCs w:val="24"/>
        </w:rPr>
        <w:t>项目采用离子交换树脂</w:t>
      </w:r>
      <w:r>
        <w:rPr>
          <w:rFonts w:hint="eastAsia" w:ascii="Times New Roman" w:hAnsi="Times New Roman" w:eastAsia="宋体" w:cs="Times New Roman"/>
          <w:szCs w:val="24"/>
        </w:rPr>
        <w:t>软水</w:t>
      </w:r>
      <w:r>
        <w:rPr>
          <w:rFonts w:ascii="Times New Roman" w:hAnsi="Times New Roman" w:eastAsia="宋体" w:cs="Times New Roman"/>
          <w:szCs w:val="24"/>
        </w:rPr>
        <w:t>制备系统，生产过程中会产生废树脂，产生量约0.</w:t>
      </w:r>
      <w:r>
        <w:rPr>
          <w:rFonts w:hint="eastAsia" w:ascii="Times New Roman" w:hAnsi="Times New Roman" w:eastAsia="宋体" w:cs="Times New Roman"/>
          <w:szCs w:val="24"/>
        </w:rPr>
        <w:t>1</w:t>
      </w:r>
      <w:r>
        <w:rPr>
          <w:rFonts w:ascii="Times New Roman" w:hAnsi="Times New Roman" w:eastAsia="宋体" w:cs="Times New Roman"/>
          <w:szCs w:val="24"/>
        </w:rPr>
        <w:t>t/a。</w:t>
      </w:r>
    </w:p>
    <w:p w14:paraId="27126CB9">
      <w:pPr>
        <w:autoSpaceDE w:val="0"/>
        <w:autoSpaceDN w:val="0"/>
        <w:adjustRightInd w:val="0"/>
        <w:spacing w:line="480" w:lineRule="exact"/>
        <w:ind w:firstLine="480" w:firstLineChars="200"/>
        <w:outlineLvl w:val="1"/>
        <w:rPr>
          <w:rFonts w:ascii="Times New Roman" w:hAnsi="Times New Roman" w:cs="Times New Roman"/>
          <w:kern w:val="0"/>
          <w:szCs w:val="24"/>
        </w:rPr>
      </w:pPr>
      <w:bookmarkStart w:id="90" w:name="_Toc9906"/>
      <w:bookmarkStart w:id="91" w:name="_Toc2758"/>
      <w:r>
        <w:rPr>
          <w:rFonts w:ascii="Times New Roman" w:hAnsi="Times New Roman" w:cs="Times New Roman"/>
          <w:kern w:val="0"/>
          <w:szCs w:val="24"/>
        </w:rPr>
        <w:t>（</w:t>
      </w:r>
      <w:r>
        <w:rPr>
          <w:rFonts w:hint="eastAsia" w:ascii="Times New Roman" w:hAnsi="Times New Roman" w:cs="Times New Roman"/>
          <w:kern w:val="0"/>
          <w:szCs w:val="24"/>
          <w:lang w:val="en-US" w:eastAsia="zh-CN"/>
        </w:rPr>
        <w:t>8</w:t>
      </w:r>
      <w:r>
        <w:rPr>
          <w:rFonts w:ascii="Times New Roman" w:hAnsi="Times New Roman" w:cs="Times New Roman"/>
          <w:kern w:val="0"/>
          <w:szCs w:val="24"/>
        </w:rPr>
        <w:t>）生活垃圾</w:t>
      </w:r>
      <w:bookmarkEnd w:id="88"/>
      <w:bookmarkEnd w:id="89"/>
      <w:bookmarkEnd w:id="90"/>
      <w:bookmarkEnd w:id="91"/>
    </w:p>
    <w:p w14:paraId="77254321">
      <w:pPr>
        <w:autoSpaceDE w:val="0"/>
        <w:autoSpaceDN w:val="0"/>
        <w:adjustRightInd w:val="0"/>
        <w:spacing w:line="480" w:lineRule="exact"/>
        <w:ind w:firstLine="480" w:firstLineChars="200"/>
        <w:rPr>
          <w:rFonts w:ascii="Times New Roman" w:hAnsi="Times New Roman" w:cs="Times New Roman"/>
          <w:kern w:val="0"/>
          <w:szCs w:val="24"/>
        </w:rPr>
      </w:pPr>
      <w:r>
        <w:rPr>
          <w:rFonts w:ascii="Times New Roman" w:hAnsi="Times New Roman" w:cs="Times New Roman"/>
          <w:kern w:val="0"/>
          <w:szCs w:val="24"/>
        </w:rPr>
        <w:t>职工生活垃圾产生量按每人0.5kg/d计，项目职工人数</w:t>
      </w:r>
      <w:r>
        <w:rPr>
          <w:rFonts w:hint="eastAsia" w:ascii="Times New Roman" w:hAnsi="Times New Roman" w:cs="Times New Roman"/>
          <w:kern w:val="0"/>
          <w:szCs w:val="24"/>
        </w:rPr>
        <w:t>20</w:t>
      </w:r>
      <w:r>
        <w:rPr>
          <w:rFonts w:ascii="Times New Roman" w:hAnsi="Times New Roman" w:cs="Times New Roman"/>
          <w:kern w:val="0"/>
          <w:szCs w:val="24"/>
        </w:rPr>
        <w:t>人，则生活垃圾产生量约为</w:t>
      </w:r>
      <w:r>
        <w:rPr>
          <w:rFonts w:hint="eastAsia" w:ascii="Times New Roman" w:hAnsi="Times New Roman" w:cs="Times New Roman"/>
          <w:kern w:val="0"/>
          <w:szCs w:val="24"/>
        </w:rPr>
        <w:t>3</w:t>
      </w:r>
      <w:r>
        <w:rPr>
          <w:rFonts w:ascii="Times New Roman" w:hAnsi="Times New Roman" w:cs="Times New Roman"/>
          <w:kern w:val="0"/>
          <w:szCs w:val="24"/>
        </w:rPr>
        <w:t>t/a，由环卫部门清运处理。</w:t>
      </w:r>
    </w:p>
    <w:p w14:paraId="606F45DE">
      <w:pPr>
        <w:adjustRightInd w:val="0"/>
        <w:spacing w:line="480" w:lineRule="exact"/>
        <w:ind w:firstLine="480" w:firstLineChars="200"/>
        <w:rPr>
          <w:rFonts w:ascii="Times New Roman"/>
          <w:bCs/>
          <w:szCs w:val="24"/>
        </w:rPr>
      </w:pPr>
      <w:r>
        <w:rPr>
          <w:rFonts w:ascii="Times New Roman" w:hAnsi="宋体"/>
          <w:szCs w:val="24"/>
        </w:rPr>
        <w:t>根据《中华人民共和国固体废物污染环境防治法》、《固体废物鉴别标准</w:t>
      </w:r>
      <w:r>
        <w:rPr>
          <w:rFonts w:ascii="Times New Roman"/>
          <w:szCs w:val="24"/>
        </w:rPr>
        <w:t xml:space="preserve"> </w:t>
      </w:r>
      <w:r>
        <w:rPr>
          <w:rFonts w:ascii="Times New Roman" w:hAnsi="宋体"/>
          <w:szCs w:val="24"/>
        </w:rPr>
        <w:t>通则》（</w:t>
      </w:r>
      <w:r>
        <w:rPr>
          <w:rFonts w:ascii="Times New Roman"/>
          <w:szCs w:val="24"/>
        </w:rPr>
        <w:t>GB 34330-2017</w:t>
      </w:r>
      <w:r>
        <w:rPr>
          <w:rFonts w:ascii="Times New Roman" w:hAnsi="宋体"/>
          <w:szCs w:val="24"/>
        </w:rPr>
        <w:t>），对建设项目产生的物质）（除目标产物，即：产品、副产品外），依据产生来源、利用和处置过程鉴别是否属于固体废物，副产物属性判断见表</w:t>
      </w:r>
      <w:r>
        <w:rPr>
          <w:rFonts w:ascii="Times New Roman"/>
          <w:szCs w:val="24"/>
        </w:rPr>
        <w:t>3.</w:t>
      </w:r>
      <w:r>
        <w:rPr>
          <w:rFonts w:hint="eastAsia" w:ascii="Times New Roman"/>
          <w:szCs w:val="24"/>
        </w:rPr>
        <w:t>7-9</w:t>
      </w:r>
      <w:r>
        <w:rPr>
          <w:rFonts w:ascii="Times New Roman" w:hAnsi="宋体"/>
          <w:szCs w:val="24"/>
        </w:rPr>
        <w:t>。</w:t>
      </w:r>
    </w:p>
    <w:p w14:paraId="5873180C">
      <w:pPr>
        <w:spacing w:line="480" w:lineRule="exact"/>
        <w:ind w:firstLine="480" w:firstLineChars="200"/>
        <w:sectPr>
          <w:pgSz w:w="11906" w:h="16838"/>
          <w:pgMar w:top="1417" w:right="1417" w:bottom="1417" w:left="1417" w:header="1021" w:footer="1134" w:gutter="0"/>
          <w:pgNumType w:fmt="decimal"/>
          <w:cols w:space="425" w:num="1"/>
          <w:docGrid w:type="lines" w:linePitch="326" w:charSpace="0"/>
        </w:sectPr>
      </w:pPr>
    </w:p>
    <w:p w14:paraId="30E48EC4">
      <w:pPr>
        <w:pStyle w:val="31"/>
        <w:spacing w:before="0" w:line="480" w:lineRule="exact"/>
      </w:pPr>
      <w:r>
        <w:rPr>
          <w:rFonts w:hint="eastAsia"/>
        </w:rPr>
        <w:t>表</w:t>
      </w:r>
      <w:r>
        <w:t>3.7-9</w:t>
      </w:r>
      <w:r>
        <w:rPr>
          <w:rFonts w:hint="eastAsia"/>
        </w:rPr>
        <w:t xml:space="preserve"> </w:t>
      </w:r>
      <w:r>
        <w:t xml:space="preserve"> </w:t>
      </w:r>
      <w:r>
        <w:rPr>
          <w:rFonts w:ascii="Times New Roman" w:hAnsi="宋体"/>
          <w:szCs w:val="24"/>
        </w:rPr>
        <w:t>建设项目副产物属性判定表</w:t>
      </w:r>
    </w:p>
    <w:tbl>
      <w:tblPr>
        <w:tblStyle w:val="41"/>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1834"/>
        <w:gridCol w:w="1553"/>
        <w:gridCol w:w="1069"/>
        <w:gridCol w:w="2457"/>
        <w:gridCol w:w="1575"/>
        <w:gridCol w:w="1143"/>
        <w:gridCol w:w="1126"/>
        <w:gridCol w:w="2775"/>
      </w:tblGrid>
      <w:tr w14:paraId="3CFDFD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8" w:type="pct"/>
            <w:vMerge w:val="restart"/>
            <w:tcBorders>
              <w:tl2br w:val="nil"/>
              <w:tr2bl w:val="nil"/>
            </w:tcBorders>
            <w:vAlign w:val="center"/>
          </w:tcPr>
          <w:p w14:paraId="421FBFB4">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序号</w:t>
            </w:r>
          </w:p>
        </w:tc>
        <w:tc>
          <w:tcPr>
            <w:tcW w:w="645" w:type="pct"/>
            <w:vMerge w:val="restart"/>
            <w:tcBorders>
              <w:tl2br w:val="nil"/>
              <w:tr2bl w:val="nil"/>
            </w:tcBorders>
            <w:vAlign w:val="center"/>
          </w:tcPr>
          <w:p w14:paraId="2CE94D3C">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副产物名称</w:t>
            </w:r>
          </w:p>
        </w:tc>
        <w:tc>
          <w:tcPr>
            <w:tcW w:w="546" w:type="pct"/>
            <w:vMerge w:val="restart"/>
            <w:tcBorders>
              <w:tl2br w:val="nil"/>
              <w:tr2bl w:val="nil"/>
            </w:tcBorders>
            <w:vAlign w:val="center"/>
          </w:tcPr>
          <w:p w14:paraId="7B7C2871">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产生工序</w:t>
            </w:r>
          </w:p>
        </w:tc>
        <w:tc>
          <w:tcPr>
            <w:tcW w:w="376" w:type="pct"/>
            <w:vMerge w:val="restart"/>
            <w:tcBorders>
              <w:tl2br w:val="nil"/>
              <w:tr2bl w:val="nil"/>
            </w:tcBorders>
            <w:vAlign w:val="center"/>
          </w:tcPr>
          <w:p w14:paraId="422DF5DC">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形态</w:t>
            </w:r>
          </w:p>
        </w:tc>
        <w:tc>
          <w:tcPr>
            <w:tcW w:w="864" w:type="pct"/>
            <w:vMerge w:val="restart"/>
            <w:tcBorders>
              <w:tl2br w:val="nil"/>
              <w:tr2bl w:val="nil"/>
            </w:tcBorders>
            <w:vAlign w:val="center"/>
          </w:tcPr>
          <w:p w14:paraId="6D63F8A8">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主要成分</w:t>
            </w:r>
          </w:p>
        </w:tc>
        <w:tc>
          <w:tcPr>
            <w:tcW w:w="554" w:type="pct"/>
            <w:vMerge w:val="restart"/>
            <w:tcBorders>
              <w:tl2br w:val="nil"/>
              <w:tr2bl w:val="nil"/>
            </w:tcBorders>
            <w:vAlign w:val="center"/>
          </w:tcPr>
          <w:p w14:paraId="147FC4B7">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产生量</w:t>
            </w:r>
          </w:p>
          <w:p w14:paraId="52A65B16">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（t/a）</w:t>
            </w:r>
          </w:p>
        </w:tc>
        <w:tc>
          <w:tcPr>
            <w:tcW w:w="1774" w:type="pct"/>
            <w:gridSpan w:val="3"/>
            <w:tcBorders>
              <w:tl2br w:val="nil"/>
              <w:tr2bl w:val="nil"/>
            </w:tcBorders>
            <w:vAlign w:val="center"/>
          </w:tcPr>
          <w:p w14:paraId="26CE16EC">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种类判断</w:t>
            </w:r>
          </w:p>
        </w:tc>
      </w:tr>
      <w:tr w14:paraId="3FEE5B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8" w:type="pct"/>
            <w:vMerge w:val="continue"/>
            <w:tcBorders>
              <w:tl2br w:val="nil"/>
              <w:tr2bl w:val="nil"/>
            </w:tcBorders>
            <w:vAlign w:val="center"/>
          </w:tcPr>
          <w:p w14:paraId="055628C1">
            <w:pPr>
              <w:widowControl/>
              <w:spacing w:line="300" w:lineRule="exact"/>
              <w:jc w:val="left"/>
              <w:rPr>
                <w:rFonts w:ascii="Times New Roman" w:hAnsi="Times New Roman" w:eastAsia="宋体" w:cs="Times New Roman"/>
                <w:bCs/>
                <w:sz w:val="21"/>
                <w:szCs w:val="21"/>
              </w:rPr>
            </w:pPr>
          </w:p>
        </w:tc>
        <w:tc>
          <w:tcPr>
            <w:tcW w:w="645" w:type="pct"/>
            <w:vMerge w:val="continue"/>
            <w:tcBorders>
              <w:tl2br w:val="nil"/>
              <w:tr2bl w:val="nil"/>
            </w:tcBorders>
            <w:vAlign w:val="center"/>
          </w:tcPr>
          <w:p w14:paraId="2E03A865">
            <w:pPr>
              <w:widowControl/>
              <w:spacing w:line="300" w:lineRule="exact"/>
              <w:jc w:val="left"/>
              <w:rPr>
                <w:rFonts w:ascii="Times New Roman" w:hAnsi="Times New Roman" w:eastAsia="宋体" w:cs="Times New Roman"/>
                <w:bCs/>
                <w:sz w:val="21"/>
                <w:szCs w:val="21"/>
              </w:rPr>
            </w:pPr>
          </w:p>
        </w:tc>
        <w:tc>
          <w:tcPr>
            <w:tcW w:w="546" w:type="pct"/>
            <w:vMerge w:val="continue"/>
            <w:tcBorders>
              <w:tl2br w:val="nil"/>
              <w:tr2bl w:val="nil"/>
            </w:tcBorders>
            <w:vAlign w:val="center"/>
          </w:tcPr>
          <w:p w14:paraId="0ACF9E66">
            <w:pPr>
              <w:widowControl/>
              <w:spacing w:line="300" w:lineRule="exact"/>
              <w:jc w:val="left"/>
              <w:rPr>
                <w:rFonts w:ascii="Times New Roman" w:hAnsi="Times New Roman" w:eastAsia="宋体" w:cs="Times New Roman"/>
                <w:bCs/>
                <w:sz w:val="21"/>
                <w:szCs w:val="21"/>
              </w:rPr>
            </w:pPr>
          </w:p>
        </w:tc>
        <w:tc>
          <w:tcPr>
            <w:tcW w:w="376" w:type="pct"/>
            <w:vMerge w:val="continue"/>
            <w:tcBorders>
              <w:tl2br w:val="nil"/>
              <w:tr2bl w:val="nil"/>
            </w:tcBorders>
            <w:vAlign w:val="center"/>
          </w:tcPr>
          <w:p w14:paraId="41248B20">
            <w:pPr>
              <w:widowControl/>
              <w:spacing w:line="300" w:lineRule="exact"/>
              <w:jc w:val="left"/>
              <w:rPr>
                <w:rFonts w:ascii="Times New Roman" w:hAnsi="Times New Roman" w:eastAsia="宋体" w:cs="Times New Roman"/>
                <w:bCs/>
                <w:sz w:val="21"/>
                <w:szCs w:val="21"/>
              </w:rPr>
            </w:pPr>
          </w:p>
        </w:tc>
        <w:tc>
          <w:tcPr>
            <w:tcW w:w="864" w:type="pct"/>
            <w:vMerge w:val="continue"/>
            <w:tcBorders>
              <w:tl2br w:val="nil"/>
              <w:tr2bl w:val="nil"/>
            </w:tcBorders>
            <w:vAlign w:val="center"/>
          </w:tcPr>
          <w:p w14:paraId="12CA5CDD">
            <w:pPr>
              <w:widowControl/>
              <w:spacing w:line="300" w:lineRule="exact"/>
              <w:jc w:val="left"/>
              <w:rPr>
                <w:rFonts w:ascii="Times New Roman" w:hAnsi="Times New Roman" w:eastAsia="宋体" w:cs="Times New Roman"/>
                <w:bCs/>
                <w:sz w:val="21"/>
                <w:szCs w:val="21"/>
              </w:rPr>
            </w:pPr>
          </w:p>
        </w:tc>
        <w:tc>
          <w:tcPr>
            <w:tcW w:w="554" w:type="pct"/>
            <w:vMerge w:val="continue"/>
            <w:tcBorders>
              <w:tl2br w:val="nil"/>
              <w:tr2bl w:val="nil"/>
            </w:tcBorders>
            <w:vAlign w:val="center"/>
          </w:tcPr>
          <w:p w14:paraId="29FF190E">
            <w:pPr>
              <w:widowControl/>
              <w:spacing w:line="300" w:lineRule="exact"/>
              <w:jc w:val="left"/>
              <w:rPr>
                <w:rFonts w:ascii="Times New Roman" w:hAnsi="Times New Roman" w:eastAsia="宋体" w:cs="Times New Roman"/>
                <w:bCs/>
                <w:sz w:val="21"/>
                <w:szCs w:val="21"/>
              </w:rPr>
            </w:pPr>
          </w:p>
        </w:tc>
        <w:tc>
          <w:tcPr>
            <w:tcW w:w="402" w:type="pct"/>
            <w:tcBorders>
              <w:tl2br w:val="nil"/>
              <w:tr2bl w:val="nil"/>
            </w:tcBorders>
            <w:vAlign w:val="center"/>
          </w:tcPr>
          <w:p w14:paraId="572A1268">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固体废物</w:t>
            </w:r>
          </w:p>
        </w:tc>
        <w:tc>
          <w:tcPr>
            <w:tcW w:w="396" w:type="pct"/>
            <w:tcBorders>
              <w:tl2br w:val="nil"/>
              <w:tr2bl w:val="nil"/>
            </w:tcBorders>
            <w:vAlign w:val="center"/>
          </w:tcPr>
          <w:p w14:paraId="6C021E0E">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副产品</w:t>
            </w:r>
          </w:p>
        </w:tc>
        <w:tc>
          <w:tcPr>
            <w:tcW w:w="975" w:type="pct"/>
            <w:tcBorders>
              <w:tl2br w:val="nil"/>
              <w:tr2bl w:val="nil"/>
            </w:tcBorders>
            <w:vAlign w:val="center"/>
          </w:tcPr>
          <w:p w14:paraId="14913495">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判定依据</w:t>
            </w:r>
          </w:p>
        </w:tc>
      </w:tr>
      <w:tr w14:paraId="4A2721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8" w:type="pct"/>
            <w:tcBorders>
              <w:tl2br w:val="nil"/>
              <w:tr2bl w:val="nil"/>
            </w:tcBorders>
            <w:vAlign w:val="center"/>
          </w:tcPr>
          <w:p w14:paraId="56BA3102">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645" w:type="pct"/>
            <w:tcBorders>
              <w:tl2br w:val="nil"/>
              <w:tr2bl w:val="nil"/>
            </w:tcBorders>
            <w:vAlign w:val="center"/>
          </w:tcPr>
          <w:p w14:paraId="678BD34A">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病死鸡</w:t>
            </w:r>
          </w:p>
        </w:tc>
        <w:tc>
          <w:tcPr>
            <w:tcW w:w="546" w:type="pct"/>
            <w:tcBorders>
              <w:tl2br w:val="nil"/>
              <w:tr2bl w:val="nil"/>
            </w:tcBorders>
            <w:vAlign w:val="center"/>
          </w:tcPr>
          <w:p w14:paraId="35843BE8">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养殖过程</w:t>
            </w:r>
          </w:p>
        </w:tc>
        <w:tc>
          <w:tcPr>
            <w:tcW w:w="376" w:type="pct"/>
            <w:tcBorders>
              <w:tl2br w:val="nil"/>
              <w:tr2bl w:val="nil"/>
            </w:tcBorders>
            <w:vAlign w:val="center"/>
          </w:tcPr>
          <w:p w14:paraId="031C9F47">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864" w:type="pct"/>
            <w:tcBorders>
              <w:tl2br w:val="nil"/>
              <w:tr2bl w:val="nil"/>
            </w:tcBorders>
            <w:vAlign w:val="center"/>
          </w:tcPr>
          <w:p w14:paraId="255D7EE2">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病死鸡</w:t>
            </w:r>
          </w:p>
        </w:tc>
        <w:tc>
          <w:tcPr>
            <w:tcW w:w="554" w:type="pct"/>
            <w:tcBorders>
              <w:tl2br w:val="nil"/>
              <w:tr2bl w:val="nil"/>
            </w:tcBorders>
            <w:vAlign w:val="center"/>
          </w:tcPr>
          <w:p w14:paraId="403534EF">
            <w:pPr>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25</w:t>
            </w:r>
          </w:p>
        </w:tc>
        <w:tc>
          <w:tcPr>
            <w:tcW w:w="402" w:type="pct"/>
            <w:tcBorders>
              <w:tl2br w:val="nil"/>
              <w:tr2bl w:val="nil"/>
            </w:tcBorders>
            <w:vAlign w:val="center"/>
          </w:tcPr>
          <w:p w14:paraId="2239C24A">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396" w:type="pct"/>
            <w:vMerge w:val="restart"/>
            <w:tcBorders>
              <w:tl2br w:val="nil"/>
              <w:tr2bl w:val="nil"/>
            </w:tcBorders>
            <w:vAlign w:val="center"/>
          </w:tcPr>
          <w:p w14:paraId="7EB4557C">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否</w:t>
            </w:r>
          </w:p>
        </w:tc>
        <w:tc>
          <w:tcPr>
            <w:tcW w:w="975" w:type="pct"/>
            <w:vMerge w:val="restart"/>
            <w:tcBorders>
              <w:tl2br w:val="nil"/>
              <w:tr2bl w:val="nil"/>
            </w:tcBorders>
            <w:vAlign w:val="center"/>
          </w:tcPr>
          <w:p w14:paraId="2786EEC8">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宋体" w:eastAsia="宋体"/>
                <w:sz w:val="22"/>
              </w:rPr>
              <w:t>《</w:t>
            </w:r>
            <w:r>
              <w:rPr>
                <w:rFonts w:ascii="Times New Roman" w:hAnsi="宋体" w:eastAsia="宋体"/>
                <w:sz w:val="21"/>
                <w:szCs w:val="21"/>
              </w:rPr>
              <w:t>固体废物鉴别标准</w:t>
            </w:r>
            <w:r>
              <w:rPr>
                <w:rFonts w:ascii="Times New Roman" w:eastAsia="宋体"/>
                <w:sz w:val="21"/>
                <w:szCs w:val="21"/>
              </w:rPr>
              <w:t xml:space="preserve"> </w:t>
            </w:r>
            <w:r>
              <w:rPr>
                <w:rFonts w:ascii="Times New Roman" w:hAnsi="宋体" w:eastAsia="宋体"/>
                <w:sz w:val="21"/>
                <w:szCs w:val="21"/>
              </w:rPr>
              <w:t>通则》（</w:t>
            </w:r>
            <w:r>
              <w:rPr>
                <w:rFonts w:ascii="Times New Roman" w:eastAsia="宋体"/>
                <w:sz w:val="21"/>
                <w:szCs w:val="21"/>
              </w:rPr>
              <w:t>GB34330-20</w:t>
            </w:r>
            <w:r>
              <w:rPr>
                <w:rFonts w:ascii="Times New Roman" w:eastAsia="宋体"/>
                <w:sz w:val="22"/>
              </w:rPr>
              <w:t>1</w:t>
            </w:r>
            <w:r>
              <w:rPr>
                <w:rFonts w:hint="eastAsia" w:ascii="Times New Roman" w:eastAsia="宋体"/>
                <w:sz w:val="22"/>
              </w:rPr>
              <w:t>7</w:t>
            </w:r>
            <w:r>
              <w:rPr>
                <w:rFonts w:ascii="Times New Roman" w:hAnsi="宋体" w:eastAsia="宋体"/>
                <w:sz w:val="22"/>
              </w:rPr>
              <w:t>）</w:t>
            </w:r>
          </w:p>
        </w:tc>
      </w:tr>
      <w:tr w14:paraId="5F7574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8" w:type="pct"/>
            <w:tcBorders>
              <w:tl2br w:val="nil"/>
              <w:tr2bl w:val="nil"/>
            </w:tcBorders>
            <w:vAlign w:val="center"/>
          </w:tcPr>
          <w:p w14:paraId="0CCE5C78">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645" w:type="pct"/>
            <w:tcBorders>
              <w:tl2br w:val="nil"/>
              <w:tr2bl w:val="nil"/>
            </w:tcBorders>
            <w:vAlign w:val="center"/>
          </w:tcPr>
          <w:p w14:paraId="235B3A66">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鸡粪</w:t>
            </w:r>
          </w:p>
        </w:tc>
        <w:tc>
          <w:tcPr>
            <w:tcW w:w="546" w:type="pct"/>
            <w:tcBorders>
              <w:tl2br w:val="nil"/>
              <w:tr2bl w:val="nil"/>
            </w:tcBorders>
            <w:vAlign w:val="center"/>
          </w:tcPr>
          <w:p w14:paraId="072BA5A4">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养殖过程</w:t>
            </w:r>
          </w:p>
        </w:tc>
        <w:tc>
          <w:tcPr>
            <w:tcW w:w="376" w:type="pct"/>
            <w:tcBorders>
              <w:tl2br w:val="nil"/>
              <w:tr2bl w:val="nil"/>
            </w:tcBorders>
            <w:vAlign w:val="center"/>
          </w:tcPr>
          <w:p w14:paraId="4732A299">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864" w:type="pct"/>
            <w:tcBorders>
              <w:tl2br w:val="nil"/>
              <w:tr2bl w:val="nil"/>
            </w:tcBorders>
            <w:vAlign w:val="center"/>
          </w:tcPr>
          <w:p w14:paraId="02065A37">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鸡粪</w:t>
            </w:r>
          </w:p>
        </w:tc>
        <w:tc>
          <w:tcPr>
            <w:tcW w:w="554" w:type="pct"/>
            <w:tcBorders>
              <w:tl2br w:val="nil"/>
              <w:tr2bl w:val="nil"/>
            </w:tcBorders>
            <w:vAlign w:val="center"/>
          </w:tcPr>
          <w:p w14:paraId="2FDF71C7">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4950</w:t>
            </w:r>
          </w:p>
        </w:tc>
        <w:tc>
          <w:tcPr>
            <w:tcW w:w="402" w:type="pct"/>
            <w:tcBorders>
              <w:tl2br w:val="nil"/>
              <w:tr2bl w:val="nil"/>
            </w:tcBorders>
            <w:vAlign w:val="center"/>
          </w:tcPr>
          <w:p w14:paraId="27518F95">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396" w:type="pct"/>
            <w:vMerge w:val="continue"/>
            <w:tcBorders>
              <w:tl2br w:val="nil"/>
              <w:tr2bl w:val="nil"/>
            </w:tcBorders>
            <w:vAlign w:val="center"/>
          </w:tcPr>
          <w:p w14:paraId="158CCA07">
            <w:pPr>
              <w:tabs>
                <w:tab w:val="left" w:pos="0"/>
              </w:tabs>
              <w:adjustRightInd w:val="0"/>
              <w:spacing w:line="300" w:lineRule="exact"/>
              <w:jc w:val="center"/>
              <w:rPr>
                <w:rFonts w:ascii="Times New Roman" w:hAnsi="Times New Roman" w:eastAsia="宋体" w:cs="Times New Roman"/>
                <w:bCs/>
                <w:sz w:val="21"/>
                <w:szCs w:val="21"/>
              </w:rPr>
            </w:pPr>
          </w:p>
        </w:tc>
        <w:tc>
          <w:tcPr>
            <w:tcW w:w="975" w:type="pct"/>
            <w:vMerge w:val="continue"/>
            <w:tcBorders>
              <w:tl2br w:val="nil"/>
              <w:tr2bl w:val="nil"/>
            </w:tcBorders>
            <w:vAlign w:val="center"/>
          </w:tcPr>
          <w:p w14:paraId="6DB570F6">
            <w:pPr>
              <w:tabs>
                <w:tab w:val="left" w:pos="0"/>
              </w:tabs>
              <w:adjustRightInd w:val="0"/>
              <w:spacing w:line="300" w:lineRule="exact"/>
              <w:jc w:val="center"/>
              <w:rPr>
                <w:rFonts w:ascii="Times New Roman" w:hAnsi="Times New Roman" w:eastAsia="宋体" w:cs="Times New Roman"/>
                <w:bCs/>
                <w:sz w:val="21"/>
                <w:szCs w:val="21"/>
              </w:rPr>
            </w:pPr>
          </w:p>
        </w:tc>
      </w:tr>
      <w:tr w14:paraId="476908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8" w:type="pct"/>
            <w:tcBorders>
              <w:tl2br w:val="nil"/>
              <w:tr2bl w:val="nil"/>
            </w:tcBorders>
            <w:vAlign w:val="center"/>
          </w:tcPr>
          <w:p w14:paraId="08A2FC1A">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645" w:type="pct"/>
            <w:tcBorders>
              <w:tl2br w:val="nil"/>
              <w:tr2bl w:val="nil"/>
            </w:tcBorders>
            <w:vAlign w:val="center"/>
          </w:tcPr>
          <w:p w14:paraId="1360AE2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废包装</w:t>
            </w:r>
          </w:p>
        </w:tc>
        <w:tc>
          <w:tcPr>
            <w:tcW w:w="546" w:type="pct"/>
            <w:tcBorders>
              <w:tl2br w:val="nil"/>
              <w:tr2bl w:val="nil"/>
            </w:tcBorders>
            <w:vAlign w:val="center"/>
          </w:tcPr>
          <w:p w14:paraId="7E2D0F97">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原辅料包装</w:t>
            </w:r>
          </w:p>
        </w:tc>
        <w:tc>
          <w:tcPr>
            <w:tcW w:w="376" w:type="pct"/>
            <w:tcBorders>
              <w:tl2br w:val="nil"/>
              <w:tr2bl w:val="nil"/>
            </w:tcBorders>
            <w:vAlign w:val="center"/>
          </w:tcPr>
          <w:p w14:paraId="202E1B2E">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864" w:type="pct"/>
            <w:tcBorders>
              <w:tl2br w:val="nil"/>
              <w:tr2bl w:val="nil"/>
            </w:tcBorders>
            <w:vAlign w:val="center"/>
          </w:tcPr>
          <w:p w14:paraId="70F7D4C0">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包装袋</w:t>
            </w:r>
          </w:p>
        </w:tc>
        <w:tc>
          <w:tcPr>
            <w:tcW w:w="554" w:type="pct"/>
            <w:tcBorders>
              <w:tl2br w:val="nil"/>
              <w:tr2bl w:val="nil"/>
            </w:tcBorders>
            <w:vAlign w:val="center"/>
          </w:tcPr>
          <w:p w14:paraId="66F4CD8E">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402" w:type="pct"/>
            <w:tcBorders>
              <w:tl2br w:val="nil"/>
              <w:tr2bl w:val="nil"/>
            </w:tcBorders>
            <w:vAlign w:val="center"/>
          </w:tcPr>
          <w:p w14:paraId="58EDD7EB">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396" w:type="pct"/>
            <w:vMerge w:val="continue"/>
            <w:tcBorders>
              <w:tl2br w:val="nil"/>
              <w:tr2bl w:val="nil"/>
            </w:tcBorders>
            <w:vAlign w:val="center"/>
          </w:tcPr>
          <w:p w14:paraId="076C43B7">
            <w:pPr>
              <w:spacing w:line="300" w:lineRule="exact"/>
              <w:jc w:val="center"/>
              <w:rPr>
                <w:rFonts w:ascii="Times New Roman" w:hAnsi="Times New Roman" w:eastAsia="宋体" w:cs="Times New Roman"/>
                <w:bCs/>
                <w:sz w:val="21"/>
                <w:szCs w:val="21"/>
              </w:rPr>
            </w:pPr>
          </w:p>
        </w:tc>
        <w:tc>
          <w:tcPr>
            <w:tcW w:w="975" w:type="pct"/>
            <w:vMerge w:val="continue"/>
            <w:tcBorders>
              <w:tl2br w:val="nil"/>
              <w:tr2bl w:val="nil"/>
            </w:tcBorders>
            <w:vAlign w:val="center"/>
          </w:tcPr>
          <w:p w14:paraId="682F771E">
            <w:pPr>
              <w:tabs>
                <w:tab w:val="left" w:pos="0"/>
              </w:tabs>
              <w:adjustRightInd w:val="0"/>
              <w:spacing w:line="300" w:lineRule="exact"/>
              <w:jc w:val="center"/>
              <w:rPr>
                <w:rFonts w:ascii="Times New Roman" w:hAnsi="Times New Roman" w:eastAsia="宋体" w:cs="Times New Roman"/>
                <w:bCs/>
                <w:sz w:val="21"/>
                <w:szCs w:val="21"/>
              </w:rPr>
            </w:pPr>
          </w:p>
        </w:tc>
      </w:tr>
      <w:tr w14:paraId="4D0E8F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8" w:type="pct"/>
            <w:tcBorders>
              <w:tl2br w:val="nil"/>
              <w:tr2bl w:val="nil"/>
            </w:tcBorders>
            <w:vAlign w:val="center"/>
          </w:tcPr>
          <w:p w14:paraId="763FD65C">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645" w:type="pct"/>
            <w:tcBorders>
              <w:tl2br w:val="nil"/>
              <w:tr2bl w:val="nil"/>
            </w:tcBorders>
            <w:vAlign w:val="center"/>
          </w:tcPr>
          <w:p w14:paraId="16AAC35F">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医疗废物</w:t>
            </w:r>
          </w:p>
        </w:tc>
        <w:tc>
          <w:tcPr>
            <w:tcW w:w="546" w:type="pct"/>
            <w:tcBorders>
              <w:tl2br w:val="nil"/>
              <w:tr2bl w:val="nil"/>
            </w:tcBorders>
            <w:vAlign w:val="center"/>
          </w:tcPr>
          <w:p w14:paraId="374044DC">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养殖过程</w:t>
            </w:r>
          </w:p>
        </w:tc>
        <w:tc>
          <w:tcPr>
            <w:tcW w:w="376" w:type="pct"/>
            <w:tcBorders>
              <w:tl2br w:val="nil"/>
              <w:tr2bl w:val="nil"/>
            </w:tcBorders>
            <w:vAlign w:val="center"/>
          </w:tcPr>
          <w:p w14:paraId="6CEA8ADF">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864" w:type="pct"/>
            <w:tcBorders>
              <w:tl2br w:val="nil"/>
              <w:tr2bl w:val="nil"/>
            </w:tcBorders>
            <w:vAlign w:val="center"/>
          </w:tcPr>
          <w:p w14:paraId="0328B4EB">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药物空瓶、袋</w:t>
            </w:r>
          </w:p>
        </w:tc>
        <w:tc>
          <w:tcPr>
            <w:tcW w:w="554" w:type="pct"/>
            <w:tcBorders>
              <w:tl2br w:val="nil"/>
              <w:tr2bl w:val="nil"/>
            </w:tcBorders>
            <w:vAlign w:val="center"/>
          </w:tcPr>
          <w:p w14:paraId="3C748D43">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w:t>
            </w:r>
          </w:p>
        </w:tc>
        <w:tc>
          <w:tcPr>
            <w:tcW w:w="402" w:type="pct"/>
            <w:tcBorders>
              <w:tl2br w:val="nil"/>
              <w:tr2bl w:val="nil"/>
            </w:tcBorders>
            <w:vAlign w:val="center"/>
          </w:tcPr>
          <w:p w14:paraId="25586A09">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396" w:type="pct"/>
            <w:vMerge w:val="continue"/>
            <w:tcBorders>
              <w:tl2br w:val="nil"/>
              <w:tr2bl w:val="nil"/>
            </w:tcBorders>
            <w:vAlign w:val="center"/>
          </w:tcPr>
          <w:p w14:paraId="027B6D24">
            <w:pPr>
              <w:spacing w:line="300" w:lineRule="exact"/>
              <w:jc w:val="center"/>
              <w:rPr>
                <w:rFonts w:ascii="Times New Roman" w:hAnsi="Times New Roman" w:eastAsia="宋体" w:cs="Times New Roman"/>
                <w:bCs/>
                <w:sz w:val="21"/>
                <w:szCs w:val="21"/>
              </w:rPr>
            </w:pPr>
          </w:p>
        </w:tc>
        <w:tc>
          <w:tcPr>
            <w:tcW w:w="975" w:type="pct"/>
            <w:vMerge w:val="continue"/>
            <w:tcBorders>
              <w:tl2br w:val="nil"/>
              <w:tr2bl w:val="nil"/>
            </w:tcBorders>
            <w:vAlign w:val="center"/>
          </w:tcPr>
          <w:p w14:paraId="49507F65">
            <w:pPr>
              <w:tabs>
                <w:tab w:val="left" w:pos="0"/>
              </w:tabs>
              <w:adjustRightInd w:val="0"/>
              <w:spacing w:line="300" w:lineRule="exact"/>
              <w:jc w:val="center"/>
              <w:rPr>
                <w:rFonts w:ascii="Times New Roman" w:hAnsi="Times New Roman" w:eastAsia="宋体" w:cs="Times New Roman"/>
                <w:bCs/>
                <w:sz w:val="21"/>
                <w:szCs w:val="21"/>
              </w:rPr>
            </w:pPr>
          </w:p>
        </w:tc>
      </w:tr>
      <w:tr w14:paraId="0710E2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8" w:type="pct"/>
            <w:tcBorders>
              <w:tl2br w:val="nil"/>
              <w:tr2bl w:val="nil"/>
            </w:tcBorders>
            <w:vAlign w:val="center"/>
          </w:tcPr>
          <w:p w14:paraId="4A6EA3DF">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645" w:type="pct"/>
            <w:tcBorders>
              <w:tl2br w:val="nil"/>
              <w:tr2bl w:val="nil"/>
            </w:tcBorders>
            <w:vAlign w:val="center"/>
          </w:tcPr>
          <w:p w14:paraId="1B375D31">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污泥</w:t>
            </w:r>
          </w:p>
        </w:tc>
        <w:tc>
          <w:tcPr>
            <w:tcW w:w="546" w:type="pct"/>
            <w:tcBorders>
              <w:tl2br w:val="nil"/>
              <w:tr2bl w:val="nil"/>
            </w:tcBorders>
            <w:vAlign w:val="center"/>
          </w:tcPr>
          <w:p w14:paraId="3DD9E89C">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废水</w:t>
            </w:r>
            <w:r>
              <w:rPr>
                <w:rFonts w:ascii="Times New Roman" w:hAnsi="Times New Roman" w:eastAsia="宋体" w:cs="Times New Roman"/>
                <w:bCs/>
                <w:sz w:val="21"/>
                <w:szCs w:val="21"/>
              </w:rPr>
              <w:t>处理</w:t>
            </w:r>
          </w:p>
        </w:tc>
        <w:tc>
          <w:tcPr>
            <w:tcW w:w="376" w:type="pct"/>
            <w:tcBorders>
              <w:tl2br w:val="nil"/>
              <w:tr2bl w:val="nil"/>
            </w:tcBorders>
            <w:vAlign w:val="center"/>
          </w:tcPr>
          <w:p w14:paraId="56E5A088">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864" w:type="pct"/>
            <w:tcBorders>
              <w:tl2br w:val="nil"/>
              <w:tr2bl w:val="nil"/>
            </w:tcBorders>
            <w:vAlign w:val="center"/>
          </w:tcPr>
          <w:p w14:paraId="637A7959">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污泥</w:t>
            </w:r>
          </w:p>
        </w:tc>
        <w:tc>
          <w:tcPr>
            <w:tcW w:w="554" w:type="pct"/>
            <w:tcBorders>
              <w:tl2br w:val="nil"/>
              <w:tr2bl w:val="nil"/>
            </w:tcBorders>
            <w:vAlign w:val="center"/>
          </w:tcPr>
          <w:p w14:paraId="364CED6E">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8.4</w:t>
            </w:r>
          </w:p>
        </w:tc>
        <w:tc>
          <w:tcPr>
            <w:tcW w:w="402" w:type="pct"/>
            <w:tcBorders>
              <w:tl2br w:val="nil"/>
              <w:tr2bl w:val="nil"/>
            </w:tcBorders>
            <w:vAlign w:val="center"/>
          </w:tcPr>
          <w:p w14:paraId="63B845BF">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396" w:type="pct"/>
            <w:vMerge w:val="continue"/>
            <w:tcBorders>
              <w:tl2br w:val="nil"/>
              <w:tr2bl w:val="nil"/>
            </w:tcBorders>
            <w:vAlign w:val="center"/>
          </w:tcPr>
          <w:p w14:paraId="55861B4E">
            <w:pPr>
              <w:spacing w:line="300" w:lineRule="exact"/>
              <w:jc w:val="center"/>
              <w:rPr>
                <w:rFonts w:ascii="Times New Roman" w:hAnsi="Times New Roman" w:eastAsia="宋体" w:cs="Times New Roman"/>
                <w:bCs/>
                <w:sz w:val="21"/>
                <w:szCs w:val="21"/>
              </w:rPr>
            </w:pPr>
          </w:p>
        </w:tc>
        <w:tc>
          <w:tcPr>
            <w:tcW w:w="975" w:type="pct"/>
            <w:vMerge w:val="continue"/>
            <w:tcBorders>
              <w:tl2br w:val="nil"/>
              <w:tr2bl w:val="nil"/>
            </w:tcBorders>
            <w:vAlign w:val="center"/>
          </w:tcPr>
          <w:p w14:paraId="37EF9125">
            <w:pPr>
              <w:tabs>
                <w:tab w:val="left" w:pos="0"/>
              </w:tabs>
              <w:adjustRightInd w:val="0"/>
              <w:spacing w:line="300" w:lineRule="exact"/>
              <w:jc w:val="center"/>
              <w:rPr>
                <w:rFonts w:ascii="Times New Roman" w:hAnsi="Times New Roman" w:eastAsia="宋体" w:cs="Times New Roman"/>
                <w:bCs/>
                <w:sz w:val="21"/>
                <w:szCs w:val="21"/>
              </w:rPr>
            </w:pPr>
          </w:p>
        </w:tc>
      </w:tr>
      <w:tr w14:paraId="3BFEEB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8" w:type="pct"/>
            <w:tcBorders>
              <w:tl2br w:val="nil"/>
              <w:tr2bl w:val="nil"/>
            </w:tcBorders>
            <w:vAlign w:val="center"/>
          </w:tcPr>
          <w:p w14:paraId="5718AB56">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645" w:type="pct"/>
            <w:tcBorders>
              <w:tl2br w:val="nil"/>
              <w:tr2bl w:val="nil"/>
            </w:tcBorders>
            <w:vAlign w:val="center"/>
          </w:tcPr>
          <w:p w14:paraId="28E6ECA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饲料残渣及散落羽毛</w:t>
            </w:r>
          </w:p>
        </w:tc>
        <w:tc>
          <w:tcPr>
            <w:tcW w:w="546" w:type="pct"/>
            <w:tcBorders>
              <w:tl2br w:val="nil"/>
              <w:tr2bl w:val="nil"/>
            </w:tcBorders>
            <w:vAlign w:val="center"/>
          </w:tcPr>
          <w:p w14:paraId="5CAB05E4">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养殖过程</w:t>
            </w:r>
          </w:p>
        </w:tc>
        <w:tc>
          <w:tcPr>
            <w:tcW w:w="376" w:type="pct"/>
            <w:tcBorders>
              <w:tl2br w:val="nil"/>
              <w:tr2bl w:val="nil"/>
            </w:tcBorders>
            <w:vAlign w:val="center"/>
          </w:tcPr>
          <w:p w14:paraId="57694507">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864" w:type="pct"/>
            <w:tcBorders>
              <w:tl2br w:val="nil"/>
              <w:tr2bl w:val="nil"/>
            </w:tcBorders>
            <w:vAlign w:val="center"/>
          </w:tcPr>
          <w:p w14:paraId="3737EE8F">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饲料残渣及散落羽毛</w:t>
            </w:r>
          </w:p>
        </w:tc>
        <w:tc>
          <w:tcPr>
            <w:tcW w:w="554" w:type="pct"/>
            <w:tcBorders>
              <w:tl2br w:val="nil"/>
              <w:tr2bl w:val="nil"/>
            </w:tcBorders>
            <w:vAlign w:val="center"/>
          </w:tcPr>
          <w:p w14:paraId="25036AA7">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w:t>
            </w:r>
          </w:p>
        </w:tc>
        <w:tc>
          <w:tcPr>
            <w:tcW w:w="402" w:type="pct"/>
            <w:tcBorders>
              <w:tl2br w:val="nil"/>
              <w:tr2bl w:val="nil"/>
            </w:tcBorders>
            <w:vAlign w:val="center"/>
          </w:tcPr>
          <w:p w14:paraId="14112D8D">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396" w:type="pct"/>
            <w:vMerge w:val="continue"/>
            <w:tcBorders>
              <w:tl2br w:val="nil"/>
              <w:tr2bl w:val="nil"/>
            </w:tcBorders>
            <w:vAlign w:val="center"/>
          </w:tcPr>
          <w:p w14:paraId="561212EA">
            <w:pPr>
              <w:spacing w:line="300" w:lineRule="exact"/>
              <w:jc w:val="center"/>
              <w:rPr>
                <w:rFonts w:ascii="Times New Roman" w:hAnsi="Times New Roman" w:eastAsia="宋体" w:cs="Times New Roman"/>
                <w:bCs/>
                <w:sz w:val="21"/>
                <w:szCs w:val="21"/>
              </w:rPr>
            </w:pPr>
          </w:p>
        </w:tc>
        <w:tc>
          <w:tcPr>
            <w:tcW w:w="975" w:type="pct"/>
            <w:vMerge w:val="continue"/>
            <w:tcBorders>
              <w:tl2br w:val="nil"/>
              <w:tr2bl w:val="nil"/>
            </w:tcBorders>
            <w:vAlign w:val="center"/>
          </w:tcPr>
          <w:p w14:paraId="780583BA">
            <w:pPr>
              <w:tabs>
                <w:tab w:val="left" w:pos="0"/>
              </w:tabs>
              <w:adjustRightInd w:val="0"/>
              <w:spacing w:line="300" w:lineRule="exact"/>
              <w:jc w:val="center"/>
              <w:rPr>
                <w:rFonts w:ascii="Times New Roman" w:hAnsi="Times New Roman" w:eastAsia="宋体" w:cs="Times New Roman"/>
                <w:bCs/>
                <w:sz w:val="21"/>
                <w:szCs w:val="21"/>
              </w:rPr>
            </w:pPr>
          </w:p>
        </w:tc>
      </w:tr>
      <w:tr w14:paraId="6BD0AA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8" w:type="pct"/>
            <w:tcBorders>
              <w:tl2br w:val="nil"/>
              <w:tr2bl w:val="nil"/>
            </w:tcBorders>
            <w:vAlign w:val="center"/>
          </w:tcPr>
          <w:p w14:paraId="24E23755">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w:t>
            </w:r>
          </w:p>
        </w:tc>
        <w:tc>
          <w:tcPr>
            <w:tcW w:w="645" w:type="pct"/>
            <w:tcBorders>
              <w:tl2br w:val="nil"/>
              <w:tr2bl w:val="nil"/>
            </w:tcBorders>
            <w:vAlign w:val="center"/>
          </w:tcPr>
          <w:p w14:paraId="26380159">
            <w:pPr>
              <w:tabs>
                <w:tab w:val="left" w:pos="0"/>
              </w:tabs>
              <w:adjustRightInd w:val="0"/>
              <w:spacing w:line="300" w:lineRule="exact"/>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废树脂</w:t>
            </w:r>
          </w:p>
        </w:tc>
        <w:tc>
          <w:tcPr>
            <w:tcW w:w="546" w:type="pct"/>
            <w:tcBorders>
              <w:tl2br w:val="nil"/>
              <w:tr2bl w:val="nil"/>
            </w:tcBorders>
            <w:vAlign w:val="center"/>
          </w:tcPr>
          <w:p w14:paraId="549F8D65">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软水制备</w:t>
            </w:r>
          </w:p>
        </w:tc>
        <w:tc>
          <w:tcPr>
            <w:tcW w:w="376" w:type="pct"/>
            <w:tcBorders>
              <w:tl2br w:val="nil"/>
              <w:tr2bl w:val="nil"/>
            </w:tcBorders>
            <w:vAlign w:val="center"/>
          </w:tcPr>
          <w:p w14:paraId="55975A91">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固</w:t>
            </w:r>
          </w:p>
        </w:tc>
        <w:tc>
          <w:tcPr>
            <w:tcW w:w="864" w:type="pct"/>
            <w:tcBorders>
              <w:tl2br w:val="nil"/>
              <w:tr2bl w:val="nil"/>
            </w:tcBorders>
            <w:vAlign w:val="center"/>
          </w:tcPr>
          <w:p w14:paraId="439F5B4D">
            <w:pPr>
              <w:tabs>
                <w:tab w:val="left" w:pos="0"/>
              </w:tabs>
              <w:adjustRightInd w:val="0"/>
              <w:spacing w:line="300" w:lineRule="exact"/>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废树脂</w:t>
            </w:r>
          </w:p>
        </w:tc>
        <w:tc>
          <w:tcPr>
            <w:tcW w:w="554" w:type="pct"/>
            <w:tcBorders>
              <w:tl2br w:val="nil"/>
              <w:tr2bl w:val="nil"/>
            </w:tcBorders>
            <w:vAlign w:val="center"/>
          </w:tcPr>
          <w:p w14:paraId="737CAD82">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w:t>
            </w:r>
          </w:p>
        </w:tc>
        <w:tc>
          <w:tcPr>
            <w:tcW w:w="402" w:type="pct"/>
            <w:tcBorders>
              <w:tl2br w:val="nil"/>
              <w:tr2bl w:val="nil"/>
            </w:tcBorders>
            <w:vAlign w:val="center"/>
          </w:tcPr>
          <w:p w14:paraId="55DB151D">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396" w:type="pct"/>
            <w:vMerge w:val="continue"/>
            <w:tcBorders>
              <w:tl2br w:val="nil"/>
              <w:tr2bl w:val="nil"/>
            </w:tcBorders>
            <w:vAlign w:val="center"/>
          </w:tcPr>
          <w:p w14:paraId="1EC41FA6">
            <w:pPr>
              <w:spacing w:line="300" w:lineRule="exact"/>
              <w:jc w:val="center"/>
              <w:rPr>
                <w:rFonts w:ascii="Times New Roman" w:hAnsi="Times New Roman" w:eastAsia="宋体" w:cs="Times New Roman"/>
                <w:bCs/>
                <w:sz w:val="21"/>
                <w:szCs w:val="21"/>
              </w:rPr>
            </w:pPr>
          </w:p>
        </w:tc>
        <w:tc>
          <w:tcPr>
            <w:tcW w:w="975" w:type="pct"/>
            <w:vMerge w:val="continue"/>
            <w:tcBorders>
              <w:tl2br w:val="nil"/>
              <w:tr2bl w:val="nil"/>
            </w:tcBorders>
            <w:vAlign w:val="center"/>
          </w:tcPr>
          <w:p w14:paraId="64905867">
            <w:pPr>
              <w:tabs>
                <w:tab w:val="left" w:pos="0"/>
              </w:tabs>
              <w:adjustRightInd w:val="0"/>
              <w:spacing w:line="300" w:lineRule="exact"/>
              <w:jc w:val="center"/>
              <w:rPr>
                <w:rFonts w:ascii="Times New Roman" w:hAnsi="Times New Roman" w:eastAsia="宋体" w:cs="Times New Roman"/>
                <w:bCs/>
                <w:sz w:val="21"/>
                <w:szCs w:val="21"/>
              </w:rPr>
            </w:pPr>
          </w:p>
        </w:tc>
      </w:tr>
      <w:tr w14:paraId="1C5825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8" w:type="pct"/>
            <w:tcBorders>
              <w:tl2br w:val="nil"/>
              <w:tr2bl w:val="nil"/>
            </w:tcBorders>
            <w:vAlign w:val="center"/>
          </w:tcPr>
          <w:p w14:paraId="691D50A5">
            <w:pPr>
              <w:tabs>
                <w:tab w:val="left" w:pos="0"/>
              </w:tabs>
              <w:adjustRightInd w:val="0"/>
              <w:spacing w:line="300" w:lineRule="exact"/>
              <w:jc w:val="center"/>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val="en-US" w:eastAsia="zh-CN"/>
              </w:rPr>
              <w:t>8</w:t>
            </w:r>
          </w:p>
        </w:tc>
        <w:tc>
          <w:tcPr>
            <w:tcW w:w="645" w:type="pct"/>
            <w:tcBorders>
              <w:tl2br w:val="nil"/>
              <w:tr2bl w:val="nil"/>
            </w:tcBorders>
            <w:vAlign w:val="center"/>
          </w:tcPr>
          <w:p w14:paraId="7DF1F447">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生活垃圾</w:t>
            </w:r>
          </w:p>
        </w:tc>
        <w:tc>
          <w:tcPr>
            <w:tcW w:w="546" w:type="pct"/>
            <w:tcBorders>
              <w:tl2br w:val="nil"/>
              <w:tr2bl w:val="nil"/>
            </w:tcBorders>
            <w:vAlign w:val="center"/>
          </w:tcPr>
          <w:p w14:paraId="5200917E">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职工日常</w:t>
            </w:r>
            <w:r>
              <w:rPr>
                <w:rFonts w:hint="eastAsia" w:ascii="Times New Roman" w:hAnsi="Times New Roman" w:eastAsia="宋体" w:cs="Times New Roman"/>
                <w:bCs/>
                <w:sz w:val="21"/>
                <w:szCs w:val="21"/>
              </w:rPr>
              <w:t>生活</w:t>
            </w:r>
          </w:p>
        </w:tc>
        <w:tc>
          <w:tcPr>
            <w:tcW w:w="376" w:type="pct"/>
            <w:tcBorders>
              <w:tl2br w:val="nil"/>
              <w:tr2bl w:val="nil"/>
            </w:tcBorders>
            <w:vAlign w:val="center"/>
          </w:tcPr>
          <w:p w14:paraId="4AE77629">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864" w:type="pct"/>
            <w:tcBorders>
              <w:tl2br w:val="nil"/>
              <w:tr2bl w:val="nil"/>
            </w:tcBorders>
            <w:vAlign w:val="center"/>
          </w:tcPr>
          <w:p w14:paraId="60409111">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宋体" w:eastAsia="宋体"/>
                <w:sz w:val="21"/>
                <w:szCs w:val="21"/>
              </w:rPr>
              <w:t>可燃物、可堆腐物</w:t>
            </w:r>
          </w:p>
        </w:tc>
        <w:tc>
          <w:tcPr>
            <w:tcW w:w="554" w:type="pct"/>
            <w:tcBorders>
              <w:tl2br w:val="nil"/>
              <w:tr2bl w:val="nil"/>
            </w:tcBorders>
            <w:vAlign w:val="center"/>
          </w:tcPr>
          <w:p w14:paraId="3D7FB2F9">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w:t>
            </w:r>
          </w:p>
        </w:tc>
        <w:tc>
          <w:tcPr>
            <w:tcW w:w="402" w:type="pct"/>
            <w:tcBorders>
              <w:tl2br w:val="nil"/>
              <w:tr2bl w:val="nil"/>
            </w:tcBorders>
            <w:vAlign w:val="center"/>
          </w:tcPr>
          <w:p w14:paraId="5CD4DB18">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396" w:type="pct"/>
            <w:vMerge w:val="continue"/>
            <w:tcBorders>
              <w:tl2br w:val="nil"/>
              <w:tr2bl w:val="nil"/>
            </w:tcBorders>
            <w:vAlign w:val="center"/>
          </w:tcPr>
          <w:p w14:paraId="3795D43B">
            <w:pPr>
              <w:spacing w:line="300" w:lineRule="exact"/>
              <w:jc w:val="center"/>
              <w:rPr>
                <w:rFonts w:ascii="Times New Roman" w:hAnsi="Times New Roman" w:eastAsia="宋体" w:cs="Times New Roman"/>
                <w:bCs/>
                <w:sz w:val="21"/>
                <w:szCs w:val="21"/>
              </w:rPr>
            </w:pPr>
          </w:p>
        </w:tc>
        <w:tc>
          <w:tcPr>
            <w:tcW w:w="975" w:type="pct"/>
            <w:vMerge w:val="continue"/>
            <w:tcBorders>
              <w:tl2br w:val="nil"/>
              <w:tr2bl w:val="nil"/>
            </w:tcBorders>
            <w:vAlign w:val="center"/>
          </w:tcPr>
          <w:p w14:paraId="48290943">
            <w:pPr>
              <w:tabs>
                <w:tab w:val="left" w:pos="0"/>
              </w:tabs>
              <w:adjustRightInd w:val="0"/>
              <w:spacing w:line="300" w:lineRule="exact"/>
              <w:jc w:val="center"/>
              <w:rPr>
                <w:rFonts w:ascii="Times New Roman" w:hAnsi="Times New Roman" w:eastAsia="宋体" w:cs="Times New Roman"/>
                <w:bCs/>
                <w:sz w:val="21"/>
                <w:szCs w:val="21"/>
              </w:rPr>
            </w:pPr>
          </w:p>
        </w:tc>
      </w:tr>
    </w:tbl>
    <w:p w14:paraId="29C6B033">
      <w:pPr>
        <w:adjustRightInd w:val="0"/>
        <w:spacing w:line="480" w:lineRule="exact"/>
        <w:ind w:firstLine="480" w:firstLineChars="200"/>
        <w:rPr>
          <w:rFonts w:ascii="Times New Roman"/>
          <w:szCs w:val="24"/>
        </w:rPr>
      </w:pPr>
      <w:r>
        <w:rPr>
          <w:rFonts w:ascii="Times New Roman" w:hAnsi="宋体"/>
          <w:szCs w:val="24"/>
        </w:rPr>
        <w:t>根据</w:t>
      </w:r>
      <w:r>
        <w:rPr>
          <w:rFonts w:hint="eastAsia" w:ascii="Times New Roman" w:hAnsi="宋体"/>
          <w:szCs w:val="24"/>
        </w:rPr>
        <w:t>《国家危险废物名录》（202</w:t>
      </w:r>
      <w:r>
        <w:rPr>
          <w:rFonts w:hint="eastAsia" w:ascii="Times New Roman" w:hAnsi="宋体"/>
          <w:szCs w:val="24"/>
          <w:lang w:val="en-US" w:eastAsia="zh-CN"/>
        </w:rPr>
        <w:t>5</w:t>
      </w:r>
      <w:r>
        <w:rPr>
          <w:rFonts w:hint="eastAsia" w:ascii="Times New Roman" w:hAnsi="宋体"/>
          <w:szCs w:val="24"/>
        </w:rPr>
        <w:t>年版）</w:t>
      </w:r>
      <w:r>
        <w:rPr>
          <w:rFonts w:ascii="Times New Roman" w:hAnsi="宋体"/>
          <w:szCs w:val="24"/>
        </w:rPr>
        <w:t>以及《危险废物鉴别标准</w:t>
      </w:r>
      <w:r>
        <w:rPr>
          <w:rFonts w:ascii="Times New Roman"/>
          <w:szCs w:val="24"/>
        </w:rPr>
        <w:t xml:space="preserve"> </w:t>
      </w:r>
      <w:r>
        <w:rPr>
          <w:rFonts w:ascii="Times New Roman" w:hAnsi="宋体"/>
          <w:szCs w:val="24"/>
        </w:rPr>
        <w:t>通则》（</w:t>
      </w:r>
      <w:r>
        <w:rPr>
          <w:rFonts w:ascii="Times New Roman"/>
          <w:szCs w:val="24"/>
        </w:rPr>
        <w:t>GB5085.7-2019</w:t>
      </w:r>
      <w:r>
        <w:rPr>
          <w:rFonts w:ascii="Times New Roman" w:hAnsi="宋体"/>
          <w:szCs w:val="24"/>
        </w:rPr>
        <w:t>），判定建设项目的固体废物是否属于危险废物，详见表</w:t>
      </w:r>
      <w:r>
        <w:rPr>
          <w:rFonts w:ascii="Times New Roman"/>
          <w:szCs w:val="24"/>
        </w:rPr>
        <w:t>3.</w:t>
      </w:r>
      <w:r>
        <w:rPr>
          <w:rFonts w:hint="eastAsia" w:ascii="Times New Roman"/>
          <w:szCs w:val="24"/>
        </w:rPr>
        <w:t>7-10</w:t>
      </w:r>
      <w:r>
        <w:rPr>
          <w:rFonts w:ascii="Times New Roman" w:hAnsi="宋体"/>
          <w:szCs w:val="24"/>
        </w:rPr>
        <w:t>。</w:t>
      </w:r>
    </w:p>
    <w:p w14:paraId="16CA751E">
      <w:pPr>
        <w:pStyle w:val="31"/>
        <w:spacing w:before="0" w:line="480" w:lineRule="exact"/>
      </w:pPr>
      <w:r>
        <w:rPr>
          <w:rFonts w:hint="eastAsia"/>
        </w:rPr>
        <w:t>表</w:t>
      </w:r>
      <w:r>
        <w:t xml:space="preserve">3.7-10  </w:t>
      </w:r>
      <w:r>
        <w:rPr>
          <w:rFonts w:ascii="Times New Roman" w:hAnsi="宋体"/>
          <w:szCs w:val="24"/>
        </w:rPr>
        <w:t>营运期固体废物分析结果</w:t>
      </w:r>
      <w:r>
        <w:rPr>
          <w:rFonts w:hint="eastAsia"/>
        </w:rPr>
        <w:t>汇总表</w:t>
      </w:r>
    </w:p>
    <w:tbl>
      <w:tblPr>
        <w:tblStyle w:val="41"/>
        <w:tblW w:w="1421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566"/>
        <w:gridCol w:w="1134"/>
        <w:gridCol w:w="1490"/>
        <w:gridCol w:w="778"/>
        <w:gridCol w:w="1418"/>
        <w:gridCol w:w="1301"/>
        <w:gridCol w:w="810"/>
        <w:gridCol w:w="778"/>
        <w:gridCol w:w="1314"/>
        <w:gridCol w:w="871"/>
        <w:gridCol w:w="2115"/>
      </w:tblGrid>
      <w:tr w14:paraId="2BE2BA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6BCC500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序号</w:t>
            </w:r>
          </w:p>
        </w:tc>
        <w:tc>
          <w:tcPr>
            <w:tcW w:w="1566" w:type="dxa"/>
            <w:tcBorders>
              <w:tl2br w:val="nil"/>
              <w:tr2bl w:val="nil"/>
            </w:tcBorders>
            <w:vAlign w:val="center"/>
          </w:tcPr>
          <w:p w14:paraId="3CBF9CB7">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固废名称</w:t>
            </w:r>
          </w:p>
        </w:tc>
        <w:tc>
          <w:tcPr>
            <w:tcW w:w="1134" w:type="dxa"/>
            <w:tcBorders>
              <w:tl2br w:val="nil"/>
              <w:tr2bl w:val="nil"/>
            </w:tcBorders>
            <w:vAlign w:val="center"/>
          </w:tcPr>
          <w:p w14:paraId="6BCE1CE2">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属性</w:t>
            </w:r>
          </w:p>
        </w:tc>
        <w:tc>
          <w:tcPr>
            <w:tcW w:w="1490" w:type="dxa"/>
            <w:tcBorders>
              <w:tl2br w:val="nil"/>
              <w:tr2bl w:val="nil"/>
            </w:tcBorders>
            <w:vAlign w:val="center"/>
          </w:tcPr>
          <w:p w14:paraId="03A9C79B">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产生工序</w:t>
            </w:r>
          </w:p>
        </w:tc>
        <w:tc>
          <w:tcPr>
            <w:tcW w:w="778" w:type="dxa"/>
            <w:tcBorders>
              <w:tl2br w:val="nil"/>
              <w:tr2bl w:val="nil"/>
            </w:tcBorders>
            <w:vAlign w:val="center"/>
          </w:tcPr>
          <w:p w14:paraId="5264FACC">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形态</w:t>
            </w:r>
          </w:p>
        </w:tc>
        <w:tc>
          <w:tcPr>
            <w:tcW w:w="1418" w:type="dxa"/>
            <w:tcBorders>
              <w:tl2br w:val="nil"/>
              <w:tr2bl w:val="nil"/>
            </w:tcBorders>
            <w:vAlign w:val="center"/>
          </w:tcPr>
          <w:p w14:paraId="72DC1FD6">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主要成分</w:t>
            </w:r>
          </w:p>
        </w:tc>
        <w:tc>
          <w:tcPr>
            <w:tcW w:w="1301" w:type="dxa"/>
            <w:tcBorders>
              <w:tl2br w:val="nil"/>
              <w:tr2bl w:val="nil"/>
            </w:tcBorders>
            <w:vAlign w:val="center"/>
          </w:tcPr>
          <w:p w14:paraId="5DBA2FC9">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危险特性鉴别方法</w:t>
            </w:r>
          </w:p>
        </w:tc>
        <w:tc>
          <w:tcPr>
            <w:tcW w:w="810" w:type="dxa"/>
            <w:tcBorders>
              <w:tl2br w:val="nil"/>
              <w:tr2bl w:val="nil"/>
            </w:tcBorders>
            <w:vAlign w:val="center"/>
          </w:tcPr>
          <w:p w14:paraId="6C94F7EB">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危险特性</w:t>
            </w:r>
          </w:p>
        </w:tc>
        <w:tc>
          <w:tcPr>
            <w:tcW w:w="778" w:type="dxa"/>
            <w:tcBorders>
              <w:tl2br w:val="nil"/>
              <w:tr2bl w:val="nil"/>
            </w:tcBorders>
            <w:vAlign w:val="center"/>
          </w:tcPr>
          <w:p w14:paraId="61C74BB0">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废物类别</w:t>
            </w:r>
          </w:p>
        </w:tc>
        <w:tc>
          <w:tcPr>
            <w:tcW w:w="1314" w:type="dxa"/>
            <w:tcBorders>
              <w:tl2br w:val="nil"/>
              <w:tr2bl w:val="nil"/>
            </w:tcBorders>
            <w:vAlign w:val="center"/>
          </w:tcPr>
          <w:p w14:paraId="4F405A30">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废物代码</w:t>
            </w:r>
          </w:p>
        </w:tc>
        <w:tc>
          <w:tcPr>
            <w:tcW w:w="871" w:type="dxa"/>
            <w:tcBorders>
              <w:tl2br w:val="nil"/>
              <w:tr2bl w:val="nil"/>
            </w:tcBorders>
            <w:vAlign w:val="center"/>
          </w:tcPr>
          <w:p w14:paraId="07B7610C">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产生量（t/a）</w:t>
            </w:r>
          </w:p>
        </w:tc>
        <w:tc>
          <w:tcPr>
            <w:tcW w:w="2115" w:type="dxa"/>
            <w:tcBorders>
              <w:tl2br w:val="nil"/>
              <w:tr2bl w:val="nil"/>
            </w:tcBorders>
            <w:vAlign w:val="center"/>
          </w:tcPr>
          <w:p w14:paraId="1E28447E">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处理处置方法</w:t>
            </w:r>
          </w:p>
        </w:tc>
      </w:tr>
      <w:tr w14:paraId="163278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04C4FD67">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1566" w:type="dxa"/>
            <w:tcBorders>
              <w:tl2br w:val="nil"/>
              <w:tr2bl w:val="nil"/>
            </w:tcBorders>
            <w:vAlign w:val="center"/>
          </w:tcPr>
          <w:p w14:paraId="5A71E810">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病死鸡</w:t>
            </w:r>
          </w:p>
        </w:tc>
        <w:tc>
          <w:tcPr>
            <w:tcW w:w="1134" w:type="dxa"/>
            <w:tcBorders>
              <w:tl2br w:val="nil"/>
              <w:tr2bl w:val="nil"/>
            </w:tcBorders>
            <w:vAlign w:val="center"/>
          </w:tcPr>
          <w:p w14:paraId="1AF9A951">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一般固废</w:t>
            </w:r>
          </w:p>
        </w:tc>
        <w:tc>
          <w:tcPr>
            <w:tcW w:w="1490" w:type="dxa"/>
            <w:tcBorders>
              <w:tl2br w:val="nil"/>
              <w:tr2bl w:val="nil"/>
            </w:tcBorders>
            <w:vAlign w:val="center"/>
          </w:tcPr>
          <w:p w14:paraId="06FFB65C">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养殖过程</w:t>
            </w:r>
          </w:p>
        </w:tc>
        <w:tc>
          <w:tcPr>
            <w:tcW w:w="778" w:type="dxa"/>
            <w:tcBorders>
              <w:tl2br w:val="nil"/>
              <w:tr2bl w:val="nil"/>
            </w:tcBorders>
            <w:vAlign w:val="center"/>
          </w:tcPr>
          <w:p w14:paraId="6E901FFF">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418" w:type="dxa"/>
            <w:tcBorders>
              <w:tl2br w:val="nil"/>
              <w:tr2bl w:val="nil"/>
            </w:tcBorders>
            <w:vAlign w:val="center"/>
          </w:tcPr>
          <w:p w14:paraId="7F5F5713">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病死鸡</w:t>
            </w:r>
          </w:p>
        </w:tc>
        <w:tc>
          <w:tcPr>
            <w:tcW w:w="1301" w:type="dxa"/>
            <w:vMerge w:val="restart"/>
            <w:tcBorders>
              <w:tl2br w:val="nil"/>
              <w:tr2bl w:val="nil"/>
            </w:tcBorders>
            <w:vAlign w:val="center"/>
          </w:tcPr>
          <w:p w14:paraId="04DCDA0C">
            <w:pPr>
              <w:widowControl/>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《国家危险废物名录》</w:t>
            </w:r>
            <w:r>
              <w:rPr>
                <w:rFonts w:hint="eastAsia" w:ascii="Times New Roman" w:eastAsia="宋体"/>
                <w:kern w:val="0"/>
                <w:sz w:val="21"/>
                <w:szCs w:val="21"/>
              </w:rPr>
              <w:t>（202</w:t>
            </w:r>
            <w:r>
              <w:rPr>
                <w:rFonts w:hint="eastAsia" w:ascii="Times New Roman" w:eastAsia="宋体"/>
                <w:kern w:val="0"/>
                <w:sz w:val="21"/>
                <w:szCs w:val="21"/>
                <w:lang w:val="en-US" w:eastAsia="zh-CN"/>
              </w:rPr>
              <w:t>5</w:t>
            </w:r>
            <w:r>
              <w:rPr>
                <w:rFonts w:hint="eastAsia" w:ascii="Times New Roman" w:eastAsia="宋体"/>
                <w:kern w:val="0"/>
                <w:sz w:val="21"/>
                <w:szCs w:val="21"/>
              </w:rPr>
              <w:t>年版）</w:t>
            </w:r>
          </w:p>
        </w:tc>
        <w:tc>
          <w:tcPr>
            <w:tcW w:w="810" w:type="dxa"/>
            <w:tcBorders>
              <w:tl2br w:val="nil"/>
              <w:tr2bl w:val="nil"/>
            </w:tcBorders>
            <w:vAlign w:val="center"/>
          </w:tcPr>
          <w:p w14:paraId="293D55DB">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778" w:type="dxa"/>
            <w:tcBorders>
              <w:tl2br w:val="nil"/>
              <w:tr2bl w:val="nil"/>
            </w:tcBorders>
            <w:vAlign w:val="center"/>
          </w:tcPr>
          <w:p w14:paraId="6864B526">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SW82</w:t>
            </w:r>
          </w:p>
        </w:tc>
        <w:tc>
          <w:tcPr>
            <w:tcW w:w="1314" w:type="dxa"/>
            <w:tcBorders>
              <w:tl2br w:val="nil"/>
              <w:tr2bl w:val="nil"/>
            </w:tcBorders>
            <w:vAlign w:val="center"/>
          </w:tcPr>
          <w:p w14:paraId="56CE6066">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03</w:t>
            </w:r>
            <w:r>
              <w:rPr>
                <w:rFonts w:hint="eastAsia" w:ascii="Times New Roman" w:hAnsi="Times New Roman" w:eastAsia="宋体" w:cs="Times New Roman"/>
                <w:bCs/>
                <w:sz w:val="21"/>
                <w:szCs w:val="21"/>
              </w:rPr>
              <w:t>0-002-S82</w:t>
            </w:r>
          </w:p>
        </w:tc>
        <w:tc>
          <w:tcPr>
            <w:tcW w:w="871" w:type="dxa"/>
            <w:tcBorders>
              <w:tl2br w:val="nil"/>
              <w:tr2bl w:val="nil"/>
            </w:tcBorders>
            <w:vAlign w:val="center"/>
          </w:tcPr>
          <w:p w14:paraId="01378BF4">
            <w:pPr>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25</w:t>
            </w:r>
          </w:p>
        </w:tc>
        <w:tc>
          <w:tcPr>
            <w:tcW w:w="2115" w:type="dxa"/>
            <w:tcBorders>
              <w:tl2br w:val="nil"/>
              <w:tr2bl w:val="nil"/>
            </w:tcBorders>
            <w:vAlign w:val="center"/>
          </w:tcPr>
          <w:p w14:paraId="1FEB0098">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委托</w:t>
            </w:r>
            <w:r>
              <w:rPr>
                <w:rFonts w:hint="eastAsia" w:ascii="Times New Roman" w:hAnsi="Times New Roman" w:eastAsia="宋体" w:cs="Times New Roman"/>
                <w:bCs/>
                <w:kern w:val="0"/>
                <w:sz w:val="21"/>
                <w:szCs w:val="21"/>
              </w:rPr>
              <w:t>泗阳北斗星动物无害化处理有限公司</w:t>
            </w:r>
            <w:r>
              <w:rPr>
                <w:rFonts w:ascii="Times New Roman" w:hAnsi="Times New Roman" w:eastAsia="宋体" w:cs="Times New Roman"/>
                <w:bCs/>
                <w:sz w:val="21"/>
                <w:szCs w:val="21"/>
              </w:rPr>
              <w:t>无害化处理</w:t>
            </w:r>
          </w:p>
        </w:tc>
      </w:tr>
      <w:tr w14:paraId="74EC67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0CDD74C4">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1566" w:type="dxa"/>
            <w:tcBorders>
              <w:tl2br w:val="nil"/>
              <w:tr2bl w:val="nil"/>
            </w:tcBorders>
            <w:vAlign w:val="center"/>
          </w:tcPr>
          <w:p w14:paraId="5CF602C7">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废包装</w:t>
            </w:r>
          </w:p>
        </w:tc>
        <w:tc>
          <w:tcPr>
            <w:tcW w:w="1134" w:type="dxa"/>
            <w:tcBorders>
              <w:tl2br w:val="nil"/>
              <w:tr2bl w:val="nil"/>
            </w:tcBorders>
            <w:vAlign w:val="center"/>
          </w:tcPr>
          <w:p w14:paraId="3AFF5DD7">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一般固废</w:t>
            </w:r>
          </w:p>
        </w:tc>
        <w:tc>
          <w:tcPr>
            <w:tcW w:w="1490" w:type="dxa"/>
            <w:tcBorders>
              <w:tl2br w:val="nil"/>
              <w:tr2bl w:val="nil"/>
            </w:tcBorders>
            <w:vAlign w:val="center"/>
          </w:tcPr>
          <w:p w14:paraId="69955F3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原辅料包装</w:t>
            </w:r>
          </w:p>
        </w:tc>
        <w:tc>
          <w:tcPr>
            <w:tcW w:w="778" w:type="dxa"/>
            <w:tcBorders>
              <w:tl2br w:val="nil"/>
              <w:tr2bl w:val="nil"/>
            </w:tcBorders>
            <w:vAlign w:val="center"/>
          </w:tcPr>
          <w:p w14:paraId="7BB378B9">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418" w:type="dxa"/>
            <w:tcBorders>
              <w:tl2br w:val="nil"/>
              <w:tr2bl w:val="nil"/>
            </w:tcBorders>
            <w:vAlign w:val="center"/>
          </w:tcPr>
          <w:p w14:paraId="1E2F65BB">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包装袋</w:t>
            </w:r>
          </w:p>
        </w:tc>
        <w:tc>
          <w:tcPr>
            <w:tcW w:w="1301" w:type="dxa"/>
            <w:vMerge w:val="continue"/>
            <w:tcBorders>
              <w:tl2br w:val="nil"/>
              <w:tr2bl w:val="nil"/>
            </w:tcBorders>
            <w:vAlign w:val="center"/>
          </w:tcPr>
          <w:p w14:paraId="11F64F53">
            <w:pPr>
              <w:widowControl/>
              <w:spacing w:line="300" w:lineRule="exact"/>
              <w:jc w:val="center"/>
              <w:rPr>
                <w:rFonts w:ascii="Times New Roman" w:hAnsi="Times New Roman" w:eastAsia="宋体" w:cs="Times New Roman"/>
                <w:bCs/>
                <w:sz w:val="21"/>
                <w:szCs w:val="21"/>
              </w:rPr>
            </w:pPr>
          </w:p>
        </w:tc>
        <w:tc>
          <w:tcPr>
            <w:tcW w:w="810" w:type="dxa"/>
            <w:tcBorders>
              <w:tl2br w:val="nil"/>
              <w:tr2bl w:val="nil"/>
            </w:tcBorders>
            <w:vAlign w:val="center"/>
          </w:tcPr>
          <w:p w14:paraId="21F046EB">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778" w:type="dxa"/>
            <w:tcBorders>
              <w:tl2br w:val="nil"/>
              <w:tr2bl w:val="nil"/>
            </w:tcBorders>
            <w:vAlign w:val="center"/>
          </w:tcPr>
          <w:p w14:paraId="02EDF0EA">
            <w:pPr>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SW82</w:t>
            </w:r>
          </w:p>
        </w:tc>
        <w:tc>
          <w:tcPr>
            <w:tcW w:w="1314" w:type="dxa"/>
            <w:tcBorders>
              <w:tl2br w:val="nil"/>
              <w:tr2bl w:val="nil"/>
            </w:tcBorders>
            <w:vAlign w:val="center"/>
          </w:tcPr>
          <w:p w14:paraId="18089CF5">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030-003-S82</w:t>
            </w:r>
          </w:p>
        </w:tc>
        <w:tc>
          <w:tcPr>
            <w:tcW w:w="871" w:type="dxa"/>
            <w:tcBorders>
              <w:tl2br w:val="nil"/>
              <w:tr2bl w:val="nil"/>
            </w:tcBorders>
            <w:vAlign w:val="center"/>
          </w:tcPr>
          <w:p w14:paraId="545A0BD6">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2115" w:type="dxa"/>
            <w:tcBorders>
              <w:tl2br w:val="nil"/>
              <w:tr2bl w:val="nil"/>
            </w:tcBorders>
            <w:vAlign w:val="center"/>
          </w:tcPr>
          <w:p w14:paraId="600E89B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外售综合利用</w:t>
            </w:r>
          </w:p>
        </w:tc>
      </w:tr>
      <w:tr w14:paraId="3F8ADD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752566D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1566" w:type="dxa"/>
            <w:tcBorders>
              <w:tl2br w:val="nil"/>
              <w:tr2bl w:val="nil"/>
            </w:tcBorders>
            <w:vAlign w:val="center"/>
          </w:tcPr>
          <w:p w14:paraId="29FE5B2C">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鸡粪</w:t>
            </w:r>
          </w:p>
        </w:tc>
        <w:tc>
          <w:tcPr>
            <w:tcW w:w="1134" w:type="dxa"/>
            <w:tcBorders>
              <w:tl2br w:val="nil"/>
              <w:tr2bl w:val="nil"/>
            </w:tcBorders>
            <w:vAlign w:val="center"/>
          </w:tcPr>
          <w:p w14:paraId="6F90FD57">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一般固废</w:t>
            </w:r>
          </w:p>
        </w:tc>
        <w:tc>
          <w:tcPr>
            <w:tcW w:w="1490" w:type="dxa"/>
            <w:tcBorders>
              <w:tl2br w:val="nil"/>
              <w:tr2bl w:val="nil"/>
            </w:tcBorders>
            <w:vAlign w:val="center"/>
          </w:tcPr>
          <w:p w14:paraId="06BF2E83">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养殖过程</w:t>
            </w:r>
          </w:p>
        </w:tc>
        <w:tc>
          <w:tcPr>
            <w:tcW w:w="778" w:type="dxa"/>
            <w:tcBorders>
              <w:tl2br w:val="nil"/>
              <w:tr2bl w:val="nil"/>
            </w:tcBorders>
            <w:vAlign w:val="center"/>
          </w:tcPr>
          <w:p w14:paraId="61C0872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418" w:type="dxa"/>
            <w:tcBorders>
              <w:tl2br w:val="nil"/>
              <w:tr2bl w:val="nil"/>
            </w:tcBorders>
            <w:vAlign w:val="center"/>
          </w:tcPr>
          <w:p w14:paraId="5ABA2C20">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鸡粪</w:t>
            </w:r>
          </w:p>
        </w:tc>
        <w:tc>
          <w:tcPr>
            <w:tcW w:w="1301" w:type="dxa"/>
            <w:vMerge w:val="continue"/>
            <w:tcBorders>
              <w:tl2br w:val="nil"/>
              <w:tr2bl w:val="nil"/>
            </w:tcBorders>
            <w:vAlign w:val="center"/>
          </w:tcPr>
          <w:p w14:paraId="6C624B1B">
            <w:pPr>
              <w:widowControl/>
              <w:spacing w:line="300" w:lineRule="exact"/>
              <w:jc w:val="center"/>
              <w:rPr>
                <w:rFonts w:ascii="Times New Roman" w:hAnsi="Times New Roman" w:eastAsia="宋体" w:cs="Times New Roman"/>
                <w:bCs/>
                <w:sz w:val="21"/>
                <w:szCs w:val="21"/>
              </w:rPr>
            </w:pPr>
          </w:p>
        </w:tc>
        <w:tc>
          <w:tcPr>
            <w:tcW w:w="810" w:type="dxa"/>
            <w:tcBorders>
              <w:tl2br w:val="nil"/>
              <w:tr2bl w:val="nil"/>
            </w:tcBorders>
            <w:vAlign w:val="center"/>
          </w:tcPr>
          <w:p w14:paraId="20AAB623">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778" w:type="dxa"/>
            <w:tcBorders>
              <w:tl2br w:val="nil"/>
              <w:tr2bl w:val="nil"/>
            </w:tcBorders>
            <w:vAlign w:val="center"/>
          </w:tcPr>
          <w:p w14:paraId="0D1B9FB9">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SW82</w:t>
            </w:r>
          </w:p>
        </w:tc>
        <w:tc>
          <w:tcPr>
            <w:tcW w:w="1314" w:type="dxa"/>
            <w:tcBorders>
              <w:tl2br w:val="nil"/>
              <w:tr2bl w:val="nil"/>
            </w:tcBorders>
            <w:vAlign w:val="center"/>
          </w:tcPr>
          <w:p w14:paraId="48D66FD7">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030-001-S82</w:t>
            </w:r>
          </w:p>
        </w:tc>
        <w:tc>
          <w:tcPr>
            <w:tcW w:w="871" w:type="dxa"/>
            <w:tcBorders>
              <w:tl2br w:val="nil"/>
              <w:tr2bl w:val="nil"/>
            </w:tcBorders>
            <w:vAlign w:val="center"/>
          </w:tcPr>
          <w:p w14:paraId="6DC7EF03">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4950</w:t>
            </w:r>
          </w:p>
        </w:tc>
        <w:tc>
          <w:tcPr>
            <w:tcW w:w="2115" w:type="dxa"/>
            <w:tcBorders>
              <w:tl2br w:val="nil"/>
              <w:tr2bl w:val="nil"/>
            </w:tcBorders>
            <w:vAlign w:val="center"/>
          </w:tcPr>
          <w:p w14:paraId="2A3EC5B8">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外售</w:t>
            </w:r>
            <w:r>
              <w:rPr>
                <w:rFonts w:hint="eastAsia" w:ascii="Times New Roman" w:hAnsi="Times New Roman" w:eastAsia="宋体" w:cs="Times New Roman"/>
                <w:bCs/>
                <w:sz w:val="21"/>
                <w:szCs w:val="21"/>
                <w:lang w:eastAsia="zh-CN"/>
              </w:rPr>
              <w:t>泗阳巨宇畜禽粪污处理有限公司</w:t>
            </w:r>
            <w:r>
              <w:rPr>
                <w:rFonts w:ascii="Times New Roman" w:hAnsi="Times New Roman" w:eastAsia="宋体" w:cs="Times New Roman"/>
                <w:bCs/>
                <w:sz w:val="21"/>
                <w:szCs w:val="21"/>
              </w:rPr>
              <w:t>综合利用</w:t>
            </w:r>
          </w:p>
        </w:tc>
      </w:tr>
      <w:tr w14:paraId="680CCE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572C3FBA">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1566" w:type="dxa"/>
            <w:tcBorders>
              <w:tl2br w:val="nil"/>
              <w:tr2bl w:val="nil"/>
            </w:tcBorders>
            <w:vAlign w:val="center"/>
          </w:tcPr>
          <w:p w14:paraId="4FCB78C1">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医疗废物</w:t>
            </w:r>
          </w:p>
        </w:tc>
        <w:tc>
          <w:tcPr>
            <w:tcW w:w="1134" w:type="dxa"/>
            <w:tcBorders>
              <w:tl2br w:val="nil"/>
              <w:tr2bl w:val="nil"/>
            </w:tcBorders>
            <w:vAlign w:val="center"/>
          </w:tcPr>
          <w:p w14:paraId="0F194397">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危险废物</w:t>
            </w:r>
          </w:p>
        </w:tc>
        <w:tc>
          <w:tcPr>
            <w:tcW w:w="1490" w:type="dxa"/>
            <w:tcBorders>
              <w:tl2br w:val="nil"/>
              <w:tr2bl w:val="nil"/>
            </w:tcBorders>
            <w:vAlign w:val="center"/>
          </w:tcPr>
          <w:p w14:paraId="02F082A1">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养殖过程</w:t>
            </w:r>
          </w:p>
        </w:tc>
        <w:tc>
          <w:tcPr>
            <w:tcW w:w="778" w:type="dxa"/>
            <w:tcBorders>
              <w:tl2br w:val="nil"/>
              <w:tr2bl w:val="nil"/>
            </w:tcBorders>
            <w:vAlign w:val="center"/>
          </w:tcPr>
          <w:p w14:paraId="081A56CF">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418" w:type="dxa"/>
            <w:tcBorders>
              <w:tl2br w:val="nil"/>
              <w:tr2bl w:val="nil"/>
            </w:tcBorders>
            <w:vAlign w:val="center"/>
          </w:tcPr>
          <w:p w14:paraId="0B9F2913">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药物空瓶、袋</w:t>
            </w:r>
          </w:p>
        </w:tc>
        <w:tc>
          <w:tcPr>
            <w:tcW w:w="1301" w:type="dxa"/>
            <w:vMerge w:val="continue"/>
            <w:tcBorders>
              <w:tl2br w:val="nil"/>
              <w:tr2bl w:val="nil"/>
            </w:tcBorders>
            <w:vAlign w:val="center"/>
          </w:tcPr>
          <w:p w14:paraId="0E2EC8D9">
            <w:pPr>
              <w:widowControl/>
              <w:spacing w:line="300" w:lineRule="exact"/>
              <w:jc w:val="center"/>
              <w:rPr>
                <w:rFonts w:ascii="Times New Roman" w:hAnsi="Times New Roman" w:eastAsia="宋体" w:cs="Times New Roman"/>
                <w:bCs/>
                <w:sz w:val="21"/>
                <w:szCs w:val="21"/>
              </w:rPr>
            </w:pPr>
          </w:p>
        </w:tc>
        <w:tc>
          <w:tcPr>
            <w:tcW w:w="810" w:type="dxa"/>
            <w:tcBorders>
              <w:tl2br w:val="nil"/>
              <w:tr2bl w:val="nil"/>
            </w:tcBorders>
            <w:vAlign w:val="center"/>
          </w:tcPr>
          <w:p w14:paraId="6B8EC3A0">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In</w:t>
            </w:r>
          </w:p>
        </w:tc>
        <w:tc>
          <w:tcPr>
            <w:tcW w:w="778" w:type="dxa"/>
            <w:tcBorders>
              <w:tl2br w:val="nil"/>
              <w:tr2bl w:val="nil"/>
            </w:tcBorders>
            <w:vAlign w:val="center"/>
          </w:tcPr>
          <w:p w14:paraId="543B9DAB">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HW01</w:t>
            </w:r>
          </w:p>
        </w:tc>
        <w:tc>
          <w:tcPr>
            <w:tcW w:w="1314" w:type="dxa"/>
            <w:tcBorders>
              <w:tl2br w:val="nil"/>
              <w:tr2bl w:val="nil"/>
            </w:tcBorders>
            <w:vAlign w:val="center"/>
          </w:tcPr>
          <w:p w14:paraId="5783C08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841-001-01</w:t>
            </w:r>
          </w:p>
        </w:tc>
        <w:tc>
          <w:tcPr>
            <w:tcW w:w="871" w:type="dxa"/>
            <w:tcBorders>
              <w:tl2br w:val="nil"/>
              <w:tr2bl w:val="nil"/>
            </w:tcBorders>
            <w:vAlign w:val="center"/>
          </w:tcPr>
          <w:p w14:paraId="2EBE82F2">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r>
              <w:rPr>
                <w:rFonts w:hint="eastAsia" w:ascii="Times New Roman" w:hAnsi="Times New Roman" w:eastAsia="宋体" w:cs="Times New Roman"/>
                <w:bCs/>
                <w:sz w:val="21"/>
                <w:szCs w:val="21"/>
              </w:rPr>
              <w:t>1</w:t>
            </w:r>
          </w:p>
        </w:tc>
        <w:tc>
          <w:tcPr>
            <w:tcW w:w="2115" w:type="dxa"/>
            <w:tcBorders>
              <w:tl2br w:val="nil"/>
              <w:tr2bl w:val="nil"/>
            </w:tcBorders>
            <w:vAlign w:val="center"/>
          </w:tcPr>
          <w:p w14:paraId="6EC6FF12">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有资质单位</w:t>
            </w:r>
            <w:r>
              <w:rPr>
                <w:rFonts w:hint="eastAsia" w:ascii="Times New Roman" w:hAnsi="Times New Roman" w:eastAsia="宋体" w:cs="Times New Roman"/>
                <w:bCs/>
                <w:sz w:val="21"/>
                <w:szCs w:val="21"/>
              </w:rPr>
              <w:t>安全</w:t>
            </w:r>
            <w:r>
              <w:rPr>
                <w:rFonts w:ascii="Times New Roman" w:hAnsi="Times New Roman" w:eastAsia="宋体" w:cs="Times New Roman"/>
                <w:bCs/>
                <w:sz w:val="21"/>
                <w:szCs w:val="21"/>
              </w:rPr>
              <w:t>处置</w:t>
            </w:r>
          </w:p>
        </w:tc>
      </w:tr>
      <w:tr w14:paraId="781819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2A8D04A4">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1566" w:type="dxa"/>
            <w:tcBorders>
              <w:tl2br w:val="nil"/>
              <w:tr2bl w:val="nil"/>
            </w:tcBorders>
            <w:vAlign w:val="center"/>
          </w:tcPr>
          <w:p w14:paraId="61E489AB">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污泥</w:t>
            </w:r>
          </w:p>
        </w:tc>
        <w:tc>
          <w:tcPr>
            <w:tcW w:w="1134" w:type="dxa"/>
            <w:tcBorders>
              <w:tl2br w:val="nil"/>
              <w:tr2bl w:val="nil"/>
            </w:tcBorders>
            <w:vAlign w:val="center"/>
          </w:tcPr>
          <w:p w14:paraId="6F34B176">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一般固废</w:t>
            </w:r>
          </w:p>
        </w:tc>
        <w:tc>
          <w:tcPr>
            <w:tcW w:w="1490" w:type="dxa"/>
            <w:tcBorders>
              <w:tl2br w:val="nil"/>
              <w:tr2bl w:val="nil"/>
            </w:tcBorders>
            <w:vAlign w:val="center"/>
          </w:tcPr>
          <w:p w14:paraId="1AC4D2B2">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废</w:t>
            </w:r>
            <w:r>
              <w:rPr>
                <w:rFonts w:ascii="Times New Roman" w:hAnsi="Times New Roman" w:eastAsia="宋体" w:cs="Times New Roman"/>
                <w:bCs/>
                <w:sz w:val="21"/>
                <w:szCs w:val="21"/>
              </w:rPr>
              <w:t>水处理</w:t>
            </w:r>
          </w:p>
        </w:tc>
        <w:tc>
          <w:tcPr>
            <w:tcW w:w="778" w:type="dxa"/>
            <w:tcBorders>
              <w:tl2br w:val="nil"/>
              <w:tr2bl w:val="nil"/>
            </w:tcBorders>
            <w:vAlign w:val="center"/>
          </w:tcPr>
          <w:p w14:paraId="1793A7AA">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418" w:type="dxa"/>
            <w:tcBorders>
              <w:tl2br w:val="nil"/>
              <w:tr2bl w:val="nil"/>
            </w:tcBorders>
            <w:vAlign w:val="center"/>
          </w:tcPr>
          <w:p w14:paraId="73F0E7DF">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污泥</w:t>
            </w:r>
          </w:p>
        </w:tc>
        <w:tc>
          <w:tcPr>
            <w:tcW w:w="1301" w:type="dxa"/>
            <w:vMerge w:val="continue"/>
            <w:tcBorders>
              <w:tl2br w:val="nil"/>
              <w:tr2bl w:val="nil"/>
            </w:tcBorders>
            <w:vAlign w:val="center"/>
          </w:tcPr>
          <w:p w14:paraId="082C21C3">
            <w:pPr>
              <w:widowControl/>
              <w:spacing w:line="300" w:lineRule="exact"/>
              <w:jc w:val="center"/>
              <w:rPr>
                <w:rFonts w:ascii="Times New Roman" w:hAnsi="Times New Roman" w:eastAsia="宋体" w:cs="Times New Roman"/>
                <w:bCs/>
                <w:sz w:val="21"/>
                <w:szCs w:val="21"/>
              </w:rPr>
            </w:pPr>
          </w:p>
        </w:tc>
        <w:tc>
          <w:tcPr>
            <w:tcW w:w="810" w:type="dxa"/>
            <w:tcBorders>
              <w:tl2br w:val="nil"/>
              <w:tr2bl w:val="nil"/>
            </w:tcBorders>
            <w:vAlign w:val="center"/>
          </w:tcPr>
          <w:p w14:paraId="09F1C26B">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778" w:type="dxa"/>
            <w:tcBorders>
              <w:tl2br w:val="nil"/>
              <w:tr2bl w:val="nil"/>
            </w:tcBorders>
            <w:vAlign w:val="center"/>
          </w:tcPr>
          <w:p w14:paraId="4C012301">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SW07</w:t>
            </w:r>
          </w:p>
        </w:tc>
        <w:tc>
          <w:tcPr>
            <w:tcW w:w="1314" w:type="dxa"/>
            <w:tcBorders>
              <w:tl2br w:val="nil"/>
              <w:tr2bl w:val="nil"/>
            </w:tcBorders>
            <w:vAlign w:val="center"/>
          </w:tcPr>
          <w:p w14:paraId="03648417">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900-099-S07</w:t>
            </w:r>
          </w:p>
        </w:tc>
        <w:tc>
          <w:tcPr>
            <w:tcW w:w="871" w:type="dxa"/>
            <w:tcBorders>
              <w:tl2br w:val="nil"/>
              <w:tr2bl w:val="nil"/>
            </w:tcBorders>
            <w:vAlign w:val="center"/>
          </w:tcPr>
          <w:p w14:paraId="095925C9">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8.4</w:t>
            </w:r>
          </w:p>
        </w:tc>
        <w:tc>
          <w:tcPr>
            <w:tcW w:w="2115" w:type="dxa"/>
            <w:tcBorders>
              <w:tl2br w:val="nil"/>
              <w:tr2bl w:val="nil"/>
            </w:tcBorders>
            <w:vAlign w:val="center"/>
          </w:tcPr>
          <w:p w14:paraId="6B5C110B">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委外资源化</w:t>
            </w:r>
            <w:r>
              <w:rPr>
                <w:rFonts w:ascii="Times New Roman" w:hAnsi="Times New Roman" w:eastAsia="宋体" w:cs="Times New Roman"/>
                <w:bCs/>
                <w:sz w:val="21"/>
                <w:szCs w:val="21"/>
              </w:rPr>
              <w:t>利用</w:t>
            </w:r>
          </w:p>
        </w:tc>
      </w:tr>
      <w:tr w14:paraId="4A6E64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12088E3A">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1566" w:type="dxa"/>
            <w:tcBorders>
              <w:tl2br w:val="nil"/>
              <w:tr2bl w:val="nil"/>
            </w:tcBorders>
            <w:vAlign w:val="center"/>
          </w:tcPr>
          <w:p w14:paraId="541BB5F9">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饲料残渣及散落羽毛</w:t>
            </w:r>
          </w:p>
        </w:tc>
        <w:tc>
          <w:tcPr>
            <w:tcW w:w="1134" w:type="dxa"/>
            <w:tcBorders>
              <w:tl2br w:val="nil"/>
              <w:tr2bl w:val="nil"/>
            </w:tcBorders>
            <w:vAlign w:val="center"/>
          </w:tcPr>
          <w:p w14:paraId="0BC4A217">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一般固废</w:t>
            </w:r>
          </w:p>
        </w:tc>
        <w:tc>
          <w:tcPr>
            <w:tcW w:w="1490" w:type="dxa"/>
            <w:tcBorders>
              <w:tl2br w:val="nil"/>
              <w:tr2bl w:val="nil"/>
            </w:tcBorders>
            <w:vAlign w:val="center"/>
          </w:tcPr>
          <w:p w14:paraId="6C33FF25">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养殖过程</w:t>
            </w:r>
          </w:p>
        </w:tc>
        <w:tc>
          <w:tcPr>
            <w:tcW w:w="778" w:type="dxa"/>
            <w:tcBorders>
              <w:tl2br w:val="nil"/>
              <w:tr2bl w:val="nil"/>
            </w:tcBorders>
            <w:vAlign w:val="center"/>
          </w:tcPr>
          <w:p w14:paraId="5ABCCB78">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418" w:type="dxa"/>
            <w:tcBorders>
              <w:tl2br w:val="nil"/>
              <w:tr2bl w:val="nil"/>
            </w:tcBorders>
            <w:vAlign w:val="center"/>
          </w:tcPr>
          <w:p w14:paraId="2306785B">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饲料残渣及散落羽毛</w:t>
            </w:r>
          </w:p>
        </w:tc>
        <w:tc>
          <w:tcPr>
            <w:tcW w:w="1301" w:type="dxa"/>
            <w:vMerge w:val="continue"/>
            <w:tcBorders>
              <w:tl2br w:val="nil"/>
              <w:tr2bl w:val="nil"/>
            </w:tcBorders>
            <w:vAlign w:val="center"/>
          </w:tcPr>
          <w:p w14:paraId="2CBEF241">
            <w:pPr>
              <w:widowControl/>
              <w:spacing w:line="300" w:lineRule="exact"/>
              <w:jc w:val="center"/>
              <w:rPr>
                <w:rFonts w:ascii="Times New Roman" w:hAnsi="Times New Roman" w:eastAsia="宋体" w:cs="Times New Roman"/>
                <w:bCs/>
                <w:sz w:val="21"/>
                <w:szCs w:val="21"/>
              </w:rPr>
            </w:pPr>
          </w:p>
        </w:tc>
        <w:tc>
          <w:tcPr>
            <w:tcW w:w="810" w:type="dxa"/>
            <w:tcBorders>
              <w:tl2br w:val="nil"/>
              <w:tr2bl w:val="nil"/>
            </w:tcBorders>
            <w:vAlign w:val="center"/>
          </w:tcPr>
          <w:p w14:paraId="78FFEFA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778" w:type="dxa"/>
            <w:tcBorders>
              <w:tl2br w:val="nil"/>
              <w:tr2bl w:val="nil"/>
            </w:tcBorders>
            <w:vAlign w:val="center"/>
          </w:tcPr>
          <w:p w14:paraId="1B9B064D">
            <w:pPr>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SW82</w:t>
            </w:r>
          </w:p>
        </w:tc>
        <w:tc>
          <w:tcPr>
            <w:tcW w:w="1314" w:type="dxa"/>
            <w:tcBorders>
              <w:tl2br w:val="nil"/>
              <w:tr2bl w:val="nil"/>
            </w:tcBorders>
            <w:vAlign w:val="center"/>
          </w:tcPr>
          <w:p w14:paraId="7C3A4926">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030-003-S82</w:t>
            </w:r>
          </w:p>
        </w:tc>
        <w:tc>
          <w:tcPr>
            <w:tcW w:w="871" w:type="dxa"/>
            <w:tcBorders>
              <w:tl2br w:val="nil"/>
              <w:tr2bl w:val="nil"/>
            </w:tcBorders>
            <w:vAlign w:val="center"/>
          </w:tcPr>
          <w:p w14:paraId="5505E47A">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w:t>
            </w:r>
          </w:p>
        </w:tc>
        <w:tc>
          <w:tcPr>
            <w:tcW w:w="2115" w:type="dxa"/>
            <w:tcBorders>
              <w:tl2br w:val="nil"/>
              <w:tr2bl w:val="nil"/>
            </w:tcBorders>
            <w:vAlign w:val="center"/>
          </w:tcPr>
          <w:p w14:paraId="535DB5D5">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外售综合利用</w:t>
            </w:r>
          </w:p>
        </w:tc>
      </w:tr>
      <w:tr w14:paraId="5C8D89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76FBEF73">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w:t>
            </w:r>
          </w:p>
        </w:tc>
        <w:tc>
          <w:tcPr>
            <w:tcW w:w="1566" w:type="dxa"/>
            <w:tcBorders>
              <w:tl2br w:val="nil"/>
              <w:tr2bl w:val="nil"/>
            </w:tcBorders>
            <w:vAlign w:val="center"/>
          </w:tcPr>
          <w:p w14:paraId="124575C2">
            <w:pPr>
              <w:tabs>
                <w:tab w:val="left" w:pos="0"/>
              </w:tabs>
              <w:adjustRightInd w:val="0"/>
              <w:spacing w:line="300" w:lineRule="exact"/>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废树脂</w:t>
            </w:r>
          </w:p>
        </w:tc>
        <w:tc>
          <w:tcPr>
            <w:tcW w:w="1134" w:type="dxa"/>
            <w:tcBorders>
              <w:tl2br w:val="nil"/>
              <w:tr2bl w:val="nil"/>
            </w:tcBorders>
            <w:vAlign w:val="center"/>
          </w:tcPr>
          <w:p w14:paraId="5BB15E98">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一般固废</w:t>
            </w:r>
          </w:p>
        </w:tc>
        <w:tc>
          <w:tcPr>
            <w:tcW w:w="1490" w:type="dxa"/>
            <w:tcBorders>
              <w:tl2br w:val="nil"/>
              <w:tr2bl w:val="nil"/>
            </w:tcBorders>
            <w:vAlign w:val="center"/>
          </w:tcPr>
          <w:p w14:paraId="66637F2E">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软水制备</w:t>
            </w:r>
          </w:p>
        </w:tc>
        <w:tc>
          <w:tcPr>
            <w:tcW w:w="778" w:type="dxa"/>
            <w:tcBorders>
              <w:tl2br w:val="nil"/>
              <w:tr2bl w:val="nil"/>
            </w:tcBorders>
            <w:vAlign w:val="center"/>
          </w:tcPr>
          <w:p w14:paraId="0E47E63E">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418" w:type="dxa"/>
            <w:tcBorders>
              <w:tl2br w:val="nil"/>
              <w:tr2bl w:val="nil"/>
            </w:tcBorders>
            <w:vAlign w:val="center"/>
          </w:tcPr>
          <w:p w14:paraId="7E08F3F1">
            <w:pPr>
              <w:tabs>
                <w:tab w:val="left" w:pos="0"/>
              </w:tabs>
              <w:adjustRightInd w:val="0"/>
              <w:spacing w:line="300" w:lineRule="exact"/>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废树脂</w:t>
            </w:r>
          </w:p>
        </w:tc>
        <w:tc>
          <w:tcPr>
            <w:tcW w:w="1301" w:type="dxa"/>
            <w:vMerge w:val="continue"/>
            <w:tcBorders>
              <w:tl2br w:val="nil"/>
              <w:tr2bl w:val="nil"/>
            </w:tcBorders>
            <w:vAlign w:val="center"/>
          </w:tcPr>
          <w:p w14:paraId="34DDAF2D">
            <w:pPr>
              <w:widowControl/>
              <w:spacing w:line="300" w:lineRule="exact"/>
              <w:jc w:val="center"/>
              <w:rPr>
                <w:rFonts w:ascii="Times New Roman" w:hAnsi="Times New Roman" w:eastAsia="宋体" w:cs="Times New Roman"/>
                <w:bCs/>
                <w:sz w:val="21"/>
                <w:szCs w:val="21"/>
              </w:rPr>
            </w:pPr>
          </w:p>
        </w:tc>
        <w:tc>
          <w:tcPr>
            <w:tcW w:w="810" w:type="dxa"/>
            <w:tcBorders>
              <w:tl2br w:val="nil"/>
              <w:tr2bl w:val="nil"/>
            </w:tcBorders>
            <w:vAlign w:val="center"/>
          </w:tcPr>
          <w:p w14:paraId="32E213BC">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78" w:type="dxa"/>
            <w:tcBorders>
              <w:tl2br w:val="nil"/>
              <w:tr2bl w:val="nil"/>
            </w:tcBorders>
            <w:vAlign w:val="center"/>
          </w:tcPr>
          <w:p w14:paraId="759144B3">
            <w:pPr>
              <w:pStyle w:val="25"/>
              <w:adjustRightInd w:val="0"/>
              <w:spacing w:line="280" w:lineRule="exact"/>
              <w:jc w:val="center"/>
              <w:rPr>
                <w:rFonts w:ascii="Times New Roman" w:hAnsi="Times New Roman" w:eastAsia="宋体"/>
                <w:kern w:val="0"/>
                <w:sz w:val="21"/>
                <w:szCs w:val="21"/>
              </w:rPr>
            </w:pPr>
            <w:r>
              <w:rPr>
                <w:rFonts w:hint="eastAsia" w:ascii="Times New Roman" w:hAnsi="Times New Roman" w:eastAsia="宋体"/>
                <w:kern w:val="0"/>
                <w:sz w:val="21"/>
                <w:szCs w:val="21"/>
              </w:rPr>
              <w:t>SW59</w:t>
            </w:r>
          </w:p>
        </w:tc>
        <w:tc>
          <w:tcPr>
            <w:tcW w:w="1314" w:type="dxa"/>
            <w:tcBorders>
              <w:tl2br w:val="nil"/>
              <w:tr2bl w:val="nil"/>
            </w:tcBorders>
            <w:vAlign w:val="center"/>
          </w:tcPr>
          <w:p w14:paraId="5F2DDAA0">
            <w:pPr>
              <w:pStyle w:val="25"/>
              <w:adjustRightInd w:val="0"/>
              <w:spacing w:line="280" w:lineRule="exact"/>
              <w:jc w:val="center"/>
              <w:rPr>
                <w:rFonts w:ascii="Times New Roman" w:hAnsi="Times New Roman" w:eastAsia="宋体"/>
                <w:kern w:val="0"/>
                <w:sz w:val="21"/>
                <w:szCs w:val="21"/>
              </w:rPr>
            </w:pPr>
            <w:r>
              <w:rPr>
                <w:rFonts w:hint="eastAsia" w:ascii="Times New Roman" w:hAnsi="Times New Roman" w:eastAsia="宋体"/>
                <w:kern w:val="0"/>
                <w:sz w:val="21"/>
                <w:szCs w:val="21"/>
              </w:rPr>
              <w:t>900-009-S59</w:t>
            </w:r>
          </w:p>
        </w:tc>
        <w:tc>
          <w:tcPr>
            <w:tcW w:w="871" w:type="dxa"/>
            <w:tcBorders>
              <w:tl2br w:val="nil"/>
              <w:tr2bl w:val="nil"/>
            </w:tcBorders>
            <w:vAlign w:val="center"/>
          </w:tcPr>
          <w:p w14:paraId="6B1B7897">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w:t>
            </w:r>
          </w:p>
        </w:tc>
        <w:tc>
          <w:tcPr>
            <w:tcW w:w="2115" w:type="dxa"/>
            <w:tcBorders>
              <w:tl2br w:val="nil"/>
              <w:tr2bl w:val="nil"/>
            </w:tcBorders>
            <w:vAlign w:val="center"/>
          </w:tcPr>
          <w:p w14:paraId="5FF7C1EB">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lang w:val="en-US" w:eastAsia="zh-CN"/>
              </w:rPr>
              <w:t>厂家回收再</w:t>
            </w:r>
            <w:r>
              <w:rPr>
                <w:rFonts w:ascii="Times New Roman" w:hAnsi="Times New Roman" w:eastAsia="宋体" w:cs="Times New Roman"/>
                <w:bCs/>
                <w:sz w:val="21"/>
                <w:szCs w:val="21"/>
              </w:rPr>
              <w:t>利用</w:t>
            </w:r>
          </w:p>
        </w:tc>
      </w:tr>
      <w:tr w14:paraId="0354E0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65101CB6">
            <w:pPr>
              <w:tabs>
                <w:tab w:val="left" w:pos="0"/>
              </w:tabs>
              <w:adjustRightInd w:val="0"/>
              <w:spacing w:line="300" w:lineRule="exact"/>
              <w:jc w:val="center"/>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val="en-US" w:eastAsia="zh-CN"/>
              </w:rPr>
              <w:t>8</w:t>
            </w:r>
          </w:p>
        </w:tc>
        <w:tc>
          <w:tcPr>
            <w:tcW w:w="1566" w:type="dxa"/>
            <w:tcBorders>
              <w:tl2br w:val="nil"/>
              <w:tr2bl w:val="nil"/>
            </w:tcBorders>
            <w:vAlign w:val="center"/>
          </w:tcPr>
          <w:p w14:paraId="6C132DF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生活垃圾</w:t>
            </w:r>
          </w:p>
        </w:tc>
        <w:tc>
          <w:tcPr>
            <w:tcW w:w="1134" w:type="dxa"/>
            <w:tcBorders>
              <w:tl2br w:val="nil"/>
              <w:tr2bl w:val="nil"/>
            </w:tcBorders>
            <w:vAlign w:val="center"/>
          </w:tcPr>
          <w:p w14:paraId="147FF9CC">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一般固废</w:t>
            </w:r>
          </w:p>
        </w:tc>
        <w:tc>
          <w:tcPr>
            <w:tcW w:w="1490" w:type="dxa"/>
            <w:tcBorders>
              <w:tl2br w:val="nil"/>
              <w:tr2bl w:val="nil"/>
            </w:tcBorders>
            <w:vAlign w:val="center"/>
          </w:tcPr>
          <w:p w14:paraId="4241E926">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职工日常</w:t>
            </w:r>
            <w:r>
              <w:rPr>
                <w:rFonts w:hint="eastAsia" w:ascii="Times New Roman" w:hAnsi="Times New Roman" w:eastAsia="宋体" w:cs="Times New Roman"/>
                <w:bCs/>
                <w:sz w:val="21"/>
                <w:szCs w:val="21"/>
              </w:rPr>
              <w:t>生活</w:t>
            </w:r>
          </w:p>
        </w:tc>
        <w:tc>
          <w:tcPr>
            <w:tcW w:w="778" w:type="dxa"/>
            <w:tcBorders>
              <w:tl2br w:val="nil"/>
              <w:tr2bl w:val="nil"/>
            </w:tcBorders>
            <w:vAlign w:val="center"/>
          </w:tcPr>
          <w:p w14:paraId="07B7231F">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418" w:type="dxa"/>
            <w:tcBorders>
              <w:tl2br w:val="nil"/>
              <w:tr2bl w:val="nil"/>
            </w:tcBorders>
            <w:vAlign w:val="center"/>
          </w:tcPr>
          <w:p w14:paraId="3BDB0E5A">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宋体" w:eastAsia="宋体"/>
                <w:sz w:val="21"/>
                <w:szCs w:val="21"/>
              </w:rPr>
              <w:t>可燃物、可堆腐物</w:t>
            </w:r>
          </w:p>
        </w:tc>
        <w:tc>
          <w:tcPr>
            <w:tcW w:w="1301" w:type="dxa"/>
            <w:vMerge w:val="continue"/>
            <w:tcBorders>
              <w:tl2br w:val="nil"/>
              <w:tr2bl w:val="nil"/>
            </w:tcBorders>
            <w:vAlign w:val="center"/>
          </w:tcPr>
          <w:p w14:paraId="54F60530">
            <w:pPr>
              <w:widowControl/>
              <w:spacing w:line="300" w:lineRule="exact"/>
              <w:jc w:val="center"/>
              <w:rPr>
                <w:rFonts w:ascii="Times New Roman" w:hAnsi="Times New Roman" w:eastAsia="宋体" w:cs="Times New Roman"/>
                <w:bCs/>
                <w:sz w:val="21"/>
                <w:szCs w:val="21"/>
              </w:rPr>
            </w:pPr>
          </w:p>
        </w:tc>
        <w:tc>
          <w:tcPr>
            <w:tcW w:w="810" w:type="dxa"/>
            <w:tcBorders>
              <w:tl2br w:val="nil"/>
              <w:tr2bl w:val="nil"/>
            </w:tcBorders>
            <w:vAlign w:val="center"/>
          </w:tcPr>
          <w:p w14:paraId="42D826C1">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778" w:type="dxa"/>
            <w:tcBorders>
              <w:tl2br w:val="nil"/>
              <w:tr2bl w:val="nil"/>
            </w:tcBorders>
            <w:vAlign w:val="center"/>
          </w:tcPr>
          <w:p w14:paraId="588E2BB5">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SW64</w:t>
            </w:r>
          </w:p>
        </w:tc>
        <w:tc>
          <w:tcPr>
            <w:tcW w:w="1314" w:type="dxa"/>
            <w:tcBorders>
              <w:tl2br w:val="nil"/>
              <w:tr2bl w:val="nil"/>
            </w:tcBorders>
            <w:vAlign w:val="center"/>
          </w:tcPr>
          <w:p w14:paraId="03F6408F">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900-099-S64</w:t>
            </w:r>
          </w:p>
        </w:tc>
        <w:tc>
          <w:tcPr>
            <w:tcW w:w="871" w:type="dxa"/>
            <w:tcBorders>
              <w:tl2br w:val="nil"/>
              <w:tr2bl w:val="nil"/>
            </w:tcBorders>
            <w:vAlign w:val="center"/>
          </w:tcPr>
          <w:p w14:paraId="41C0073B">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w:t>
            </w:r>
          </w:p>
        </w:tc>
        <w:tc>
          <w:tcPr>
            <w:tcW w:w="2115" w:type="dxa"/>
            <w:tcBorders>
              <w:tl2br w:val="nil"/>
              <w:tr2bl w:val="nil"/>
            </w:tcBorders>
            <w:vAlign w:val="center"/>
          </w:tcPr>
          <w:p w14:paraId="7C42AEB5">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环卫部门清理</w:t>
            </w:r>
          </w:p>
        </w:tc>
      </w:tr>
    </w:tbl>
    <w:p w14:paraId="17A14F0C">
      <w:pPr>
        <w:spacing w:line="20" w:lineRule="exact"/>
        <w:ind w:firstLine="480" w:firstLineChars="200"/>
      </w:pPr>
    </w:p>
    <w:p w14:paraId="7CE36822">
      <w:pPr>
        <w:adjustRightInd w:val="0"/>
        <w:snapToGrid w:val="0"/>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项目危险废物汇总情况详见表3.7-11。</w:t>
      </w:r>
    </w:p>
    <w:p w14:paraId="60ECFEFE">
      <w:pPr>
        <w:adjustRightInd w:val="0"/>
        <w:snapToGrid w:val="0"/>
        <w:spacing w:line="480" w:lineRule="exact"/>
        <w:jc w:val="center"/>
        <w:rPr>
          <w:rFonts w:ascii="Times New Roman" w:hAnsi="Times New Roman" w:eastAsia="宋体" w:cs="Times New Roman"/>
          <w:szCs w:val="24"/>
        </w:rPr>
      </w:pPr>
      <w:r>
        <w:rPr>
          <w:rFonts w:ascii="Times New Roman" w:hAnsi="Times New Roman" w:eastAsia="宋体" w:cs="Times New Roman"/>
          <w:b/>
          <w:bCs/>
          <w:szCs w:val="24"/>
        </w:rPr>
        <w:t>表3.7-11项目危险废物汇总样表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295"/>
        <w:gridCol w:w="1062"/>
        <w:gridCol w:w="1349"/>
        <w:gridCol w:w="928"/>
        <w:gridCol w:w="1232"/>
        <w:gridCol w:w="825"/>
        <w:gridCol w:w="1935"/>
        <w:gridCol w:w="1275"/>
        <w:gridCol w:w="988"/>
        <w:gridCol w:w="1136"/>
        <w:gridCol w:w="1421"/>
      </w:tblGrid>
      <w:tr w14:paraId="612D00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vAlign w:val="center"/>
          </w:tcPr>
          <w:p w14:paraId="7B553FAD">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455" w:type="pct"/>
            <w:vAlign w:val="center"/>
          </w:tcPr>
          <w:p w14:paraId="5A6BA1A5">
            <w:pPr>
              <w:pStyle w:val="11"/>
              <w:adjustRightInd w:val="0"/>
              <w:snapToGrid w:val="0"/>
              <w:spacing w:line="300" w:lineRule="exact"/>
              <w:ind w:firstLine="0" w:firstLineChars="0"/>
              <w:jc w:val="center"/>
              <w:rPr>
                <w:rFonts w:eastAsia="宋体" w:cs="Times New Roman"/>
                <w:sz w:val="21"/>
                <w:szCs w:val="21"/>
              </w:rPr>
            </w:pPr>
            <w:r>
              <w:rPr>
                <w:rFonts w:eastAsia="宋体" w:cs="Times New Roman"/>
                <w:sz w:val="21"/>
                <w:szCs w:val="21"/>
              </w:rPr>
              <w:t>危险废物名称</w:t>
            </w:r>
          </w:p>
        </w:tc>
        <w:tc>
          <w:tcPr>
            <w:tcW w:w="373" w:type="pct"/>
            <w:vAlign w:val="center"/>
          </w:tcPr>
          <w:p w14:paraId="5D16E99B">
            <w:pPr>
              <w:pStyle w:val="11"/>
              <w:adjustRightInd w:val="0"/>
              <w:snapToGrid w:val="0"/>
              <w:spacing w:line="300" w:lineRule="exact"/>
              <w:ind w:firstLine="0" w:firstLineChars="0"/>
              <w:jc w:val="center"/>
              <w:rPr>
                <w:rFonts w:eastAsia="宋体" w:cs="Times New Roman"/>
                <w:sz w:val="21"/>
                <w:szCs w:val="21"/>
              </w:rPr>
            </w:pPr>
            <w:r>
              <w:rPr>
                <w:rFonts w:eastAsia="宋体" w:cs="Times New Roman"/>
                <w:sz w:val="21"/>
                <w:szCs w:val="21"/>
              </w:rPr>
              <w:t>危险废物类别</w:t>
            </w:r>
          </w:p>
        </w:tc>
        <w:tc>
          <w:tcPr>
            <w:tcW w:w="474" w:type="pct"/>
            <w:vAlign w:val="center"/>
          </w:tcPr>
          <w:p w14:paraId="17C16599">
            <w:pPr>
              <w:pStyle w:val="11"/>
              <w:adjustRightInd w:val="0"/>
              <w:snapToGrid w:val="0"/>
              <w:spacing w:line="300" w:lineRule="exact"/>
              <w:ind w:firstLine="0" w:firstLineChars="0"/>
              <w:jc w:val="center"/>
              <w:rPr>
                <w:rFonts w:eastAsia="宋体" w:cs="Times New Roman"/>
                <w:sz w:val="21"/>
                <w:szCs w:val="21"/>
              </w:rPr>
            </w:pPr>
            <w:r>
              <w:rPr>
                <w:rFonts w:eastAsia="宋体" w:cs="Times New Roman"/>
                <w:sz w:val="21"/>
                <w:szCs w:val="21"/>
              </w:rPr>
              <w:t>危险废物代码</w:t>
            </w:r>
          </w:p>
        </w:tc>
        <w:tc>
          <w:tcPr>
            <w:tcW w:w="326" w:type="pct"/>
            <w:vAlign w:val="center"/>
          </w:tcPr>
          <w:p w14:paraId="0A5092C4">
            <w:pPr>
              <w:pStyle w:val="11"/>
              <w:adjustRightInd w:val="0"/>
              <w:snapToGrid w:val="0"/>
              <w:spacing w:line="300" w:lineRule="exact"/>
              <w:ind w:firstLine="0" w:firstLineChars="0"/>
              <w:jc w:val="center"/>
              <w:rPr>
                <w:rFonts w:eastAsia="宋体" w:cs="Times New Roman"/>
                <w:sz w:val="21"/>
                <w:szCs w:val="21"/>
              </w:rPr>
            </w:pPr>
            <w:r>
              <w:rPr>
                <w:rFonts w:eastAsia="宋体" w:cs="Times New Roman"/>
                <w:sz w:val="21"/>
                <w:szCs w:val="21"/>
              </w:rPr>
              <w:t>产生量</w:t>
            </w:r>
          </w:p>
        </w:tc>
        <w:tc>
          <w:tcPr>
            <w:tcW w:w="433" w:type="pct"/>
            <w:vAlign w:val="center"/>
          </w:tcPr>
          <w:p w14:paraId="65B2F76F">
            <w:pPr>
              <w:pStyle w:val="11"/>
              <w:adjustRightInd w:val="0"/>
              <w:snapToGrid w:val="0"/>
              <w:spacing w:line="300" w:lineRule="exact"/>
              <w:ind w:firstLine="0" w:firstLineChars="0"/>
              <w:jc w:val="center"/>
              <w:rPr>
                <w:rFonts w:eastAsia="宋体" w:cs="Times New Roman"/>
                <w:sz w:val="21"/>
                <w:szCs w:val="21"/>
              </w:rPr>
            </w:pPr>
            <w:r>
              <w:rPr>
                <w:rFonts w:eastAsia="宋体" w:cs="Times New Roman"/>
                <w:sz w:val="21"/>
                <w:szCs w:val="21"/>
              </w:rPr>
              <w:t>产生工序及装置</w:t>
            </w:r>
          </w:p>
        </w:tc>
        <w:tc>
          <w:tcPr>
            <w:tcW w:w="290" w:type="pct"/>
            <w:vAlign w:val="center"/>
          </w:tcPr>
          <w:p w14:paraId="62F233BA">
            <w:pPr>
              <w:pStyle w:val="11"/>
              <w:adjustRightInd w:val="0"/>
              <w:snapToGrid w:val="0"/>
              <w:spacing w:line="300" w:lineRule="exact"/>
              <w:ind w:firstLine="0" w:firstLineChars="0"/>
              <w:jc w:val="center"/>
              <w:rPr>
                <w:rFonts w:eastAsia="宋体" w:cs="Times New Roman"/>
                <w:sz w:val="21"/>
                <w:szCs w:val="21"/>
              </w:rPr>
            </w:pPr>
            <w:r>
              <w:rPr>
                <w:rFonts w:eastAsia="宋体" w:cs="Times New Roman"/>
                <w:sz w:val="21"/>
                <w:szCs w:val="21"/>
              </w:rPr>
              <w:t>形态</w:t>
            </w:r>
          </w:p>
        </w:tc>
        <w:tc>
          <w:tcPr>
            <w:tcW w:w="680" w:type="pct"/>
            <w:vAlign w:val="center"/>
          </w:tcPr>
          <w:p w14:paraId="570B8C11">
            <w:pPr>
              <w:pStyle w:val="11"/>
              <w:adjustRightInd w:val="0"/>
              <w:snapToGrid w:val="0"/>
              <w:spacing w:line="300" w:lineRule="exact"/>
              <w:ind w:firstLine="0" w:firstLineChars="0"/>
              <w:jc w:val="center"/>
              <w:rPr>
                <w:rFonts w:eastAsia="宋体" w:cs="Times New Roman"/>
                <w:sz w:val="21"/>
                <w:szCs w:val="21"/>
              </w:rPr>
            </w:pPr>
            <w:r>
              <w:rPr>
                <w:rFonts w:eastAsia="宋体" w:cs="Times New Roman"/>
                <w:sz w:val="21"/>
                <w:szCs w:val="21"/>
              </w:rPr>
              <w:t>主要成分</w:t>
            </w:r>
          </w:p>
        </w:tc>
        <w:tc>
          <w:tcPr>
            <w:tcW w:w="448" w:type="pct"/>
            <w:vAlign w:val="center"/>
          </w:tcPr>
          <w:p w14:paraId="12D3CB2A">
            <w:pPr>
              <w:pStyle w:val="11"/>
              <w:adjustRightInd w:val="0"/>
              <w:snapToGrid w:val="0"/>
              <w:spacing w:line="300" w:lineRule="exact"/>
              <w:ind w:firstLine="0" w:firstLineChars="0"/>
              <w:jc w:val="center"/>
              <w:rPr>
                <w:rFonts w:eastAsia="宋体" w:cs="Times New Roman"/>
                <w:sz w:val="21"/>
                <w:szCs w:val="21"/>
              </w:rPr>
            </w:pPr>
            <w:r>
              <w:rPr>
                <w:rFonts w:eastAsia="宋体" w:cs="Times New Roman"/>
                <w:sz w:val="21"/>
                <w:szCs w:val="21"/>
              </w:rPr>
              <w:t>有害成分</w:t>
            </w:r>
          </w:p>
        </w:tc>
        <w:tc>
          <w:tcPr>
            <w:tcW w:w="347" w:type="pct"/>
            <w:vAlign w:val="center"/>
          </w:tcPr>
          <w:p w14:paraId="30A5B5A8">
            <w:pPr>
              <w:pStyle w:val="11"/>
              <w:adjustRightInd w:val="0"/>
              <w:snapToGrid w:val="0"/>
              <w:spacing w:line="300" w:lineRule="exact"/>
              <w:ind w:firstLine="0" w:firstLineChars="0"/>
              <w:jc w:val="center"/>
              <w:rPr>
                <w:rFonts w:eastAsia="宋体" w:cs="Times New Roman"/>
                <w:sz w:val="21"/>
                <w:szCs w:val="21"/>
              </w:rPr>
            </w:pPr>
            <w:r>
              <w:rPr>
                <w:rFonts w:eastAsia="宋体" w:cs="Times New Roman"/>
                <w:sz w:val="21"/>
                <w:szCs w:val="21"/>
              </w:rPr>
              <w:t>产废周期</w:t>
            </w:r>
          </w:p>
        </w:tc>
        <w:tc>
          <w:tcPr>
            <w:tcW w:w="399" w:type="pct"/>
            <w:vAlign w:val="center"/>
          </w:tcPr>
          <w:p w14:paraId="3F6DD55A">
            <w:pPr>
              <w:pStyle w:val="11"/>
              <w:adjustRightInd w:val="0"/>
              <w:snapToGrid w:val="0"/>
              <w:spacing w:line="300" w:lineRule="exact"/>
              <w:ind w:firstLine="0" w:firstLineChars="0"/>
              <w:jc w:val="center"/>
              <w:rPr>
                <w:rFonts w:eastAsia="宋体" w:cs="Times New Roman"/>
                <w:sz w:val="21"/>
                <w:szCs w:val="21"/>
              </w:rPr>
            </w:pPr>
            <w:r>
              <w:rPr>
                <w:rFonts w:eastAsia="宋体" w:cs="Times New Roman"/>
                <w:sz w:val="21"/>
                <w:szCs w:val="21"/>
              </w:rPr>
              <w:t>危险特性</w:t>
            </w:r>
          </w:p>
        </w:tc>
        <w:tc>
          <w:tcPr>
            <w:tcW w:w="499" w:type="pct"/>
            <w:vAlign w:val="center"/>
          </w:tcPr>
          <w:p w14:paraId="3ED02B50">
            <w:pPr>
              <w:pStyle w:val="11"/>
              <w:adjustRightInd w:val="0"/>
              <w:snapToGrid w:val="0"/>
              <w:spacing w:line="300" w:lineRule="exact"/>
              <w:ind w:firstLine="0" w:firstLineChars="0"/>
              <w:jc w:val="center"/>
              <w:rPr>
                <w:rFonts w:eastAsia="宋体" w:cs="Times New Roman"/>
                <w:sz w:val="21"/>
                <w:szCs w:val="21"/>
              </w:rPr>
            </w:pPr>
            <w:r>
              <w:rPr>
                <w:rFonts w:eastAsia="宋体" w:cs="Times New Roman"/>
                <w:sz w:val="21"/>
                <w:szCs w:val="21"/>
              </w:rPr>
              <w:t>污染防治措施</w:t>
            </w:r>
          </w:p>
        </w:tc>
      </w:tr>
      <w:tr w14:paraId="6ADCBA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vAlign w:val="center"/>
          </w:tcPr>
          <w:p w14:paraId="451AF18B">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455" w:type="pct"/>
            <w:vAlign w:val="center"/>
          </w:tcPr>
          <w:p w14:paraId="14B375FE">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bCs/>
                <w:sz w:val="21"/>
                <w:szCs w:val="21"/>
              </w:rPr>
              <w:t>医疗废物</w:t>
            </w:r>
          </w:p>
        </w:tc>
        <w:tc>
          <w:tcPr>
            <w:tcW w:w="373" w:type="pct"/>
            <w:vAlign w:val="center"/>
          </w:tcPr>
          <w:p w14:paraId="295D6028">
            <w:pPr>
              <w:pStyle w:val="25"/>
              <w:adjustRightInd w:val="0"/>
              <w:spacing w:line="30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HW0</w:t>
            </w:r>
            <w:r>
              <w:rPr>
                <w:rFonts w:hint="eastAsia" w:ascii="Times New Roman" w:hAnsi="Times New Roman" w:eastAsia="宋体" w:cs="Times New Roman"/>
                <w:kern w:val="0"/>
                <w:sz w:val="21"/>
                <w:szCs w:val="21"/>
              </w:rPr>
              <w:t>1</w:t>
            </w:r>
          </w:p>
        </w:tc>
        <w:tc>
          <w:tcPr>
            <w:tcW w:w="474" w:type="pct"/>
            <w:vAlign w:val="center"/>
          </w:tcPr>
          <w:p w14:paraId="77E636DA">
            <w:pPr>
              <w:pStyle w:val="25"/>
              <w:adjustRightInd w:val="0"/>
              <w:spacing w:line="300" w:lineRule="exact"/>
              <w:jc w:val="center"/>
              <w:rPr>
                <w:rFonts w:ascii="Times New Roman" w:hAnsi="Times New Roman" w:eastAsia="宋体" w:cs="Times New Roman"/>
                <w:kern w:val="0"/>
                <w:sz w:val="21"/>
                <w:szCs w:val="21"/>
              </w:rPr>
            </w:pPr>
            <w:r>
              <w:rPr>
                <w:rFonts w:ascii="Times New Roman" w:hAnsi="Times New Roman" w:eastAsia="宋体" w:cs="Times New Roman"/>
                <w:bCs/>
                <w:sz w:val="21"/>
                <w:szCs w:val="21"/>
              </w:rPr>
              <w:t>841-001-01</w:t>
            </w:r>
          </w:p>
        </w:tc>
        <w:tc>
          <w:tcPr>
            <w:tcW w:w="326" w:type="pct"/>
            <w:vAlign w:val="center"/>
          </w:tcPr>
          <w:p w14:paraId="0300374D">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0.</w:t>
            </w:r>
            <w:r>
              <w:rPr>
                <w:rFonts w:hint="eastAsia" w:ascii="Times New Roman" w:hAnsi="Times New Roman" w:eastAsia="宋体" w:cs="Times New Roman"/>
                <w:sz w:val="21"/>
                <w:szCs w:val="21"/>
              </w:rPr>
              <w:t>1</w:t>
            </w:r>
            <w:r>
              <w:rPr>
                <w:rFonts w:ascii="Times New Roman" w:hAnsi="Times New Roman" w:eastAsia="宋体" w:cs="Times New Roman"/>
                <w:sz w:val="21"/>
                <w:szCs w:val="21"/>
              </w:rPr>
              <w:t>t/a</w:t>
            </w:r>
          </w:p>
        </w:tc>
        <w:tc>
          <w:tcPr>
            <w:tcW w:w="433" w:type="pct"/>
            <w:vAlign w:val="center"/>
          </w:tcPr>
          <w:p w14:paraId="495D9469">
            <w:pPr>
              <w:pStyle w:val="25"/>
              <w:adjustRightInd w:val="0"/>
              <w:spacing w:line="300" w:lineRule="exact"/>
              <w:jc w:val="center"/>
              <w:rPr>
                <w:rFonts w:ascii="Times New Roman" w:hAnsi="Times New Roman" w:eastAsia="宋体" w:cs="Times New Roman"/>
                <w:sz w:val="21"/>
                <w:szCs w:val="21"/>
              </w:rPr>
            </w:pPr>
            <w:r>
              <w:rPr>
                <w:rFonts w:ascii="Times New Roman" w:hAnsi="Times New Roman" w:eastAsia="宋体" w:cs="Times New Roman"/>
                <w:bCs/>
                <w:sz w:val="21"/>
                <w:szCs w:val="21"/>
              </w:rPr>
              <w:t>养殖过程</w:t>
            </w:r>
          </w:p>
        </w:tc>
        <w:tc>
          <w:tcPr>
            <w:tcW w:w="290" w:type="pct"/>
            <w:vAlign w:val="center"/>
          </w:tcPr>
          <w:p w14:paraId="7AF63627">
            <w:pPr>
              <w:pStyle w:val="11"/>
              <w:adjustRightInd w:val="0"/>
              <w:snapToGrid w:val="0"/>
              <w:spacing w:line="300" w:lineRule="exact"/>
              <w:ind w:firstLine="0" w:firstLineChars="0"/>
              <w:jc w:val="center"/>
              <w:rPr>
                <w:rFonts w:eastAsia="宋体" w:cs="Times New Roman"/>
                <w:sz w:val="21"/>
                <w:szCs w:val="21"/>
              </w:rPr>
            </w:pPr>
            <w:r>
              <w:rPr>
                <w:rFonts w:hint="eastAsia" w:eastAsia="宋体" w:cs="Times New Roman"/>
                <w:sz w:val="21"/>
                <w:szCs w:val="21"/>
              </w:rPr>
              <w:t>固</w:t>
            </w:r>
          </w:p>
        </w:tc>
        <w:tc>
          <w:tcPr>
            <w:tcW w:w="680" w:type="pct"/>
            <w:vAlign w:val="center"/>
          </w:tcPr>
          <w:p w14:paraId="56ACA1E0">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bCs/>
                <w:sz w:val="21"/>
                <w:szCs w:val="21"/>
              </w:rPr>
              <w:t>药物空瓶、袋</w:t>
            </w:r>
          </w:p>
        </w:tc>
        <w:tc>
          <w:tcPr>
            <w:tcW w:w="448" w:type="pct"/>
            <w:vAlign w:val="center"/>
          </w:tcPr>
          <w:p w14:paraId="33BAA15F">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bCs/>
                <w:sz w:val="21"/>
                <w:szCs w:val="21"/>
              </w:rPr>
              <w:t>废</w:t>
            </w:r>
            <w:r>
              <w:rPr>
                <w:rFonts w:hint="eastAsia" w:ascii="Times New Roman" w:hAnsi="Times New Roman" w:eastAsia="宋体" w:cs="Times New Roman"/>
                <w:bCs/>
                <w:sz w:val="21"/>
                <w:szCs w:val="21"/>
              </w:rPr>
              <w:t>药品</w:t>
            </w:r>
          </w:p>
        </w:tc>
        <w:tc>
          <w:tcPr>
            <w:tcW w:w="347" w:type="pct"/>
            <w:vAlign w:val="center"/>
          </w:tcPr>
          <w:p w14:paraId="342D410E">
            <w:pPr>
              <w:pStyle w:val="11"/>
              <w:adjustRightInd w:val="0"/>
              <w:snapToGrid w:val="0"/>
              <w:spacing w:line="300" w:lineRule="exact"/>
              <w:ind w:firstLine="0" w:firstLineChars="0"/>
              <w:jc w:val="center"/>
              <w:rPr>
                <w:rFonts w:eastAsia="宋体" w:cs="Times New Roman"/>
                <w:sz w:val="21"/>
                <w:szCs w:val="21"/>
              </w:rPr>
            </w:pPr>
            <w:r>
              <w:rPr>
                <w:rFonts w:hint="eastAsia" w:eastAsia="宋体" w:cs="Times New Roman"/>
                <w:sz w:val="21"/>
                <w:szCs w:val="21"/>
              </w:rPr>
              <w:t>每天</w:t>
            </w:r>
          </w:p>
        </w:tc>
        <w:tc>
          <w:tcPr>
            <w:tcW w:w="399" w:type="pct"/>
            <w:vAlign w:val="center"/>
          </w:tcPr>
          <w:p w14:paraId="1FAB0A75">
            <w:pPr>
              <w:pStyle w:val="11"/>
              <w:adjustRightInd w:val="0"/>
              <w:snapToGrid w:val="0"/>
              <w:spacing w:line="300" w:lineRule="exact"/>
              <w:ind w:firstLine="0" w:firstLineChars="0"/>
              <w:jc w:val="center"/>
              <w:rPr>
                <w:rFonts w:eastAsia="宋体" w:cs="Times New Roman"/>
                <w:sz w:val="21"/>
                <w:szCs w:val="21"/>
              </w:rPr>
            </w:pPr>
            <w:r>
              <w:rPr>
                <w:rFonts w:eastAsia="宋体" w:cs="Times New Roman"/>
                <w:bCs/>
                <w:sz w:val="21"/>
                <w:szCs w:val="21"/>
              </w:rPr>
              <w:t>In</w:t>
            </w:r>
          </w:p>
        </w:tc>
        <w:tc>
          <w:tcPr>
            <w:tcW w:w="499" w:type="pct"/>
            <w:vAlign w:val="center"/>
          </w:tcPr>
          <w:p w14:paraId="1EF83F1C">
            <w:pPr>
              <w:pStyle w:val="11"/>
              <w:adjustRightInd w:val="0"/>
              <w:snapToGrid w:val="0"/>
              <w:spacing w:line="300" w:lineRule="exact"/>
              <w:ind w:firstLine="0" w:firstLineChars="0"/>
              <w:jc w:val="center"/>
              <w:rPr>
                <w:rFonts w:eastAsia="宋体" w:cs="Times New Roman"/>
                <w:sz w:val="21"/>
                <w:szCs w:val="21"/>
              </w:rPr>
            </w:pPr>
            <w:r>
              <w:rPr>
                <w:rFonts w:eastAsia="宋体" w:cs="Times New Roman"/>
                <w:sz w:val="21"/>
                <w:szCs w:val="21"/>
              </w:rPr>
              <w:t>有资质单位安全处置</w:t>
            </w:r>
          </w:p>
        </w:tc>
      </w:tr>
    </w:tbl>
    <w:p w14:paraId="305C3634">
      <w:pPr>
        <w:ind w:firstLine="480" w:firstLineChars="200"/>
        <w:sectPr>
          <w:pgSz w:w="16838" w:h="11906" w:orient="landscape"/>
          <w:pgMar w:top="1417" w:right="1417" w:bottom="1417" w:left="1417" w:header="1021" w:footer="1134" w:gutter="0"/>
          <w:pgNumType w:fmt="decimal"/>
          <w:cols w:space="425" w:num="1"/>
          <w:docGrid w:type="lines" w:linePitch="326" w:charSpace="0"/>
        </w:sectPr>
      </w:pPr>
    </w:p>
    <w:p w14:paraId="2D22AEC4">
      <w:pPr>
        <w:pStyle w:val="7"/>
        <w:spacing w:line="480" w:lineRule="exact"/>
      </w:pPr>
      <w:r>
        <w:rPr>
          <w:rFonts w:hint="eastAsia"/>
        </w:rPr>
        <w:t>3</w:t>
      </w:r>
      <w:r>
        <w:t xml:space="preserve">.7.5 </w:t>
      </w:r>
      <w:r>
        <w:rPr>
          <w:rFonts w:hint="eastAsia"/>
        </w:rPr>
        <w:t>非正常工况排放源强</w:t>
      </w:r>
    </w:p>
    <w:p w14:paraId="555A15DF">
      <w:pPr>
        <w:spacing w:line="480" w:lineRule="exact"/>
        <w:ind w:firstLine="480" w:firstLineChars="200"/>
      </w:pPr>
      <w:r>
        <w:rPr>
          <w:rFonts w:ascii="Times New Roman" w:hAnsi="Times New Roman" w:eastAsia="宋体" w:cs="Times New Roman"/>
          <w:bCs/>
          <w:color w:val="000000"/>
        </w:rPr>
        <w:t>建设项目非正常工况是指生产运行阶段的开、停车、检修、操作不正常或设备故障等情况时的污染物排放。</w:t>
      </w:r>
      <w:r>
        <w:rPr>
          <w:rFonts w:ascii="Times New Roman" w:hAnsi="Times New Roman" w:eastAsia="宋体" w:cs="Times New Roman"/>
          <w:color w:val="000000"/>
        </w:rPr>
        <w:t>建设项目在废气治理设施发生故障停车，将造成大量未处理废气直接进入大气，故障抢修至恢复正常运转时间按30分钟计，事故最不利环境影响情况下的事故排放源强按污染物产生量计算，事故排放主要大气污染物排放源强见表</w:t>
      </w:r>
      <w:r>
        <w:rPr>
          <w:rFonts w:hint="eastAsia"/>
        </w:rPr>
        <w:t>3.</w:t>
      </w:r>
      <w:r>
        <w:t>7-1</w:t>
      </w:r>
      <w:r>
        <w:rPr>
          <w:rFonts w:hint="eastAsia"/>
        </w:rPr>
        <w:t>2所示。</w:t>
      </w:r>
    </w:p>
    <w:p w14:paraId="3A6C37A4">
      <w:pPr>
        <w:pStyle w:val="31"/>
        <w:spacing w:before="0" w:line="480" w:lineRule="exact"/>
      </w:pPr>
      <w:r>
        <w:rPr>
          <w:rFonts w:hint="eastAsia"/>
        </w:rPr>
        <w:t>表</w:t>
      </w:r>
      <w:r>
        <w:t>3.7-1</w:t>
      </w:r>
      <w:r>
        <w:rPr>
          <w:rFonts w:hint="eastAsia"/>
        </w:rPr>
        <w:t>2</w:t>
      </w:r>
      <w:r>
        <w:t xml:space="preserve"> </w:t>
      </w:r>
      <w:r>
        <w:rPr>
          <w:rFonts w:hint="eastAsia"/>
        </w:rPr>
        <w:t>本项目非正常工况大气污染物排放源强表</w:t>
      </w:r>
    </w:p>
    <w:tbl>
      <w:tblPr>
        <w:tblStyle w:val="41"/>
        <w:tblW w:w="492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1328"/>
        <w:gridCol w:w="1328"/>
        <w:gridCol w:w="1328"/>
        <w:gridCol w:w="1328"/>
        <w:gridCol w:w="1328"/>
        <w:gridCol w:w="1192"/>
      </w:tblGrid>
      <w:tr w14:paraId="74DAC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719" w:type="pct"/>
            <w:vAlign w:val="center"/>
          </w:tcPr>
          <w:p w14:paraId="64223D26">
            <w:pPr>
              <w:pStyle w:val="61"/>
            </w:pPr>
            <w:r>
              <w:t>污染源</w:t>
            </w:r>
          </w:p>
        </w:tc>
        <w:tc>
          <w:tcPr>
            <w:tcW w:w="725" w:type="pct"/>
            <w:vAlign w:val="center"/>
          </w:tcPr>
          <w:p w14:paraId="2AAFE0F2">
            <w:pPr>
              <w:pStyle w:val="61"/>
            </w:pPr>
            <w:r>
              <w:rPr>
                <w:rFonts w:hint="eastAsia"/>
              </w:rPr>
              <w:t>排气量</w:t>
            </w:r>
          </w:p>
          <w:p w14:paraId="065CD3A7">
            <w:pPr>
              <w:pStyle w:val="61"/>
            </w:pPr>
            <w:r>
              <w:rPr>
                <w:rFonts w:hint="eastAsia"/>
              </w:rPr>
              <w:t>（N</w:t>
            </w:r>
            <w:r>
              <w:t>m</w:t>
            </w:r>
            <w:r>
              <w:rPr>
                <w:vertAlign w:val="superscript"/>
              </w:rPr>
              <w:t>3</w:t>
            </w:r>
            <w:r>
              <w:t>/</w:t>
            </w:r>
            <w:r>
              <w:rPr>
                <w:rFonts w:hint="eastAsia"/>
              </w:rPr>
              <w:t>h）</w:t>
            </w:r>
          </w:p>
        </w:tc>
        <w:tc>
          <w:tcPr>
            <w:tcW w:w="725" w:type="pct"/>
            <w:vAlign w:val="center"/>
          </w:tcPr>
          <w:p w14:paraId="76C7CF9C">
            <w:pPr>
              <w:pStyle w:val="61"/>
            </w:pPr>
            <w:r>
              <w:rPr>
                <w:rFonts w:hint="eastAsia"/>
              </w:rPr>
              <w:t>污染物</w:t>
            </w:r>
          </w:p>
        </w:tc>
        <w:tc>
          <w:tcPr>
            <w:tcW w:w="725" w:type="pct"/>
            <w:vAlign w:val="center"/>
          </w:tcPr>
          <w:p w14:paraId="06E6066E">
            <w:pPr>
              <w:pStyle w:val="61"/>
            </w:pPr>
            <w:r>
              <w:rPr>
                <w:rFonts w:hint="eastAsia"/>
              </w:rPr>
              <w:t>排放浓度</w:t>
            </w:r>
          </w:p>
          <w:p w14:paraId="584C40CE">
            <w:pPr>
              <w:pStyle w:val="61"/>
            </w:pPr>
            <w:r>
              <w:rPr>
                <w:rFonts w:hint="eastAsia"/>
              </w:rPr>
              <w:t>（mg</w:t>
            </w:r>
            <w:r>
              <w:t>/m</w:t>
            </w:r>
            <w:r>
              <w:rPr>
                <w:vertAlign w:val="superscript"/>
              </w:rPr>
              <w:t>3</w:t>
            </w:r>
            <w:r>
              <w:rPr>
                <w:rFonts w:hint="eastAsia"/>
              </w:rPr>
              <w:t>）</w:t>
            </w:r>
          </w:p>
        </w:tc>
        <w:tc>
          <w:tcPr>
            <w:tcW w:w="725" w:type="pct"/>
            <w:vAlign w:val="center"/>
          </w:tcPr>
          <w:p w14:paraId="03EB6DC8">
            <w:pPr>
              <w:pStyle w:val="61"/>
            </w:pPr>
            <w:r>
              <w:rPr>
                <w:rFonts w:hint="eastAsia"/>
              </w:rPr>
              <w:t>排放速率</w:t>
            </w:r>
          </w:p>
          <w:p w14:paraId="61E2604B">
            <w:pPr>
              <w:pStyle w:val="61"/>
            </w:pPr>
            <w:r>
              <w:rPr>
                <w:rFonts w:hint="eastAsia"/>
              </w:rPr>
              <w:t>（k</w:t>
            </w:r>
            <w:r>
              <w:t>g/</w:t>
            </w:r>
            <w:r>
              <w:rPr>
                <w:rFonts w:hint="eastAsia"/>
              </w:rPr>
              <w:t>h）</w:t>
            </w:r>
          </w:p>
        </w:tc>
        <w:tc>
          <w:tcPr>
            <w:tcW w:w="725" w:type="pct"/>
            <w:vAlign w:val="center"/>
          </w:tcPr>
          <w:p w14:paraId="4048B80B">
            <w:pPr>
              <w:spacing w:line="30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排放高度</w:t>
            </w:r>
          </w:p>
          <w:p w14:paraId="7002F1F9">
            <w:pPr>
              <w:spacing w:line="30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（m）</w:t>
            </w:r>
          </w:p>
        </w:tc>
        <w:tc>
          <w:tcPr>
            <w:tcW w:w="651" w:type="pct"/>
            <w:vAlign w:val="center"/>
          </w:tcPr>
          <w:p w14:paraId="33419A7C">
            <w:pPr>
              <w:spacing w:line="30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排放时间（min）</w:t>
            </w:r>
          </w:p>
        </w:tc>
      </w:tr>
      <w:tr w14:paraId="5A47C8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pct"/>
            <w:vMerge w:val="restart"/>
            <w:vAlign w:val="center"/>
          </w:tcPr>
          <w:p w14:paraId="4C60F04C">
            <w:pPr>
              <w:pStyle w:val="61"/>
            </w:pPr>
            <w:r>
              <w:t>DA001</w:t>
            </w:r>
          </w:p>
        </w:tc>
        <w:tc>
          <w:tcPr>
            <w:tcW w:w="725" w:type="pct"/>
            <w:vMerge w:val="restart"/>
            <w:vAlign w:val="center"/>
          </w:tcPr>
          <w:p w14:paraId="4DD743E5">
            <w:pPr>
              <w:pStyle w:val="61"/>
            </w:pPr>
            <w:r>
              <w:rPr>
                <w:rFonts w:hint="eastAsia"/>
              </w:rPr>
              <w:t>6</w:t>
            </w:r>
            <w:r>
              <w:t>000</w:t>
            </w:r>
          </w:p>
        </w:tc>
        <w:tc>
          <w:tcPr>
            <w:tcW w:w="725" w:type="pct"/>
            <w:vAlign w:val="center"/>
          </w:tcPr>
          <w:p w14:paraId="24A9D87C">
            <w:pPr>
              <w:pStyle w:val="61"/>
            </w:pPr>
            <w:r>
              <w:rPr>
                <w:rFonts w:hint="eastAsia"/>
              </w:rPr>
              <w:t>NH</w:t>
            </w:r>
            <w:r>
              <w:rPr>
                <w:rFonts w:hint="eastAsia"/>
                <w:vertAlign w:val="subscript"/>
              </w:rPr>
              <w:t>3</w:t>
            </w:r>
          </w:p>
        </w:tc>
        <w:tc>
          <w:tcPr>
            <w:tcW w:w="725" w:type="pct"/>
            <w:vAlign w:val="center"/>
          </w:tcPr>
          <w:p w14:paraId="4C9E7728">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1.36</w:t>
            </w:r>
          </w:p>
        </w:tc>
        <w:tc>
          <w:tcPr>
            <w:tcW w:w="725" w:type="pct"/>
            <w:vAlign w:val="center"/>
          </w:tcPr>
          <w:p w14:paraId="67F252A5">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0.0082</w:t>
            </w:r>
          </w:p>
        </w:tc>
        <w:tc>
          <w:tcPr>
            <w:tcW w:w="725" w:type="pct"/>
            <w:vMerge w:val="restart"/>
            <w:vAlign w:val="center"/>
          </w:tcPr>
          <w:p w14:paraId="367345F9">
            <w:pPr>
              <w:pStyle w:val="61"/>
            </w:pPr>
            <w:r>
              <w:rPr>
                <w:rFonts w:hint="eastAsia"/>
              </w:rPr>
              <w:t>15</w:t>
            </w:r>
          </w:p>
        </w:tc>
        <w:tc>
          <w:tcPr>
            <w:tcW w:w="651" w:type="pct"/>
            <w:vMerge w:val="restart"/>
            <w:vAlign w:val="center"/>
          </w:tcPr>
          <w:p w14:paraId="0B9EAC21">
            <w:pPr>
              <w:pStyle w:val="61"/>
            </w:pPr>
            <w:r>
              <w:rPr>
                <w:rFonts w:hint="eastAsia"/>
              </w:rPr>
              <w:t>30</w:t>
            </w:r>
          </w:p>
        </w:tc>
      </w:tr>
      <w:tr w14:paraId="37BF2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pct"/>
            <w:vMerge w:val="continue"/>
            <w:vAlign w:val="center"/>
          </w:tcPr>
          <w:p w14:paraId="1DD7B1BD">
            <w:pPr>
              <w:pStyle w:val="61"/>
            </w:pPr>
          </w:p>
        </w:tc>
        <w:tc>
          <w:tcPr>
            <w:tcW w:w="725" w:type="pct"/>
            <w:vMerge w:val="continue"/>
            <w:vAlign w:val="center"/>
          </w:tcPr>
          <w:p w14:paraId="2C79B3F0">
            <w:pPr>
              <w:pStyle w:val="61"/>
            </w:pPr>
          </w:p>
        </w:tc>
        <w:tc>
          <w:tcPr>
            <w:tcW w:w="725" w:type="pct"/>
            <w:vAlign w:val="center"/>
          </w:tcPr>
          <w:p w14:paraId="3D9AF139">
            <w:pPr>
              <w:pStyle w:val="61"/>
            </w:pPr>
            <w:r>
              <w:rPr>
                <w:rFonts w:hint="eastAsia"/>
              </w:rPr>
              <w:t>H</w:t>
            </w:r>
            <w:r>
              <w:rPr>
                <w:rFonts w:hint="eastAsia"/>
                <w:vertAlign w:val="subscript"/>
              </w:rPr>
              <w:t>2</w:t>
            </w:r>
            <w:r>
              <w:rPr>
                <w:rFonts w:hint="eastAsia"/>
              </w:rPr>
              <w:t>S</w:t>
            </w:r>
          </w:p>
        </w:tc>
        <w:tc>
          <w:tcPr>
            <w:tcW w:w="725" w:type="pct"/>
            <w:vAlign w:val="center"/>
          </w:tcPr>
          <w:p w14:paraId="4344E889">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0.134</w:t>
            </w:r>
          </w:p>
        </w:tc>
        <w:tc>
          <w:tcPr>
            <w:tcW w:w="725" w:type="pct"/>
            <w:vAlign w:val="center"/>
          </w:tcPr>
          <w:p w14:paraId="2FBF5FD8">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0.0008</w:t>
            </w:r>
          </w:p>
        </w:tc>
        <w:tc>
          <w:tcPr>
            <w:tcW w:w="725" w:type="pct"/>
            <w:vMerge w:val="continue"/>
            <w:vAlign w:val="center"/>
          </w:tcPr>
          <w:p w14:paraId="4A7229B0">
            <w:pPr>
              <w:pStyle w:val="61"/>
            </w:pPr>
          </w:p>
        </w:tc>
        <w:tc>
          <w:tcPr>
            <w:tcW w:w="651" w:type="pct"/>
            <w:vMerge w:val="continue"/>
            <w:vAlign w:val="center"/>
          </w:tcPr>
          <w:p w14:paraId="10D4A5F8">
            <w:pPr>
              <w:pStyle w:val="61"/>
            </w:pPr>
          </w:p>
        </w:tc>
      </w:tr>
    </w:tbl>
    <w:p w14:paraId="37424806">
      <w:pPr>
        <w:pStyle w:val="4"/>
        <w:spacing w:line="480" w:lineRule="exact"/>
        <w:jc w:val="both"/>
      </w:pPr>
      <w:bookmarkStart w:id="92" w:name="_Toc2122"/>
      <w:r>
        <w:rPr>
          <w:rFonts w:hint="eastAsia"/>
        </w:rPr>
        <w:t>3</w:t>
      </w:r>
      <w:r>
        <w:t xml:space="preserve">.8 </w:t>
      </w:r>
      <w:r>
        <w:rPr>
          <w:rFonts w:hint="eastAsia"/>
        </w:rPr>
        <w:t>污染物排放量汇总</w:t>
      </w:r>
      <w:bookmarkEnd w:id="92"/>
    </w:p>
    <w:p w14:paraId="3643106D">
      <w:pPr>
        <w:spacing w:line="480" w:lineRule="exact"/>
        <w:ind w:firstLine="480" w:firstLineChars="200"/>
        <w:rPr>
          <w:szCs w:val="24"/>
        </w:rPr>
      </w:pPr>
      <w:r>
        <w:rPr>
          <w:rFonts w:ascii="Times New Roman" w:hAnsi="宋体"/>
          <w:szCs w:val="24"/>
        </w:rPr>
        <w:t>项目建成后，项目污染物产生、削减、排放情况</w:t>
      </w:r>
      <w:r>
        <w:rPr>
          <w:rFonts w:ascii="Times New Roman"/>
          <w:szCs w:val="24"/>
        </w:rPr>
        <w:t>“</w:t>
      </w:r>
      <w:r>
        <w:rPr>
          <w:rFonts w:ascii="Times New Roman" w:hAnsi="宋体"/>
          <w:szCs w:val="24"/>
        </w:rPr>
        <w:t>三本帐</w:t>
      </w:r>
      <w:r>
        <w:rPr>
          <w:rFonts w:ascii="Times New Roman"/>
          <w:szCs w:val="24"/>
        </w:rPr>
        <w:t>”</w:t>
      </w:r>
      <w:r>
        <w:rPr>
          <w:rFonts w:ascii="Times New Roman" w:hAnsi="宋体"/>
          <w:szCs w:val="24"/>
        </w:rPr>
        <w:t>见表</w:t>
      </w:r>
      <w:r>
        <w:rPr>
          <w:rFonts w:hint="eastAsia"/>
          <w:szCs w:val="24"/>
        </w:rPr>
        <w:t>3.</w:t>
      </w:r>
      <w:r>
        <w:rPr>
          <w:szCs w:val="24"/>
        </w:rPr>
        <w:t>8</w:t>
      </w:r>
      <w:r>
        <w:rPr>
          <w:rFonts w:hint="eastAsia"/>
          <w:szCs w:val="24"/>
        </w:rPr>
        <w:t>-1。</w:t>
      </w:r>
    </w:p>
    <w:p w14:paraId="4DB975F2">
      <w:pPr>
        <w:pStyle w:val="31"/>
        <w:spacing w:before="0" w:line="480" w:lineRule="exact"/>
        <w:rPr>
          <w:szCs w:val="24"/>
        </w:rPr>
      </w:pPr>
      <w:r>
        <w:rPr>
          <w:rFonts w:hint="eastAsia"/>
          <w:szCs w:val="24"/>
        </w:rPr>
        <w:t>表</w:t>
      </w:r>
      <w:r>
        <w:rPr>
          <w:szCs w:val="24"/>
        </w:rPr>
        <w:t>3.8-1</w:t>
      </w:r>
      <w:r>
        <w:rPr>
          <w:rFonts w:hint="eastAsia"/>
          <w:szCs w:val="24"/>
        </w:rPr>
        <w:t xml:space="preserve"> </w:t>
      </w:r>
      <w:r>
        <w:rPr>
          <w:szCs w:val="24"/>
        </w:rPr>
        <w:t xml:space="preserve"> </w:t>
      </w:r>
      <w:r>
        <w:rPr>
          <w:rFonts w:hint="eastAsia"/>
          <w:szCs w:val="24"/>
        </w:rPr>
        <w:t>本项目污染物</w:t>
      </w:r>
      <w:r>
        <w:rPr>
          <w:rFonts w:ascii="Times New Roman" w:hAnsi="宋体"/>
          <w:szCs w:val="24"/>
        </w:rPr>
        <w:t>产生量、削减量和排放量</w:t>
      </w:r>
      <w:r>
        <w:rPr>
          <w:rFonts w:hint="eastAsia"/>
          <w:szCs w:val="24"/>
        </w:rPr>
        <w:t>“三本帐”（单位：t/a）</w:t>
      </w:r>
    </w:p>
    <w:tbl>
      <w:tblPr>
        <w:tblStyle w:val="41"/>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80"/>
        <w:gridCol w:w="885"/>
        <w:gridCol w:w="1340"/>
        <w:gridCol w:w="1512"/>
        <w:gridCol w:w="1486"/>
        <w:gridCol w:w="1333"/>
        <w:gridCol w:w="1587"/>
      </w:tblGrid>
      <w:tr w14:paraId="3330BF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37" w:type="pct"/>
            <w:tcBorders>
              <w:tl2br w:val="nil"/>
              <w:tr2bl w:val="nil"/>
            </w:tcBorders>
            <w:vAlign w:val="center"/>
          </w:tcPr>
          <w:p w14:paraId="1DBAC42B">
            <w:pPr>
              <w:adjustRightInd w:val="0"/>
              <w:spacing w:line="30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种类</w:t>
            </w:r>
          </w:p>
        </w:tc>
        <w:tc>
          <w:tcPr>
            <w:tcW w:w="1219" w:type="pct"/>
            <w:gridSpan w:val="2"/>
            <w:tcBorders>
              <w:tl2br w:val="nil"/>
              <w:tr2bl w:val="nil"/>
            </w:tcBorders>
            <w:vAlign w:val="center"/>
          </w:tcPr>
          <w:p w14:paraId="6DBD4F9B">
            <w:pPr>
              <w:adjustRightInd w:val="0"/>
              <w:spacing w:line="30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污染物名称</w:t>
            </w:r>
          </w:p>
        </w:tc>
        <w:tc>
          <w:tcPr>
            <w:tcW w:w="828" w:type="pct"/>
            <w:tcBorders>
              <w:tl2br w:val="nil"/>
              <w:tr2bl w:val="nil"/>
            </w:tcBorders>
            <w:vAlign w:val="center"/>
          </w:tcPr>
          <w:p w14:paraId="06481F01">
            <w:pPr>
              <w:adjustRightInd w:val="0"/>
              <w:spacing w:line="30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产生量</w:t>
            </w:r>
          </w:p>
        </w:tc>
        <w:tc>
          <w:tcPr>
            <w:tcW w:w="814" w:type="pct"/>
            <w:tcBorders>
              <w:tl2br w:val="nil"/>
              <w:tr2bl w:val="nil"/>
            </w:tcBorders>
            <w:vAlign w:val="center"/>
          </w:tcPr>
          <w:p w14:paraId="137473F7">
            <w:pPr>
              <w:adjustRightInd w:val="0"/>
              <w:spacing w:line="30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削减量</w:t>
            </w:r>
          </w:p>
        </w:tc>
        <w:tc>
          <w:tcPr>
            <w:tcW w:w="730" w:type="pct"/>
            <w:tcBorders>
              <w:tl2br w:val="nil"/>
              <w:tr2bl w:val="nil"/>
            </w:tcBorders>
            <w:vAlign w:val="center"/>
          </w:tcPr>
          <w:p w14:paraId="2E87339D">
            <w:pPr>
              <w:adjustRightInd w:val="0"/>
              <w:spacing w:line="30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接管量</w:t>
            </w:r>
          </w:p>
        </w:tc>
        <w:tc>
          <w:tcPr>
            <w:tcW w:w="869" w:type="pct"/>
            <w:tcBorders>
              <w:tl2br w:val="nil"/>
              <w:tr2bl w:val="nil"/>
            </w:tcBorders>
            <w:vAlign w:val="center"/>
          </w:tcPr>
          <w:p w14:paraId="12DC39D5">
            <w:pPr>
              <w:adjustRightInd w:val="0"/>
              <w:spacing w:line="300" w:lineRule="exact"/>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排入环境</w:t>
            </w:r>
            <w:r>
              <w:rPr>
                <w:rFonts w:ascii="Times New Roman" w:hAnsi="Times New Roman" w:eastAsia="宋体" w:cs="Times New Roman"/>
                <w:bCs/>
                <w:kern w:val="0"/>
                <w:sz w:val="21"/>
                <w:szCs w:val="21"/>
              </w:rPr>
              <w:t>量</w:t>
            </w:r>
          </w:p>
        </w:tc>
      </w:tr>
      <w:tr w14:paraId="2D24C6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37" w:type="pct"/>
            <w:vMerge w:val="restart"/>
            <w:tcBorders>
              <w:tl2br w:val="nil"/>
              <w:tr2bl w:val="nil"/>
            </w:tcBorders>
            <w:vAlign w:val="center"/>
          </w:tcPr>
          <w:p w14:paraId="45DE211A">
            <w:pPr>
              <w:adjustRightInd w:val="0"/>
              <w:spacing w:line="30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废水</w:t>
            </w:r>
          </w:p>
        </w:tc>
        <w:tc>
          <w:tcPr>
            <w:tcW w:w="1219" w:type="pct"/>
            <w:gridSpan w:val="2"/>
            <w:tcBorders>
              <w:tl2br w:val="nil"/>
              <w:tr2bl w:val="nil"/>
            </w:tcBorders>
            <w:vAlign w:val="center"/>
          </w:tcPr>
          <w:p w14:paraId="4C6D3146">
            <w:pPr>
              <w:adjustRightInd w:val="0"/>
              <w:spacing w:line="30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废水量</w:t>
            </w:r>
          </w:p>
        </w:tc>
        <w:tc>
          <w:tcPr>
            <w:tcW w:w="828" w:type="pct"/>
            <w:tcBorders>
              <w:tl2br w:val="nil"/>
              <w:tr2bl w:val="nil"/>
            </w:tcBorders>
            <w:vAlign w:val="center"/>
          </w:tcPr>
          <w:p w14:paraId="6A91AF52">
            <w:pPr>
              <w:adjustRightInd w:val="0"/>
              <w:spacing w:line="300" w:lineRule="exact"/>
              <w:jc w:val="center"/>
              <w:rPr>
                <w:rFonts w:ascii="Times New Roman" w:hAnsi="Times New Roman" w:eastAsia="宋体" w:cs="Times New Roman"/>
                <w:bCs/>
                <w:kern w:val="0"/>
                <w:sz w:val="21"/>
                <w:szCs w:val="21"/>
              </w:rPr>
            </w:pPr>
          </w:p>
        </w:tc>
        <w:tc>
          <w:tcPr>
            <w:tcW w:w="814" w:type="pct"/>
            <w:tcBorders>
              <w:tl2br w:val="nil"/>
              <w:tr2bl w:val="nil"/>
            </w:tcBorders>
            <w:vAlign w:val="center"/>
          </w:tcPr>
          <w:p w14:paraId="386F5DF4">
            <w:pPr>
              <w:adjustRightInd w:val="0"/>
              <w:spacing w:line="300" w:lineRule="exact"/>
              <w:jc w:val="center"/>
              <w:rPr>
                <w:rFonts w:ascii="Times New Roman" w:hAnsi="Times New Roman" w:eastAsia="宋体" w:cs="Times New Roman"/>
                <w:bCs/>
                <w:kern w:val="0"/>
                <w:sz w:val="21"/>
                <w:szCs w:val="21"/>
              </w:rPr>
            </w:pPr>
          </w:p>
        </w:tc>
        <w:tc>
          <w:tcPr>
            <w:tcW w:w="730" w:type="pct"/>
            <w:tcBorders>
              <w:tl2br w:val="nil"/>
              <w:tr2bl w:val="nil"/>
            </w:tcBorders>
            <w:vAlign w:val="center"/>
          </w:tcPr>
          <w:p w14:paraId="0E278FC5">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04D6C60E">
            <w:pPr>
              <w:adjustRightInd w:val="0"/>
              <w:spacing w:line="300" w:lineRule="exact"/>
              <w:jc w:val="center"/>
              <w:rPr>
                <w:rFonts w:ascii="Times New Roman" w:hAnsi="Times New Roman" w:eastAsia="宋体" w:cs="Times New Roman"/>
                <w:bCs/>
                <w:kern w:val="0"/>
                <w:sz w:val="21"/>
                <w:szCs w:val="21"/>
              </w:rPr>
            </w:pPr>
          </w:p>
        </w:tc>
      </w:tr>
      <w:tr w14:paraId="44C319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37" w:type="pct"/>
            <w:vMerge w:val="continue"/>
            <w:tcBorders>
              <w:tl2br w:val="nil"/>
              <w:tr2bl w:val="nil"/>
            </w:tcBorders>
            <w:vAlign w:val="center"/>
          </w:tcPr>
          <w:p w14:paraId="5F700C52">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35AA7920">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COD</w:t>
            </w:r>
          </w:p>
        </w:tc>
        <w:tc>
          <w:tcPr>
            <w:tcW w:w="828" w:type="pct"/>
            <w:tcBorders>
              <w:tl2br w:val="nil"/>
              <w:tr2bl w:val="nil"/>
            </w:tcBorders>
            <w:vAlign w:val="center"/>
          </w:tcPr>
          <w:p w14:paraId="635C32D5">
            <w:pPr>
              <w:spacing w:line="300" w:lineRule="exact"/>
              <w:jc w:val="center"/>
              <w:rPr>
                <w:rFonts w:ascii="Times New Roman" w:hAnsi="Times New Roman" w:eastAsia="宋体" w:cs="Times New Roman"/>
                <w:color w:val="000000"/>
                <w:sz w:val="21"/>
                <w:szCs w:val="21"/>
              </w:rPr>
            </w:pPr>
          </w:p>
        </w:tc>
        <w:tc>
          <w:tcPr>
            <w:tcW w:w="814" w:type="pct"/>
            <w:tcBorders>
              <w:tl2br w:val="nil"/>
              <w:tr2bl w:val="nil"/>
            </w:tcBorders>
            <w:vAlign w:val="center"/>
          </w:tcPr>
          <w:p w14:paraId="0A5B458C">
            <w:pPr>
              <w:spacing w:line="300" w:lineRule="exact"/>
              <w:jc w:val="center"/>
              <w:rPr>
                <w:rFonts w:ascii="Times New Roman" w:hAnsi="Times New Roman" w:eastAsia="宋体" w:cs="Times New Roman"/>
                <w:color w:val="000000"/>
                <w:sz w:val="21"/>
                <w:szCs w:val="21"/>
              </w:rPr>
            </w:pPr>
          </w:p>
        </w:tc>
        <w:tc>
          <w:tcPr>
            <w:tcW w:w="730" w:type="pct"/>
            <w:tcBorders>
              <w:tl2br w:val="nil"/>
              <w:tr2bl w:val="nil"/>
            </w:tcBorders>
            <w:vAlign w:val="center"/>
          </w:tcPr>
          <w:p w14:paraId="6F8E690F">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0B2BCD3F">
            <w:pPr>
              <w:adjustRightInd w:val="0"/>
              <w:spacing w:line="300" w:lineRule="exact"/>
              <w:jc w:val="center"/>
              <w:rPr>
                <w:rFonts w:ascii="Times New Roman" w:hAnsi="Times New Roman" w:eastAsia="宋体" w:cs="Times New Roman"/>
                <w:bCs/>
                <w:kern w:val="0"/>
                <w:sz w:val="21"/>
                <w:szCs w:val="21"/>
              </w:rPr>
            </w:pPr>
          </w:p>
        </w:tc>
      </w:tr>
      <w:tr w14:paraId="128E0E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37" w:type="pct"/>
            <w:vMerge w:val="continue"/>
            <w:tcBorders>
              <w:tl2br w:val="nil"/>
              <w:tr2bl w:val="nil"/>
            </w:tcBorders>
            <w:vAlign w:val="center"/>
          </w:tcPr>
          <w:p w14:paraId="509E66E7">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17974F1E">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BOD</w:t>
            </w:r>
            <w:r>
              <w:rPr>
                <w:rFonts w:ascii="Times New Roman" w:hAnsi="Times New Roman" w:eastAsia="宋体" w:cs="Times New Roman"/>
                <w:color w:val="000000"/>
                <w:sz w:val="21"/>
                <w:szCs w:val="21"/>
                <w:vertAlign w:val="subscript"/>
              </w:rPr>
              <w:t>5</w:t>
            </w:r>
          </w:p>
        </w:tc>
        <w:tc>
          <w:tcPr>
            <w:tcW w:w="828" w:type="pct"/>
            <w:tcBorders>
              <w:tl2br w:val="nil"/>
              <w:tr2bl w:val="nil"/>
            </w:tcBorders>
            <w:vAlign w:val="center"/>
          </w:tcPr>
          <w:p w14:paraId="3B76632B">
            <w:pPr>
              <w:spacing w:line="300" w:lineRule="exact"/>
              <w:jc w:val="center"/>
              <w:rPr>
                <w:rFonts w:ascii="Times New Roman" w:hAnsi="Times New Roman" w:eastAsia="宋体" w:cs="Times New Roman"/>
                <w:color w:val="000000"/>
                <w:sz w:val="21"/>
                <w:szCs w:val="21"/>
              </w:rPr>
            </w:pPr>
          </w:p>
        </w:tc>
        <w:tc>
          <w:tcPr>
            <w:tcW w:w="814" w:type="pct"/>
            <w:tcBorders>
              <w:tl2br w:val="nil"/>
              <w:tr2bl w:val="nil"/>
            </w:tcBorders>
            <w:vAlign w:val="center"/>
          </w:tcPr>
          <w:p w14:paraId="42466D3E">
            <w:pPr>
              <w:spacing w:line="300" w:lineRule="exact"/>
              <w:jc w:val="center"/>
              <w:rPr>
                <w:rFonts w:ascii="Times New Roman" w:hAnsi="Times New Roman" w:eastAsia="宋体" w:cs="Times New Roman"/>
                <w:color w:val="000000"/>
                <w:sz w:val="21"/>
                <w:szCs w:val="21"/>
              </w:rPr>
            </w:pPr>
          </w:p>
        </w:tc>
        <w:tc>
          <w:tcPr>
            <w:tcW w:w="730" w:type="pct"/>
            <w:tcBorders>
              <w:tl2br w:val="nil"/>
              <w:tr2bl w:val="nil"/>
            </w:tcBorders>
            <w:vAlign w:val="center"/>
          </w:tcPr>
          <w:p w14:paraId="0344BD2A">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7B3B3A17">
            <w:pPr>
              <w:adjustRightInd w:val="0"/>
              <w:spacing w:line="300" w:lineRule="exact"/>
              <w:jc w:val="center"/>
              <w:rPr>
                <w:rFonts w:ascii="Times New Roman" w:hAnsi="Times New Roman" w:eastAsia="宋体" w:cs="Times New Roman"/>
                <w:bCs/>
                <w:kern w:val="0"/>
                <w:sz w:val="21"/>
                <w:szCs w:val="21"/>
              </w:rPr>
            </w:pPr>
          </w:p>
        </w:tc>
      </w:tr>
      <w:tr w14:paraId="203AF3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37" w:type="pct"/>
            <w:vMerge w:val="continue"/>
            <w:tcBorders>
              <w:tl2br w:val="nil"/>
              <w:tr2bl w:val="nil"/>
            </w:tcBorders>
            <w:vAlign w:val="center"/>
          </w:tcPr>
          <w:p w14:paraId="139B47D3">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4CD08F3F">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SS</w:t>
            </w:r>
          </w:p>
        </w:tc>
        <w:tc>
          <w:tcPr>
            <w:tcW w:w="828" w:type="pct"/>
            <w:tcBorders>
              <w:tl2br w:val="nil"/>
              <w:tr2bl w:val="nil"/>
            </w:tcBorders>
            <w:vAlign w:val="center"/>
          </w:tcPr>
          <w:p w14:paraId="49219D5C">
            <w:pPr>
              <w:spacing w:line="300" w:lineRule="exact"/>
              <w:jc w:val="center"/>
              <w:rPr>
                <w:rFonts w:ascii="Times New Roman" w:hAnsi="Times New Roman" w:eastAsia="宋体" w:cs="Times New Roman"/>
                <w:color w:val="000000"/>
                <w:sz w:val="21"/>
                <w:szCs w:val="21"/>
              </w:rPr>
            </w:pPr>
          </w:p>
        </w:tc>
        <w:tc>
          <w:tcPr>
            <w:tcW w:w="814" w:type="pct"/>
            <w:tcBorders>
              <w:tl2br w:val="nil"/>
              <w:tr2bl w:val="nil"/>
            </w:tcBorders>
            <w:vAlign w:val="center"/>
          </w:tcPr>
          <w:p w14:paraId="719DE715">
            <w:pPr>
              <w:spacing w:line="300" w:lineRule="exact"/>
              <w:jc w:val="center"/>
              <w:rPr>
                <w:rFonts w:ascii="Times New Roman" w:hAnsi="Times New Roman" w:eastAsia="宋体" w:cs="Times New Roman"/>
                <w:color w:val="000000"/>
                <w:sz w:val="21"/>
                <w:szCs w:val="21"/>
              </w:rPr>
            </w:pPr>
          </w:p>
        </w:tc>
        <w:tc>
          <w:tcPr>
            <w:tcW w:w="730" w:type="pct"/>
            <w:tcBorders>
              <w:tl2br w:val="nil"/>
              <w:tr2bl w:val="nil"/>
            </w:tcBorders>
            <w:vAlign w:val="center"/>
          </w:tcPr>
          <w:p w14:paraId="549A8BE1">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7BE547CD">
            <w:pPr>
              <w:adjustRightInd w:val="0"/>
              <w:spacing w:line="300" w:lineRule="exact"/>
              <w:jc w:val="center"/>
              <w:rPr>
                <w:rFonts w:ascii="Times New Roman" w:hAnsi="Times New Roman" w:eastAsia="宋体" w:cs="Times New Roman"/>
                <w:bCs/>
                <w:kern w:val="0"/>
                <w:sz w:val="21"/>
                <w:szCs w:val="21"/>
              </w:rPr>
            </w:pPr>
          </w:p>
        </w:tc>
      </w:tr>
      <w:tr w14:paraId="454899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37" w:type="pct"/>
            <w:vMerge w:val="continue"/>
            <w:tcBorders>
              <w:tl2br w:val="nil"/>
              <w:tr2bl w:val="nil"/>
            </w:tcBorders>
            <w:vAlign w:val="center"/>
          </w:tcPr>
          <w:p w14:paraId="6013E34A">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02169F47">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NH</w:t>
            </w:r>
            <w:r>
              <w:rPr>
                <w:rFonts w:ascii="Times New Roman" w:hAnsi="Times New Roman" w:eastAsia="宋体" w:cs="Times New Roman"/>
                <w:color w:val="000000"/>
                <w:sz w:val="21"/>
                <w:szCs w:val="21"/>
                <w:vertAlign w:val="subscript"/>
              </w:rPr>
              <w:t>3</w:t>
            </w:r>
            <w:r>
              <w:rPr>
                <w:rFonts w:ascii="Times New Roman" w:hAnsi="Times New Roman" w:eastAsia="宋体" w:cs="Times New Roman"/>
                <w:color w:val="000000"/>
                <w:sz w:val="21"/>
                <w:szCs w:val="21"/>
              </w:rPr>
              <w:t>-N</w:t>
            </w:r>
          </w:p>
        </w:tc>
        <w:tc>
          <w:tcPr>
            <w:tcW w:w="828" w:type="pct"/>
            <w:tcBorders>
              <w:tl2br w:val="nil"/>
              <w:tr2bl w:val="nil"/>
            </w:tcBorders>
            <w:vAlign w:val="center"/>
          </w:tcPr>
          <w:p w14:paraId="237B7F46">
            <w:pPr>
              <w:spacing w:line="300" w:lineRule="exact"/>
              <w:jc w:val="center"/>
              <w:rPr>
                <w:rFonts w:ascii="Times New Roman" w:hAnsi="Times New Roman" w:eastAsia="宋体" w:cs="Times New Roman"/>
                <w:color w:val="000000"/>
                <w:sz w:val="21"/>
                <w:szCs w:val="21"/>
              </w:rPr>
            </w:pPr>
          </w:p>
        </w:tc>
        <w:tc>
          <w:tcPr>
            <w:tcW w:w="814" w:type="pct"/>
            <w:tcBorders>
              <w:tl2br w:val="nil"/>
              <w:tr2bl w:val="nil"/>
            </w:tcBorders>
            <w:vAlign w:val="center"/>
          </w:tcPr>
          <w:p w14:paraId="22CDE933">
            <w:pPr>
              <w:spacing w:line="300" w:lineRule="exact"/>
              <w:jc w:val="center"/>
              <w:rPr>
                <w:rFonts w:ascii="Times New Roman" w:hAnsi="Times New Roman" w:eastAsia="宋体" w:cs="Times New Roman"/>
                <w:color w:val="000000"/>
                <w:sz w:val="21"/>
                <w:szCs w:val="21"/>
              </w:rPr>
            </w:pPr>
          </w:p>
        </w:tc>
        <w:tc>
          <w:tcPr>
            <w:tcW w:w="730" w:type="pct"/>
            <w:tcBorders>
              <w:tl2br w:val="nil"/>
              <w:tr2bl w:val="nil"/>
            </w:tcBorders>
            <w:vAlign w:val="center"/>
          </w:tcPr>
          <w:p w14:paraId="6E9BDCBD">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22FE7F96">
            <w:pPr>
              <w:adjustRightInd w:val="0"/>
              <w:spacing w:line="300" w:lineRule="exact"/>
              <w:jc w:val="center"/>
              <w:rPr>
                <w:rFonts w:ascii="Times New Roman" w:hAnsi="Times New Roman" w:eastAsia="宋体" w:cs="Times New Roman"/>
                <w:bCs/>
                <w:kern w:val="0"/>
                <w:sz w:val="21"/>
                <w:szCs w:val="21"/>
              </w:rPr>
            </w:pPr>
          </w:p>
        </w:tc>
      </w:tr>
      <w:tr w14:paraId="4181DD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37" w:type="pct"/>
            <w:vMerge w:val="continue"/>
            <w:tcBorders>
              <w:tl2br w:val="nil"/>
              <w:tr2bl w:val="nil"/>
            </w:tcBorders>
            <w:vAlign w:val="center"/>
          </w:tcPr>
          <w:p w14:paraId="418DD537">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24F291E8">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TP</w:t>
            </w:r>
          </w:p>
        </w:tc>
        <w:tc>
          <w:tcPr>
            <w:tcW w:w="828" w:type="pct"/>
            <w:tcBorders>
              <w:tl2br w:val="nil"/>
              <w:tr2bl w:val="nil"/>
            </w:tcBorders>
            <w:vAlign w:val="center"/>
          </w:tcPr>
          <w:p w14:paraId="581CA761">
            <w:pPr>
              <w:spacing w:line="300" w:lineRule="exact"/>
              <w:jc w:val="center"/>
              <w:rPr>
                <w:rFonts w:ascii="Times New Roman" w:hAnsi="Times New Roman" w:eastAsia="宋体" w:cs="Times New Roman"/>
                <w:color w:val="000000"/>
                <w:sz w:val="21"/>
                <w:szCs w:val="21"/>
              </w:rPr>
            </w:pPr>
          </w:p>
        </w:tc>
        <w:tc>
          <w:tcPr>
            <w:tcW w:w="814" w:type="pct"/>
            <w:tcBorders>
              <w:tl2br w:val="nil"/>
              <w:tr2bl w:val="nil"/>
            </w:tcBorders>
            <w:vAlign w:val="center"/>
          </w:tcPr>
          <w:p w14:paraId="19D8F4FB">
            <w:pPr>
              <w:spacing w:line="300" w:lineRule="exact"/>
              <w:jc w:val="center"/>
              <w:rPr>
                <w:rFonts w:ascii="Times New Roman" w:hAnsi="Times New Roman" w:eastAsia="宋体" w:cs="Times New Roman"/>
                <w:color w:val="000000"/>
                <w:sz w:val="21"/>
                <w:szCs w:val="21"/>
              </w:rPr>
            </w:pPr>
          </w:p>
        </w:tc>
        <w:tc>
          <w:tcPr>
            <w:tcW w:w="730" w:type="pct"/>
            <w:tcBorders>
              <w:tl2br w:val="nil"/>
              <w:tr2bl w:val="nil"/>
            </w:tcBorders>
            <w:vAlign w:val="center"/>
          </w:tcPr>
          <w:p w14:paraId="45617413">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015B85F5">
            <w:pPr>
              <w:adjustRightInd w:val="0"/>
              <w:spacing w:line="300" w:lineRule="exact"/>
              <w:jc w:val="center"/>
              <w:rPr>
                <w:rFonts w:ascii="Times New Roman" w:hAnsi="Times New Roman" w:eastAsia="宋体" w:cs="Times New Roman"/>
                <w:bCs/>
                <w:kern w:val="0"/>
                <w:sz w:val="21"/>
                <w:szCs w:val="21"/>
              </w:rPr>
            </w:pPr>
          </w:p>
        </w:tc>
      </w:tr>
      <w:tr w14:paraId="4FA621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37" w:type="pct"/>
            <w:vMerge w:val="continue"/>
            <w:tcBorders>
              <w:tl2br w:val="nil"/>
              <w:tr2bl w:val="nil"/>
            </w:tcBorders>
            <w:vAlign w:val="center"/>
          </w:tcPr>
          <w:p w14:paraId="38E81643">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3E2C276A">
            <w:pPr>
              <w:spacing w:line="300" w:lineRule="exact"/>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TN</w:t>
            </w:r>
          </w:p>
        </w:tc>
        <w:tc>
          <w:tcPr>
            <w:tcW w:w="828" w:type="pct"/>
            <w:tcBorders>
              <w:tl2br w:val="nil"/>
              <w:tr2bl w:val="nil"/>
            </w:tcBorders>
            <w:vAlign w:val="center"/>
          </w:tcPr>
          <w:p w14:paraId="33F16F30">
            <w:pPr>
              <w:spacing w:line="300" w:lineRule="exact"/>
              <w:jc w:val="center"/>
              <w:rPr>
                <w:rFonts w:ascii="Times New Roman" w:hAnsi="Times New Roman" w:eastAsia="宋体" w:cs="Times New Roman"/>
                <w:color w:val="000000"/>
                <w:sz w:val="21"/>
                <w:szCs w:val="21"/>
              </w:rPr>
            </w:pPr>
          </w:p>
        </w:tc>
        <w:tc>
          <w:tcPr>
            <w:tcW w:w="814" w:type="pct"/>
            <w:tcBorders>
              <w:tl2br w:val="nil"/>
              <w:tr2bl w:val="nil"/>
            </w:tcBorders>
            <w:vAlign w:val="center"/>
          </w:tcPr>
          <w:p w14:paraId="52CC4309">
            <w:pPr>
              <w:spacing w:line="300" w:lineRule="exact"/>
              <w:jc w:val="center"/>
              <w:rPr>
                <w:rFonts w:ascii="Times New Roman" w:hAnsi="Times New Roman" w:eastAsia="宋体" w:cs="Times New Roman"/>
                <w:color w:val="000000"/>
                <w:sz w:val="21"/>
                <w:szCs w:val="21"/>
              </w:rPr>
            </w:pPr>
          </w:p>
        </w:tc>
        <w:tc>
          <w:tcPr>
            <w:tcW w:w="730" w:type="pct"/>
            <w:tcBorders>
              <w:tl2br w:val="nil"/>
              <w:tr2bl w:val="nil"/>
            </w:tcBorders>
            <w:vAlign w:val="center"/>
          </w:tcPr>
          <w:p w14:paraId="39DE1FD9">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4592A823">
            <w:pPr>
              <w:adjustRightInd w:val="0"/>
              <w:spacing w:line="300" w:lineRule="exact"/>
              <w:jc w:val="center"/>
              <w:rPr>
                <w:rFonts w:ascii="Times New Roman" w:hAnsi="Times New Roman" w:eastAsia="宋体" w:cs="Times New Roman"/>
                <w:bCs/>
                <w:kern w:val="0"/>
                <w:sz w:val="21"/>
                <w:szCs w:val="21"/>
              </w:rPr>
            </w:pPr>
          </w:p>
        </w:tc>
      </w:tr>
      <w:tr w14:paraId="328786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37" w:type="pct"/>
            <w:vMerge w:val="restart"/>
            <w:tcBorders>
              <w:tl2br w:val="nil"/>
              <w:tr2bl w:val="nil"/>
            </w:tcBorders>
            <w:vAlign w:val="center"/>
          </w:tcPr>
          <w:p w14:paraId="7C65A40E">
            <w:pPr>
              <w:adjustRightInd w:val="0"/>
              <w:spacing w:line="30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废气</w:t>
            </w:r>
          </w:p>
        </w:tc>
        <w:tc>
          <w:tcPr>
            <w:tcW w:w="485" w:type="pct"/>
            <w:vMerge w:val="restart"/>
            <w:tcBorders>
              <w:tl2br w:val="nil"/>
              <w:tr2bl w:val="nil"/>
            </w:tcBorders>
            <w:vAlign w:val="center"/>
          </w:tcPr>
          <w:p w14:paraId="7DEAE62F">
            <w:pPr>
              <w:adjustRightInd w:val="0"/>
              <w:spacing w:line="30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有组织</w:t>
            </w:r>
          </w:p>
        </w:tc>
        <w:tc>
          <w:tcPr>
            <w:tcW w:w="734" w:type="pct"/>
            <w:tcBorders>
              <w:tl2br w:val="nil"/>
              <w:tr2bl w:val="nil"/>
            </w:tcBorders>
            <w:vAlign w:val="center"/>
          </w:tcPr>
          <w:p w14:paraId="7869CF51">
            <w:pPr>
              <w:widowControl/>
              <w:spacing w:line="300" w:lineRule="exact"/>
              <w:jc w:val="center"/>
              <w:textAlignment w:val="center"/>
              <w:rPr>
                <w:rFonts w:ascii="Times New Roman" w:hAnsi="Times New Roman" w:eastAsia="宋体" w:cs="Times New Roman"/>
                <w:bCs/>
                <w:sz w:val="21"/>
                <w:szCs w:val="21"/>
              </w:rPr>
            </w:pPr>
            <w:r>
              <w:rPr>
                <w:rFonts w:ascii="Times New Roman" w:hAnsi="Times New Roman" w:eastAsia="宋体" w:cs="Times New Roman"/>
                <w:bCs/>
                <w:color w:val="000000"/>
                <w:kern w:val="0"/>
                <w:sz w:val="21"/>
                <w:szCs w:val="21"/>
                <w:lang w:bidi="ar"/>
              </w:rPr>
              <w:t>NH</w:t>
            </w:r>
            <w:r>
              <w:rPr>
                <w:rFonts w:ascii="Times New Roman" w:hAnsi="Times New Roman" w:eastAsia="宋体" w:cs="Times New Roman"/>
                <w:bCs/>
                <w:color w:val="000000"/>
                <w:kern w:val="0"/>
                <w:sz w:val="21"/>
                <w:szCs w:val="21"/>
                <w:vertAlign w:val="subscript"/>
                <w:lang w:bidi="ar"/>
              </w:rPr>
              <w:t>3</w:t>
            </w:r>
          </w:p>
        </w:tc>
        <w:tc>
          <w:tcPr>
            <w:tcW w:w="828" w:type="pct"/>
            <w:tcBorders>
              <w:tl2br w:val="nil"/>
              <w:tr2bl w:val="nil"/>
            </w:tcBorders>
            <w:shd w:val="clear" w:color="auto" w:fill="auto"/>
            <w:vAlign w:val="center"/>
          </w:tcPr>
          <w:p w14:paraId="2647E724">
            <w:pPr>
              <w:autoSpaceDE w:val="0"/>
              <w:autoSpaceDN w:val="0"/>
              <w:adjustRightInd w:val="0"/>
              <w:spacing w:line="300" w:lineRule="exact"/>
              <w:jc w:val="center"/>
              <w:rPr>
                <w:rFonts w:hint="default" w:ascii="Times New Roman" w:hAnsi="Times New Roman" w:eastAsia="宋体" w:cs="Times New Roman"/>
                <w:bCs/>
                <w:kern w:val="2"/>
                <w:sz w:val="21"/>
                <w:szCs w:val="21"/>
                <w:lang w:val="en-US" w:eastAsia="zh-CN" w:bidi="ar-SA"/>
              </w:rPr>
            </w:pPr>
          </w:p>
        </w:tc>
        <w:tc>
          <w:tcPr>
            <w:tcW w:w="814" w:type="pct"/>
            <w:tcBorders>
              <w:tl2br w:val="nil"/>
              <w:tr2bl w:val="nil"/>
            </w:tcBorders>
            <w:shd w:val="clear" w:color="auto" w:fill="auto"/>
            <w:vAlign w:val="center"/>
          </w:tcPr>
          <w:p w14:paraId="1764469F">
            <w:pPr>
              <w:autoSpaceDE w:val="0"/>
              <w:autoSpaceDN w:val="0"/>
              <w:adjustRightInd w:val="0"/>
              <w:spacing w:line="300" w:lineRule="exact"/>
              <w:jc w:val="center"/>
              <w:rPr>
                <w:rFonts w:ascii="Times New Roman" w:hAnsi="Times New Roman" w:eastAsia="宋体" w:cs="Times New Roman"/>
                <w:bCs/>
                <w:kern w:val="2"/>
                <w:sz w:val="21"/>
                <w:szCs w:val="21"/>
                <w:lang w:val="en-US" w:eastAsia="zh-CN" w:bidi="ar-SA"/>
              </w:rPr>
            </w:pPr>
          </w:p>
        </w:tc>
        <w:tc>
          <w:tcPr>
            <w:tcW w:w="730" w:type="pct"/>
            <w:tcBorders>
              <w:tl2br w:val="nil"/>
              <w:tr2bl w:val="nil"/>
            </w:tcBorders>
            <w:shd w:val="clear" w:color="auto" w:fill="auto"/>
            <w:vAlign w:val="center"/>
          </w:tcPr>
          <w:p w14:paraId="7634AFC2">
            <w:pPr>
              <w:autoSpaceDE w:val="0"/>
              <w:autoSpaceDN w:val="0"/>
              <w:adjustRightInd w:val="0"/>
              <w:spacing w:line="300" w:lineRule="exact"/>
              <w:jc w:val="center"/>
              <w:rPr>
                <w:rFonts w:ascii="Times New Roman" w:hAnsi="Times New Roman" w:eastAsia="宋体" w:cs="Times New Roman"/>
                <w:bCs/>
                <w:kern w:val="2"/>
                <w:sz w:val="21"/>
                <w:szCs w:val="21"/>
                <w:lang w:val="en-US" w:eastAsia="zh-CN" w:bidi="ar-SA"/>
              </w:rPr>
            </w:pPr>
          </w:p>
        </w:tc>
        <w:tc>
          <w:tcPr>
            <w:tcW w:w="869" w:type="pct"/>
            <w:tcBorders>
              <w:tl2br w:val="nil"/>
              <w:tr2bl w:val="nil"/>
            </w:tcBorders>
            <w:shd w:val="clear" w:color="auto" w:fill="auto"/>
            <w:vAlign w:val="center"/>
          </w:tcPr>
          <w:p w14:paraId="1ACB8D7E">
            <w:pPr>
              <w:autoSpaceDE w:val="0"/>
              <w:autoSpaceDN w:val="0"/>
              <w:adjustRightInd w:val="0"/>
              <w:spacing w:line="300" w:lineRule="exact"/>
              <w:jc w:val="center"/>
              <w:rPr>
                <w:rFonts w:hint="default" w:ascii="Times New Roman" w:hAnsi="Times New Roman" w:eastAsia="宋体" w:cs="Times New Roman"/>
                <w:bCs/>
                <w:kern w:val="2"/>
                <w:sz w:val="21"/>
                <w:szCs w:val="21"/>
                <w:lang w:val="en-US" w:eastAsia="zh-CN" w:bidi="ar-SA"/>
              </w:rPr>
            </w:pPr>
          </w:p>
        </w:tc>
      </w:tr>
      <w:tr w14:paraId="16F9DF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37" w:type="pct"/>
            <w:vMerge w:val="continue"/>
            <w:tcBorders>
              <w:tl2br w:val="nil"/>
              <w:tr2bl w:val="nil"/>
            </w:tcBorders>
            <w:vAlign w:val="center"/>
          </w:tcPr>
          <w:p w14:paraId="384458FF">
            <w:pPr>
              <w:adjustRightInd w:val="0"/>
              <w:spacing w:line="300" w:lineRule="exact"/>
              <w:jc w:val="center"/>
              <w:rPr>
                <w:rFonts w:ascii="Times New Roman" w:hAnsi="Times New Roman" w:eastAsia="宋体" w:cs="Times New Roman"/>
                <w:bCs/>
                <w:kern w:val="0"/>
                <w:sz w:val="21"/>
                <w:szCs w:val="21"/>
              </w:rPr>
            </w:pPr>
          </w:p>
        </w:tc>
        <w:tc>
          <w:tcPr>
            <w:tcW w:w="485" w:type="pct"/>
            <w:vMerge w:val="continue"/>
            <w:tcBorders>
              <w:tl2br w:val="nil"/>
              <w:tr2bl w:val="nil"/>
            </w:tcBorders>
            <w:vAlign w:val="center"/>
          </w:tcPr>
          <w:p w14:paraId="5CB41D69">
            <w:pPr>
              <w:adjustRightInd w:val="0"/>
              <w:spacing w:line="300" w:lineRule="exact"/>
              <w:jc w:val="center"/>
              <w:rPr>
                <w:rFonts w:ascii="Times New Roman" w:hAnsi="Times New Roman" w:eastAsia="宋体" w:cs="Times New Roman"/>
                <w:bCs/>
                <w:kern w:val="0"/>
                <w:sz w:val="21"/>
                <w:szCs w:val="21"/>
              </w:rPr>
            </w:pPr>
          </w:p>
        </w:tc>
        <w:tc>
          <w:tcPr>
            <w:tcW w:w="734" w:type="pct"/>
            <w:tcBorders>
              <w:tl2br w:val="nil"/>
              <w:tr2bl w:val="nil"/>
            </w:tcBorders>
            <w:vAlign w:val="center"/>
          </w:tcPr>
          <w:p w14:paraId="641549F3">
            <w:pPr>
              <w:widowControl/>
              <w:spacing w:line="300" w:lineRule="exact"/>
              <w:jc w:val="center"/>
              <w:textAlignment w:val="center"/>
              <w:rPr>
                <w:rFonts w:ascii="Times New Roman" w:hAnsi="Times New Roman" w:eastAsia="宋体" w:cs="Times New Roman"/>
                <w:bCs/>
                <w:sz w:val="21"/>
                <w:szCs w:val="21"/>
              </w:rPr>
            </w:pPr>
            <w:r>
              <w:rPr>
                <w:rFonts w:ascii="Times New Roman" w:hAnsi="Times New Roman" w:eastAsia="宋体" w:cs="Times New Roman"/>
                <w:bCs/>
                <w:color w:val="000000"/>
                <w:kern w:val="0"/>
                <w:sz w:val="21"/>
                <w:szCs w:val="21"/>
                <w:lang w:bidi="ar"/>
              </w:rPr>
              <w:t>H</w:t>
            </w:r>
            <w:r>
              <w:rPr>
                <w:rFonts w:ascii="Times New Roman" w:hAnsi="Times New Roman" w:eastAsia="宋体" w:cs="Times New Roman"/>
                <w:bCs/>
                <w:color w:val="000000"/>
                <w:kern w:val="0"/>
                <w:sz w:val="21"/>
                <w:szCs w:val="21"/>
                <w:vertAlign w:val="subscript"/>
                <w:lang w:bidi="ar"/>
              </w:rPr>
              <w:t>2</w:t>
            </w:r>
            <w:r>
              <w:rPr>
                <w:rFonts w:ascii="Times New Roman" w:hAnsi="Times New Roman" w:eastAsia="宋体" w:cs="Times New Roman"/>
                <w:bCs/>
                <w:color w:val="000000"/>
                <w:kern w:val="0"/>
                <w:sz w:val="21"/>
                <w:szCs w:val="21"/>
                <w:lang w:bidi="ar"/>
              </w:rPr>
              <w:t>S</w:t>
            </w:r>
          </w:p>
        </w:tc>
        <w:tc>
          <w:tcPr>
            <w:tcW w:w="828" w:type="pct"/>
            <w:tcBorders>
              <w:tl2br w:val="nil"/>
              <w:tr2bl w:val="nil"/>
            </w:tcBorders>
            <w:vAlign w:val="center"/>
          </w:tcPr>
          <w:p w14:paraId="574A1664">
            <w:pPr>
              <w:autoSpaceDE w:val="0"/>
              <w:autoSpaceDN w:val="0"/>
              <w:adjustRightInd w:val="0"/>
              <w:spacing w:line="300" w:lineRule="exact"/>
              <w:jc w:val="center"/>
              <w:rPr>
                <w:rFonts w:ascii="Times New Roman" w:hAnsi="Times New Roman" w:eastAsia="宋体" w:cs="Times New Roman"/>
                <w:bCs/>
                <w:sz w:val="21"/>
                <w:szCs w:val="21"/>
              </w:rPr>
            </w:pPr>
          </w:p>
        </w:tc>
        <w:tc>
          <w:tcPr>
            <w:tcW w:w="814" w:type="pct"/>
            <w:tcBorders>
              <w:tl2br w:val="nil"/>
              <w:tr2bl w:val="nil"/>
            </w:tcBorders>
            <w:vAlign w:val="center"/>
          </w:tcPr>
          <w:p w14:paraId="2F0A3D9E">
            <w:pPr>
              <w:autoSpaceDE w:val="0"/>
              <w:autoSpaceDN w:val="0"/>
              <w:adjustRightInd w:val="0"/>
              <w:spacing w:line="300" w:lineRule="exact"/>
              <w:jc w:val="center"/>
              <w:rPr>
                <w:rFonts w:ascii="Times New Roman" w:hAnsi="Times New Roman" w:eastAsia="宋体" w:cs="Times New Roman"/>
                <w:bCs/>
                <w:sz w:val="21"/>
                <w:szCs w:val="21"/>
              </w:rPr>
            </w:pPr>
          </w:p>
        </w:tc>
        <w:tc>
          <w:tcPr>
            <w:tcW w:w="730" w:type="pct"/>
            <w:tcBorders>
              <w:tl2br w:val="nil"/>
              <w:tr2bl w:val="nil"/>
            </w:tcBorders>
            <w:vAlign w:val="center"/>
          </w:tcPr>
          <w:p w14:paraId="6C83008C">
            <w:pPr>
              <w:autoSpaceDE w:val="0"/>
              <w:autoSpaceDN w:val="0"/>
              <w:adjustRightInd w:val="0"/>
              <w:spacing w:line="300" w:lineRule="exact"/>
              <w:jc w:val="center"/>
              <w:rPr>
                <w:rFonts w:ascii="Times New Roman" w:hAnsi="Times New Roman" w:eastAsia="宋体" w:cs="Times New Roman"/>
                <w:bCs/>
                <w:sz w:val="21"/>
                <w:szCs w:val="21"/>
              </w:rPr>
            </w:pPr>
          </w:p>
        </w:tc>
        <w:tc>
          <w:tcPr>
            <w:tcW w:w="869" w:type="pct"/>
            <w:tcBorders>
              <w:tl2br w:val="nil"/>
              <w:tr2bl w:val="nil"/>
            </w:tcBorders>
            <w:vAlign w:val="center"/>
          </w:tcPr>
          <w:p w14:paraId="28982313">
            <w:pPr>
              <w:autoSpaceDE w:val="0"/>
              <w:autoSpaceDN w:val="0"/>
              <w:adjustRightInd w:val="0"/>
              <w:spacing w:line="300" w:lineRule="exact"/>
              <w:jc w:val="center"/>
              <w:rPr>
                <w:rFonts w:ascii="Times New Roman" w:hAnsi="Times New Roman" w:eastAsia="宋体" w:cs="Times New Roman"/>
                <w:bCs/>
                <w:sz w:val="21"/>
                <w:szCs w:val="21"/>
              </w:rPr>
            </w:pPr>
          </w:p>
        </w:tc>
      </w:tr>
      <w:tr w14:paraId="15988D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37" w:type="pct"/>
            <w:vMerge w:val="continue"/>
            <w:tcBorders>
              <w:tl2br w:val="nil"/>
              <w:tr2bl w:val="nil"/>
            </w:tcBorders>
            <w:vAlign w:val="center"/>
          </w:tcPr>
          <w:p w14:paraId="227D228F">
            <w:pPr>
              <w:adjustRightInd w:val="0"/>
              <w:spacing w:line="300" w:lineRule="exact"/>
              <w:jc w:val="center"/>
              <w:rPr>
                <w:rFonts w:ascii="Times New Roman" w:hAnsi="Times New Roman" w:eastAsia="宋体" w:cs="Times New Roman"/>
                <w:bCs/>
                <w:kern w:val="0"/>
                <w:sz w:val="21"/>
                <w:szCs w:val="21"/>
              </w:rPr>
            </w:pPr>
          </w:p>
        </w:tc>
        <w:tc>
          <w:tcPr>
            <w:tcW w:w="485" w:type="pct"/>
            <w:vMerge w:val="restart"/>
            <w:tcBorders>
              <w:tl2br w:val="nil"/>
              <w:tr2bl w:val="nil"/>
            </w:tcBorders>
            <w:vAlign w:val="center"/>
          </w:tcPr>
          <w:p w14:paraId="0DA946D8">
            <w:pPr>
              <w:adjustRightInd w:val="0"/>
              <w:spacing w:line="30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无组织</w:t>
            </w:r>
          </w:p>
        </w:tc>
        <w:tc>
          <w:tcPr>
            <w:tcW w:w="734" w:type="pct"/>
            <w:tcBorders>
              <w:tl2br w:val="nil"/>
              <w:tr2bl w:val="nil"/>
            </w:tcBorders>
            <w:vAlign w:val="center"/>
          </w:tcPr>
          <w:p w14:paraId="393CD3E8">
            <w:pPr>
              <w:widowControl/>
              <w:spacing w:line="300" w:lineRule="exact"/>
              <w:jc w:val="center"/>
              <w:textAlignment w:val="center"/>
              <w:rPr>
                <w:rFonts w:ascii="Times New Roman" w:hAnsi="Times New Roman" w:eastAsia="宋体" w:cs="Times New Roman"/>
                <w:bCs/>
                <w:sz w:val="21"/>
                <w:szCs w:val="21"/>
              </w:rPr>
            </w:pPr>
            <w:r>
              <w:rPr>
                <w:rFonts w:ascii="Times New Roman" w:hAnsi="Times New Roman" w:eastAsia="宋体" w:cs="Times New Roman"/>
                <w:bCs/>
                <w:color w:val="000000"/>
                <w:kern w:val="0"/>
                <w:sz w:val="21"/>
                <w:szCs w:val="21"/>
                <w:lang w:bidi="ar"/>
              </w:rPr>
              <w:t>NH</w:t>
            </w:r>
            <w:r>
              <w:rPr>
                <w:rFonts w:ascii="Times New Roman" w:hAnsi="Times New Roman" w:eastAsia="宋体" w:cs="Times New Roman"/>
                <w:bCs/>
                <w:color w:val="000000"/>
                <w:kern w:val="0"/>
                <w:sz w:val="21"/>
                <w:szCs w:val="21"/>
                <w:vertAlign w:val="subscript"/>
                <w:lang w:bidi="ar"/>
              </w:rPr>
              <w:t>3</w:t>
            </w:r>
          </w:p>
        </w:tc>
        <w:tc>
          <w:tcPr>
            <w:tcW w:w="828" w:type="pct"/>
            <w:tcBorders>
              <w:tl2br w:val="nil"/>
              <w:tr2bl w:val="nil"/>
            </w:tcBorders>
            <w:vAlign w:val="center"/>
          </w:tcPr>
          <w:p w14:paraId="66FE9D6C">
            <w:pPr>
              <w:widowControl/>
              <w:spacing w:line="300" w:lineRule="exact"/>
              <w:jc w:val="center"/>
              <w:textAlignment w:val="center"/>
              <w:rPr>
                <w:rFonts w:ascii="Times New Roman" w:hAnsi="Times New Roman" w:eastAsia="宋体" w:cs="Times New Roman"/>
                <w:bCs/>
                <w:kern w:val="0"/>
                <w:sz w:val="21"/>
                <w:szCs w:val="21"/>
              </w:rPr>
            </w:pPr>
          </w:p>
        </w:tc>
        <w:tc>
          <w:tcPr>
            <w:tcW w:w="814" w:type="pct"/>
            <w:tcBorders>
              <w:tl2br w:val="nil"/>
              <w:tr2bl w:val="nil"/>
            </w:tcBorders>
            <w:vAlign w:val="center"/>
          </w:tcPr>
          <w:p w14:paraId="418FCA38">
            <w:pPr>
              <w:adjustRightInd w:val="0"/>
              <w:spacing w:line="300" w:lineRule="exact"/>
              <w:jc w:val="center"/>
              <w:rPr>
                <w:rFonts w:ascii="Times New Roman" w:hAnsi="Times New Roman" w:eastAsia="宋体" w:cs="Times New Roman"/>
                <w:bCs/>
                <w:kern w:val="0"/>
                <w:sz w:val="21"/>
                <w:szCs w:val="21"/>
              </w:rPr>
            </w:pPr>
          </w:p>
        </w:tc>
        <w:tc>
          <w:tcPr>
            <w:tcW w:w="730" w:type="pct"/>
            <w:tcBorders>
              <w:tl2br w:val="nil"/>
              <w:tr2bl w:val="nil"/>
            </w:tcBorders>
            <w:vAlign w:val="center"/>
          </w:tcPr>
          <w:p w14:paraId="717656F9">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71CA80F9">
            <w:pPr>
              <w:widowControl/>
              <w:spacing w:line="300" w:lineRule="exact"/>
              <w:jc w:val="center"/>
              <w:textAlignment w:val="center"/>
              <w:rPr>
                <w:rFonts w:ascii="Times New Roman" w:hAnsi="Times New Roman" w:eastAsia="宋体" w:cs="Times New Roman"/>
                <w:bCs/>
                <w:kern w:val="0"/>
                <w:sz w:val="21"/>
                <w:szCs w:val="21"/>
              </w:rPr>
            </w:pPr>
          </w:p>
        </w:tc>
      </w:tr>
      <w:tr w14:paraId="6C22A0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37" w:type="pct"/>
            <w:vMerge w:val="continue"/>
            <w:tcBorders>
              <w:tl2br w:val="nil"/>
              <w:tr2bl w:val="nil"/>
            </w:tcBorders>
            <w:vAlign w:val="center"/>
          </w:tcPr>
          <w:p w14:paraId="120F99C5">
            <w:pPr>
              <w:adjustRightInd w:val="0"/>
              <w:spacing w:line="300" w:lineRule="exact"/>
              <w:jc w:val="center"/>
              <w:rPr>
                <w:rFonts w:ascii="Times New Roman" w:hAnsi="Times New Roman" w:eastAsia="宋体" w:cs="Times New Roman"/>
                <w:bCs/>
                <w:kern w:val="0"/>
                <w:sz w:val="21"/>
                <w:szCs w:val="21"/>
              </w:rPr>
            </w:pPr>
          </w:p>
        </w:tc>
        <w:tc>
          <w:tcPr>
            <w:tcW w:w="485" w:type="pct"/>
            <w:vMerge w:val="continue"/>
            <w:tcBorders>
              <w:tl2br w:val="nil"/>
              <w:tr2bl w:val="nil"/>
            </w:tcBorders>
            <w:vAlign w:val="center"/>
          </w:tcPr>
          <w:p w14:paraId="6B3A60D7">
            <w:pPr>
              <w:adjustRightInd w:val="0"/>
              <w:spacing w:line="300" w:lineRule="exact"/>
              <w:jc w:val="center"/>
              <w:rPr>
                <w:rFonts w:ascii="Times New Roman" w:hAnsi="Times New Roman" w:eastAsia="宋体" w:cs="Times New Roman"/>
                <w:bCs/>
                <w:kern w:val="0"/>
                <w:sz w:val="21"/>
                <w:szCs w:val="21"/>
              </w:rPr>
            </w:pPr>
          </w:p>
        </w:tc>
        <w:tc>
          <w:tcPr>
            <w:tcW w:w="734" w:type="pct"/>
            <w:tcBorders>
              <w:tl2br w:val="nil"/>
              <w:tr2bl w:val="nil"/>
            </w:tcBorders>
            <w:vAlign w:val="center"/>
          </w:tcPr>
          <w:p w14:paraId="401F5C2C">
            <w:pPr>
              <w:widowControl/>
              <w:spacing w:line="300" w:lineRule="exact"/>
              <w:jc w:val="center"/>
              <w:textAlignment w:val="center"/>
              <w:rPr>
                <w:rFonts w:ascii="Times New Roman" w:hAnsi="Times New Roman" w:eastAsia="宋体" w:cs="Times New Roman"/>
                <w:bCs/>
                <w:sz w:val="21"/>
                <w:szCs w:val="21"/>
              </w:rPr>
            </w:pPr>
            <w:r>
              <w:rPr>
                <w:rFonts w:ascii="Times New Roman" w:hAnsi="Times New Roman" w:eastAsia="宋体" w:cs="Times New Roman"/>
                <w:bCs/>
                <w:color w:val="000000"/>
                <w:kern w:val="0"/>
                <w:sz w:val="21"/>
                <w:szCs w:val="21"/>
                <w:lang w:bidi="ar"/>
              </w:rPr>
              <w:t>H</w:t>
            </w:r>
            <w:r>
              <w:rPr>
                <w:rFonts w:ascii="Times New Roman" w:hAnsi="Times New Roman" w:eastAsia="宋体" w:cs="Times New Roman"/>
                <w:bCs/>
                <w:color w:val="000000"/>
                <w:kern w:val="0"/>
                <w:sz w:val="21"/>
                <w:szCs w:val="21"/>
                <w:vertAlign w:val="subscript"/>
                <w:lang w:bidi="ar"/>
              </w:rPr>
              <w:t>2</w:t>
            </w:r>
            <w:r>
              <w:rPr>
                <w:rFonts w:ascii="Times New Roman" w:hAnsi="Times New Roman" w:eastAsia="宋体" w:cs="Times New Roman"/>
                <w:bCs/>
                <w:color w:val="000000"/>
                <w:kern w:val="0"/>
                <w:sz w:val="21"/>
                <w:szCs w:val="21"/>
                <w:lang w:bidi="ar"/>
              </w:rPr>
              <w:t>S</w:t>
            </w:r>
          </w:p>
        </w:tc>
        <w:tc>
          <w:tcPr>
            <w:tcW w:w="828" w:type="pct"/>
            <w:tcBorders>
              <w:tl2br w:val="nil"/>
              <w:tr2bl w:val="nil"/>
            </w:tcBorders>
            <w:vAlign w:val="center"/>
          </w:tcPr>
          <w:p w14:paraId="5A64C765">
            <w:pPr>
              <w:widowControl/>
              <w:spacing w:line="300" w:lineRule="exact"/>
              <w:jc w:val="center"/>
              <w:textAlignment w:val="center"/>
              <w:rPr>
                <w:rFonts w:ascii="Times New Roman" w:hAnsi="Times New Roman" w:eastAsia="宋体" w:cs="Times New Roman"/>
                <w:bCs/>
                <w:color w:val="000000"/>
                <w:kern w:val="0"/>
                <w:sz w:val="21"/>
                <w:szCs w:val="21"/>
                <w:lang w:bidi="ar"/>
              </w:rPr>
            </w:pPr>
          </w:p>
        </w:tc>
        <w:tc>
          <w:tcPr>
            <w:tcW w:w="814" w:type="pct"/>
            <w:tcBorders>
              <w:tl2br w:val="nil"/>
              <w:tr2bl w:val="nil"/>
            </w:tcBorders>
            <w:vAlign w:val="center"/>
          </w:tcPr>
          <w:p w14:paraId="6C08ED2B">
            <w:pPr>
              <w:adjustRightInd w:val="0"/>
              <w:spacing w:line="300" w:lineRule="exact"/>
              <w:jc w:val="center"/>
              <w:rPr>
                <w:rFonts w:ascii="Times New Roman" w:hAnsi="Times New Roman" w:eastAsia="宋体" w:cs="Times New Roman"/>
                <w:bCs/>
                <w:kern w:val="0"/>
                <w:sz w:val="21"/>
                <w:szCs w:val="21"/>
              </w:rPr>
            </w:pPr>
          </w:p>
        </w:tc>
        <w:tc>
          <w:tcPr>
            <w:tcW w:w="730" w:type="pct"/>
            <w:tcBorders>
              <w:tl2br w:val="nil"/>
              <w:tr2bl w:val="nil"/>
            </w:tcBorders>
            <w:vAlign w:val="center"/>
          </w:tcPr>
          <w:p w14:paraId="174D33BF">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0CB15A72">
            <w:pPr>
              <w:widowControl/>
              <w:spacing w:line="300" w:lineRule="exact"/>
              <w:jc w:val="center"/>
              <w:textAlignment w:val="center"/>
              <w:rPr>
                <w:rFonts w:ascii="Times New Roman" w:hAnsi="Times New Roman" w:eastAsia="宋体" w:cs="Times New Roman"/>
                <w:bCs/>
                <w:color w:val="000000"/>
                <w:kern w:val="0"/>
                <w:sz w:val="21"/>
                <w:szCs w:val="21"/>
                <w:lang w:bidi="ar"/>
              </w:rPr>
            </w:pPr>
          </w:p>
        </w:tc>
      </w:tr>
      <w:tr w14:paraId="6A5D0F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37" w:type="pct"/>
            <w:vMerge w:val="restart"/>
            <w:tcBorders>
              <w:tl2br w:val="nil"/>
              <w:tr2bl w:val="nil"/>
            </w:tcBorders>
            <w:vAlign w:val="center"/>
          </w:tcPr>
          <w:p w14:paraId="6B84AF9D">
            <w:pPr>
              <w:adjustRightInd w:val="0"/>
              <w:spacing w:line="30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固废</w:t>
            </w:r>
          </w:p>
        </w:tc>
        <w:tc>
          <w:tcPr>
            <w:tcW w:w="1219" w:type="pct"/>
            <w:gridSpan w:val="2"/>
            <w:tcBorders>
              <w:tl2br w:val="nil"/>
              <w:tr2bl w:val="nil"/>
            </w:tcBorders>
            <w:vAlign w:val="center"/>
          </w:tcPr>
          <w:p w14:paraId="257ED1C5">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病死鸡</w:t>
            </w:r>
          </w:p>
        </w:tc>
        <w:tc>
          <w:tcPr>
            <w:tcW w:w="828" w:type="pct"/>
            <w:tcBorders>
              <w:tl2br w:val="nil"/>
              <w:tr2bl w:val="nil"/>
            </w:tcBorders>
            <w:vAlign w:val="center"/>
          </w:tcPr>
          <w:p w14:paraId="5C3894E6">
            <w:pPr>
              <w:spacing w:line="300" w:lineRule="exact"/>
              <w:jc w:val="center"/>
              <w:rPr>
                <w:rFonts w:ascii="Times New Roman" w:hAnsi="Times New Roman" w:eastAsia="宋体" w:cs="Times New Roman"/>
                <w:bCs/>
                <w:sz w:val="21"/>
                <w:szCs w:val="21"/>
              </w:rPr>
            </w:pPr>
          </w:p>
        </w:tc>
        <w:tc>
          <w:tcPr>
            <w:tcW w:w="814" w:type="pct"/>
            <w:tcBorders>
              <w:tl2br w:val="nil"/>
              <w:tr2bl w:val="nil"/>
            </w:tcBorders>
            <w:vAlign w:val="center"/>
          </w:tcPr>
          <w:p w14:paraId="58DAB4E8">
            <w:pPr>
              <w:spacing w:line="300" w:lineRule="exact"/>
              <w:jc w:val="center"/>
              <w:rPr>
                <w:rFonts w:ascii="Times New Roman" w:hAnsi="Times New Roman" w:eastAsia="宋体" w:cs="Times New Roman"/>
                <w:bCs/>
                <w:sz w:val="21"/>
                <w:szCs w:val="21"/>
              </w:rPr>
            </w:pPr>
          </w:p>
        </w:tc>
        <w:tc>
          <w:tcPr>
            <w:tcW w:w="730" w:type="pct"/>
            <w:tcBorders>
              <w:tl2br w:val="nil"/>
              <w:tr2bl w:val="nil"/>
            </w:tcBorders>
            <w:vAlign w:val="center"/>
          </w:tcPr>
          <w:p w14:paraId="22FCDD6D">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535F7979">
            <w:pPr>
              <w:adjustRightInd w:val="0"/>
              <w:spacing w:line="300" w:lineRule="exact"/>
              <w:jc w:val="center"/>
              <w:rPr>
                <w:rFonts w:ascii="Times New Roman" w:hAnsi="Times New Roman" w:eastAsia="宋体" w:cs="Times New Roman"/>
                <w:bCs/>
                <w:kern w:val="0"/>
                <w:sz w:val="21"/>
                <w:szCs w:val="21"/>
              </w:rPr>
            </w:pPr>
          </w:p>
        </w:tc>
      </w:tr>
      <w:tr w14:paraId="5178B5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37" w:type="pct"/>
            <w:vMerge w:val="continue"/>
            <w:tcBorders>
              <w:tl2br w:val="nil"/>
              <w:tr2bl w:val="nil"/>
            </w:tcBorders>
            <w:vAlign w:val="center"/>
          </w:tcPr>
          <w:p w14:paraId="78CE531D">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528395F0">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鸡粪</w:t>
            </w:r>
          </w:p>
        </w:tc>
        <w:tc>
          <w:tcPr>
            <w:tcW w:w="828" w:type="pct"/>
            <w:tcBorders>
              <w:tl2br w:val="nil"/>
              <w:tr2bl w:val="nil"/>
            </w:tcBorders>
            <w:vAlign w:val="center"/>
          </w:tcPr>
          <w:p w14:paraId="2312572E">
            <w:pPr>
              <w:tabs>
                <w:tab w:val="left" w:pos="0"/>
              </w:tabs>
              <w:adjustRightInd w:val="0"/>
              <w:spacing w:line="300" w:lineRule="exact"/>
              <w:jc w:val="center"/>
              <w:rPr>
                <w:rFonts w:ascii="Times New Roman" w:hAnsi="Times New Roman" w:eastAsia="宋体" w:cs="Times New Roman"/>
                <w:bCs/>
                <w:sz w:val="21"/>
                <w:szCs w:val="21"/>
              </w:rPr>
            </w:pPr>
          </w:p>
        </w:tc>
        <w:tc>
          <w:tcPr>
            <w:tcW w:w="814" w:type="pct"/>
            <w:tcBorders>
              <w:tl2br w:val="nil"/>
              <w:tr2bl w:val="nil"/>
            </w:tcBorders>
            <w:vAlign w:val="center"/>
          </w:tcPr>
          <w:p w14:paraId="529B8614">
            <w:pPr>
              <w:tabs>
                <w:tab w:val="left" w:pos="0"/>
              </w:tabs>
              <w:adjustRightInd w:val="0"/>
              <w:spacing w:line="300" w:lineRule="exact"/>
              <w:jc w:val="center"/>
              <w:rPr>
                <w:rFonts w:ascii="Times New Roman" w:hAnsi="Times New Roman" w:eastAsia="宋体" w:cs="Times New Roman"/>
                <w:bCs/>
                <w:sz w:val="21"/>
                <w:szCs w:val="21"/>
              </w:rPr>
            </w:pPr>
          </w:p>
        </w:tc>
        <w:tc>
          <w:tcPr>
            <w:tcW w:w="730" w:type="pct"/>
            <w:tcBorders>
              <w:tl2br w:val="nil"/>
              <w:tr2bl w:val="nil"/>
            </w:tcBorders>
            <w:vAlign w:val="center"/>
          </w:tcPr>
          <w:p w14:paraId="27D59D55">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6B1B4BDA">
            <w:pPr>
              <w:adjustRightInd w:val="0"/>
              <w:spacing w:line="300" w:lineRule="exact"/>
              <w:jc w:val="center"/>
              <w:rPr>
                <w:rFonts w:ascii="Times New Roman" w:hAnsi="Times New Roman" w:eastAsia="宋体" w:cs="Times New Roman"/>
                <w:bCs/>
                <w:kern w:val="0"/>
                <w:sz w:val="21"/>
                <w:szCs w:val="21"/>
              </w:rPr>
            </w:pPr>
          </w:p>
        </w:tc>
      </w:tr>
      <w:tr w14:paraId="299F6D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37" w:type="pct"/>
            <w:vMerge w:val="continue"/>
            <w:tcBorders>
              <w:tl2br w:val="nil"/>
              <w:tr2bl w:val="nil"/>
            </w:tcBorders>
            <w:vAlign w:val="center"/>
          </w:tcPr>
          <w:p w14:paraId="15AA8A1C">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7DEACB81">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废包装</w:t>
            </w:r>
          </w:p>
        </w:tc>
        <w:tc>
          <w:tcPr>
            <w:tcW w:w="828" w:type="pct"/>
            <w:tcBorders>
              <w:tl2br w:val="nil"/>
              <w:tr2bl w:val="nil"/>
            </w:tcBorders>
            <w:vAlign w:val="center"/>
          </w:tcPr>
          <w:p w14:paraId="449C718A">
            <w:pPr>
              <w:tabs>
                <w:tab w:val="left" w:pos="0"/>
              </w:tabs>
              <w:adjustRightInd w:val="0"/>
              <w:spacing w:line="300" w:lineRule="exact"/>
              <w:jc w:val="center"/>
              <w:rPr>
                <w:rFonts w:ascii="Times New Roman" w:hAnsi="Times New Roman" w:eastAsia="宋体" w:cs="Times New Roman"/>
                <w:bCs/>
                <w:sz w:val="21"/>
                <w:szCs w:val="21"/>
              </w:rPr>
            </w:pPr>
          </w:p>
        </w:tc>
        <w:tc>
          <w:tcPr>
            <w:tcW w:w="814" w:type="pct"/>
            <w:tcBorders>
              <w:tl2br w:val="nil"/>
              <w:tr2bl w:val="nil"/>
            </w:tcBorders>
            <w:vAlign w:val="center"/>
          </w:tcPr>
          <w:p w14:paraId="47A9DA0B">
            <w:pPr>
              <w:tabs>
                <w:tab w:val="left" w:pos="0"/>
              </w:tabs>
              <w:adjustRightInd w:val="0"/>
              <w:spacing w:line="300" w:lineRule="exact"/>
              <w:jc w:val="center"/>
              <w:rPr>
                <w:rFonts w:ascii="Times New Roman" w:hAnsi="Times New Roman" w:eastAsia="宋体" w:cs="Times New Roman"/>
                <w:bCs/>
                <w:sz w:val="21"/>
                <w:szCs w:val="21"/>
              </w:rPr>
            </w:pPr>
          </w:p>
        </w:tc>
        <w:tc>
          <w:tcPr>
            <w:tcW w:w="730" w:type="pct"/>
            <w:tcBorders>
              <w:tl2br w:val="nil"/>
              <w:tr2bl w:val="nil"/>
            </w:tcBorders>
            <w:vAlign w:val="center"/>
          </w:tcPr>
          <w:p w14:paraId="627CEFB7">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52197F4E">
            <w:pPr>
              <w:adjustRightInd w:val="0"/>
              <w:spacing w:line="300" w:lineRule="exact"/>
              <w:jc w:val="center"/>
              <w:rPr>
                <w:rFonts w:ascii="Times New Roman" w:hAnsi="Times New Roman" w:eastAsia="宋体" w:cs="Times New Roman"/>
                <w:bCs/>
                <w:kern w:val="0"/>
                <w:sz w:val="21"/>
                <w:szCs w:val="21"/>
              </w:rPr>
            </w:pPr>
          </w:p>
        </w:tc>
      </w:tr>
      <w:tr w14:paraId="3CD14C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37" w:type="pct"/>
            <w:vMerge w:val="continue"/>
            <w:tcBorders>
              <w:tl2br w:val="nil"/>
              <w:tr2bl w:val="nil"/>
            </w:tcBorders>
            <w:vAlign w:val="center"/>
          </w:tcPr>
          <w:p w14:paraId="5C4515F0">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1557549A">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医疗废物</w:t>
            </w:r>
          </w:p>
        </w:tc>
        <w:tc>
          <w:tcPr>
            <w:tcW w:w="828" w:type="pct"/>
            <w:tcBorders>
              <w:tl2br w:val="nil"/>
              <w:tr2bl w:val="nil"/>
            </w:tcBorders>
            <w:vAlign w:val="center"/>
          </w:tcPr>
          <w:p w14:paraId="5433406C">
            <w:pPr>
              <w:tabs>
                <w:tab w:val="left" w:pos="0"/>
              </w:tabs>
              <w:adjustRightInd w:val="0"/>
              <w:spacing w:line="300" w:lineRule="exact"/>
              <w:jc w:val="center"/>
              <w:rPr>
                <w:rFonts w:ascii="Times New Roman" w:hAnsi="Times New Roman" w:eastAsia="宋体" w:cs="Times New Roman"/>
                <w:bCs/>
                <w:sz w:val="21"/>
                <w:szCs w:val="21"/>
              </w:rPr>
            </w:pPr>
          </w:p>
        </w:tc>
        <w:tc>
          <w:tcPr>
            <w:tcW w:w="814" w:type="pct"/>
            <w:tcBorders>
              <w:tl2br w:val="nil"/>
              <w:tr2bl w:val="nil"/>
            </w:tcBorders>
            <w:vAlign w:val="center"/>
          </w:tcPr>
          <w:p w14:paraId="44F95DB9">
            <w:pPr>
              <w:tabs>
                <w:tab w:val="left" w:pos="0"/>
              </w:tabs>
              <w:adjustRightInd w:val="0"/>
              <w:spacing w:line="300" w:lineRule="exact"/>
              <w:jc w:val="center"/>
              <w:rPr>
                <w:rFonts w:ascii="Times New Roman" w:hAnsi="Times New Roman" w:eastAsia="宋体" w:cs="Times New Roman"/>
                <w:bCs/>
                <w:sz w:val="21"/>
                <w:szCs w:val="21"/>
              </w:rPr>
            </w:pPr>
          </w:p>
        </w:tc>
        <w:tc>
          <w:tcPr>
            <w:tcW w:w="730" w:type="pct"/>
            <w:tcBorders>
              <w:tl2br w:val="nil"/>
              <w:tr2bl w:val="nil"/>
            </w:tcBorders>
            <w:vAlign w:val="center"/>
          </w:tcPr>
          <w:p w14:paraId="2149DC3F">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43B76782">
            <w:pPr>
              <w:adjustRightInd w:val="0"/>
              <w:spacing w:line="300" w:lineRule="exact"/>
              <w:jc w:val="center"/>
              <w:rPr>
                <w:rFonts w:ascii="Times New Roman" w:hAnsi="Times New Roman" w:eastAsia="宋体" w:cs="Times New Roman"/>
                <w:bCs/>
                <w:kern w:val="0"/>
                <w:sz w:val="21"/>
                <w:szCs w:val="21"/>
              </w:rPr>
            </w:pPr>
          </w:p>
        </w:tc>
      </w:tr>
      <w:tr w14:paraId="189552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37" w:type="pct"/>
            <w:vMerge w:val="continue"/>
            <w:tcBorders>
              <w:tl2br w:val="nil"/>
              <w:tr2bl w:val="nil"/>
            </w:tcBorders>
            <w:vAlign w:val="center"/>
          </w:tcPr>
          <w:p w14:paraId="4F06A6FC">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74215D3B">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污泥</w:t>
            </w:r>
          </w:p>
        </w:tc>
        <w:tc>
          <w:tcPr>
            <w:tcW w:w="828" w:type="pct"/>
            <w:tcBorders>
              <w:tl2br w:val="nil"/>
              <w:tr2bl w:val="nil"/>
            </w:tcBorders>
            <w:vAlign w:val="center"/>
          </w:tcPr>
          <w:p w14:paraId="13595A4A">
            <w:pPr>
              <w:tabs>
                <w:tab w:val="left" w:pos="0"/>
              </w:tabs>
              <w:adjustRightInd w:val="0"/>
              <w:spacing w:line="300" w:lineRule="exact"/>
              <w:jc w:val="center"/>
              <w:rPr>
                <w:rFonts w:ascii="Times New Roman" w:hAnsi="Times New Roman" w:eastAsia="宋体" w:cs="Times New Roman"/>
                <w:bCs/>
                <w:sz w:val="21"/>
                <w:szCs w:val="21"/>
              </w:rPr>
            </w:pPr>
          </w:p>
        </w:tc>
        <w:tc>
          <w:tcPr>
            <w:tcW w:w="814" w:type="pct"/>
            <w:tcBorders>
              <w:tl2br w:val="nil"/>
              <w:tr2bl w:val="nil"/>
            </w:tcBorders>
            <w:vAlign w:val="center"/>
          </w:tcPr>
          <w:p w14:paraId="6F9C56F8">
            <w:pPr>
              <w:tabs>
                <w:tab w:val="left" w:pos="0"/>
              </w:tabs>
              <w:adjustRightInd w:val="0"/>
              <w:spacing w:line="300" w:lineRule="exact"/>
              <w:jc w:val="center"/>
              <w:rPr>
                <w:rFonts w:ascii="Times New Roman" w:hAnsi="Times New Roman" w:eastAsia="宋体" w:cs="Times New Roman"/>
                <w:bCs/>
                <w:sz w:val="21"/>
                <w:szCs w:val="21"/>
              </w:rPr>
            </w:pPr>
          </w:p>
        </w:tc>
        <w:tc>
          <w:tcPr>
            <w:tcW w:w="730" w:type="pct"/>
            <w:tcBorders>
              <w:tl2br w:val="nil"/>
              <w:tr2bl w:val="nil"/>
            </w:tcBorders>
            <w:vAlign w:val="center"/>
          </w:tcPr>
          <w:p w14:paraId="414DCBF3">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120053F2">
            <w:pPr>
              <w:adjustRightInd w:val="0"/>
              <w:spacing w:line="300" w:lineRule="exact"/>
              <w:jc w:val="center"/>
              <w:rPr>
                <w:rFonts w:ascii="Times New Roman" w:hAnsi="Times New Roman" w:eastAsia="宋体" w:cs="Times New Roman"/>
                <w:bCs/>
                <w:kern w:val="0"/>
                <w:sz w:val="21"/>
                <w:szCs w:val="21"/>
              </w:rPr>
            </w:pPr>
          </w:p>
        </w:tc>
      </w:tr>
      <w:tr w14:paraId="2324FF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37" w:type="pct"/>
            <w:vMerge w:val="continue"/>
            <w:tcBorders>
              <w:tl2br w:val="nil"/>
              <w:tr2bl w:val="nil"/>
            </w:tcBorders>
            <w:vAlign w:val="center"/>
          </w:tcPr>
          <w:p w14:paraId="5CFDA150">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55441875">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饲料残渣及散落羽毛</w:t>
            </w:r>
          </w:p>
        </w:tc>
        <w:tc>
          <w:tcPr>
            <w:tcW w:w="828" w:type="pct"/>
            <w:tcBorders>
              <w:tl2br w:val="nil"/>
              <w:tr2bl w:val="nil"/>
            </w:tcBorders>
            <w:vAlign w:val="center"/>
          </w:tcPr>
          <w:p w14:paraId="290B02D5">
            <w:pPr>
              <w:tabs>
                <w:tab w:val="left" w:pos="0"/>
              </w:tabs>
              <w:adjustRightInd w:val="0"/>
              <w:spacing w:line="300" w:lineRule="exact"/>
              <w:jc w:val="center"/>
              <w:rPr>
                <w:rFonts w:ascii="Times New Roman" w:hAnsi="Times New Roman" w:eastAsia="宋体" w:cs="Times New Roman"/>
                <w:bCs/>
                <w:sz w:val="21"/>
                <w:szCs w:val="21"/>
              </w:rPr>
            </w:pPr>
          </w:p>
        </w:tc>
        <w:tc>
          <w:tcPr>
            <w:tcW w:w="814" w:type="pct"/>
            <w:tcBorders>
              <w:tl2br w:val="nil"/>
              <w:tr2bl w:val="nil"/>
            </w:tcBorders>
            <w:vAlign w:val="center"/>
          </w:tcPr>
          <w:p w14:paraId="7D5F82B5">
            <w:pPr>
              <w:tabs>
                <w:tab w:val="left" w:pos="0"/>
              </w:tabs>
              <w:adjustRightInd w:val="0"/>
              <w:spacing w:line="300" w:lineRule="exact"/>
              <w:jc w:val="center"/>
              <w:rPr>
                <w:rFonts w:ascii="Times New Roman" w:hAnsi="Times New Roman" w:eastAsia="宋体" w:cs="Times New Roman"/>
                <w:bCs/>
                <w:sz w:val="21"/>
                <w:szCs w:val="21"/>
              </w:rPr>
            </w:pPr>
          </w:p>
        </w:tc>
        <w:tc>
          <w:tcPr>
            <w:tcW w:w="730" w:type="pct"/>
            <w:tcBorders>
              <w:tl2br w:val="nil"/>
              <w:tr2bl w:val="nil"/>
            </w:tcBorders>
            <w:vAlign w:val="center"/>
          </w:tcPr>
          <w:p w14:paraId="1C522F45">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772BD106">
            <w:pPr>
              <w:adjustRightInd w:val="0"/>
              <w:spacing w:line="300" w:lineRule="exact"/>
              <w:jc w:val="center"/>
              <w:rPr>
                <w:rFonts w:ascii="Times New Roman" w:hAnsi="Times New Roman" w:eastAsia="宋体" w:cs="Times New Roman"/>
                <w:bCs/>
                <w:kern w:val="0"/>
                <w:sz w:val="21"/>
                <w:szCs w:val="21"/>
              </w:rPr>
            </w:pPr>
          </w:p>
        </w:tc>
      </w:tr>
      <w:tr w14:paraId="6E7B8F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37" w:type="pct"/>
            <w:vMerge w:val="continue"/>
            <w:tcBorders>
              <w:tl2br w:val="nil"/>
              <w:tr2bl w:val="nil"/>
            </w:tcBorders>
            <w:vAlign w:val="center"/>
          </w:tcPr>
          <w:p w14:paraId="62C9C49C">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4CACD29B">
            <w:pPr>
              <w:tabs>
                <w:tab w:val="left" w:pos="0"/>
              </w:tabs>
              <w:adjustRightInd w:val="0"/>
              <w:spacing w:line="300" w:lineRule="exact"/>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废树脂</w:t>
            </w:r>
          </w:p>
        </w:tc>
        <w:tc>
          <w:tcPr>
            <w:tcW w:w="828" w:type="pct"/>
            <w:tcBorders>
              <w:tl2br w:val="nil"/>
              <w:tr2bl w:val="nil"/>
            </w:tcBorders>
            <w:vAlign w:val="center"/>
          </w:tcPr>
          <w:p w14:paraId="68BAE84A">
            <w:pPr>
              <w:tabs>
                <w:tab w:val="left" w:pos="0"/>
              </w:tabs>
              <w:adjustRightInd w:val="0"/>
              <w:spacing w:line="300" w:lineRule="exact"/>
              <w:jc w:val="center"/>
              <w:rPr>
                <w:rFonts w:ascii="Times New Roman" w:hAnsi="Times New Roman" w:eastAsia="宋体" w:cs="Times New Roman"/>
                <w:bCs/>
                <w:sz w:val="21"/>
                <w:szCs w:val="21"/>
              </w:rPr>
            </w:pPr>
          </w:p>
        </w:tc>
        <w:tc>
          <w:tcPr>
            <w:tcW w:w="814" w:type="pct"/>
            <w:tcBorders>
              <w:tl2br w:val="nil"/>
              <w:tr2bl w:val="nil"/>
            </w:tcBorders>
            <w:vAlign w:val="center"/>
          </w:tcPr>
          <w:p w14:paraId="41B76BCC">
            <w:pPr>
              <w:tabs>
                <w:tab w:val="left" w:pos="0"/>
              </w:tabs>
              <w:adjustRightInd w:val="0"/>
              <w:spacing w:line="300" w:lineRule="exact"/>
              <w:jc w:val="center"/>
              <w:rPr>
                <w:rFonts w:ascii="Times New Roman" w:hAnsi="Times New Roman" w:eastAsia="宋体" w:cs="Times New Roman"/>
                <w:bCs/>
                <w:sz w:val="21"/>
                <w:szCs w:val="21"/>
              </w:rPr>
            </w:pPr>
          </w:p>
        </w:tc>
        <w:tc>
          <w:tcPr>
            <w:tcW w:w="730" w:type="pct"/>
            <w:tcBorders>
              <w:tl2br w:val="nil"/>
              <w:tr2bl w:val="nil"/>
            </w:tcBorders>
            <w:vAlign w:val="center"/>
          </w:tcPr>
          <w:p w14:paraId="7E003EC1">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55819E41">
            <w:pPr>
              <w:adjustRightInd w:val="0"/>
              <w:spacing w:line="300" w:lineRule="exact"/>
              <w:jc w:val="center"/>
              <w:rPr>
                <w:rFonts w:ascii="Times New Roman" w:hAnsi="Times New Roman" w:eastAsia="宋体" w:cs="Times New Roman"/>
                <w:bCs/>
                <w:kern w:val="0"/>
                <w:sz w:val="21"/>
                <w:szCs w:val="21"/>
              </w:rPr>
            </w:pPr>
          </w:p>
        </w:tc>
      </w:tr>
      <w:tr w14:paraId="599B3B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37" w:type="pct"/>
            <w:vMerge w:val="continue"/>
            <w:tcBorders>
              <w:tl2br w:val="nil"/>
              <w:tr2bl w:val="nil"/>
            </w:tcBorders>
            <w:vAlign w:val="center"/>
          </w:tcPr>
          <w:p w14:paraId="509043BB">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55E396C0">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生活垃圾</w:t>
            </w:r>
          </w:p>
        </w:tc>
        <w:tc>
          <w:tcPr>
            <w:tcW w:w="828" w:type="pct"/>
            <w:tcBorders>
              <w:tl2br w:val="nil"/>
              <w:tr2bl w:val="nil"/>
            </w:tcBorders>
            <w:vAlign w:val="center"/>
          </w:tcPr>
          <w:p w14:paraId="30EB2634">
            <w:pPr>
              <w:tabs>
                <w:tab w:val="left" w:pos="0"/>
              </w:tabs>
              <w:adjustRightInd w:val="0"/>
              <w:spacing w:line="300" w:lineRule="exact"/>
              <w:jc w:val="center"/>
              <w:rPr>
                <w:rFonts w:ascii="Times New Roman" w:hAnsi="Times New Roman" w:eastAsia="宋体" w:cs="Times New Roman"/>
                <w:bCs/>
                <w:sz w:val="21"/>
                <w:szCs w:val="21"/>
              </w:rPr>
            </w:pPr>
          </w:p>
        </w:tc>
        <w:tc>
          <w:tcPr>
            <w:tcW w:w="814" w:type="pct"/>
            <w:tcBorders>
              <w:tl2br w:val="nil"/>
              <w:tr2bl w:val="nil"/>
            </w:tcBorders>
            <w:vAlign w:val="center"/>
          </w:tcPr>
          <w:p w14:paraId="4CE1FCF2">
            <w:pPr>
              <w:tabs>
                <w:tab w:val="left" w:pos="0"/>
              </w:tabs>
              <w:adjustRightInd w:val="0"/>
              <w:spacing w:line="300" w:lineRule="exact"/>
              <w:jc w:val="center"/>
              <w:rPr>
                <w:rFonts w:ascii="Times New Roman" w:hAnsi="Times New Roman" w:eastAsia="宋体" w:cs="Times New Roman"/>
                <w:bCs/>
                <w:sz w:val="21"/>
                <w:szCs w:val="21"/>
              </w:rPr>
            </w:pPr>
          </w:p>
        </w:tc>
        <w:tc>
          <w:tcPr>
            <w:tcW w:w="730" w:type="pct"/>
            <w:tcBorders>
              <w:tl2br w:val="nil"/>
              <w:tr2bl w:val="nil"/>
            </w:tcBorders>
            <w:vAlign w:val="center"/>
          </w:tcPr>
          <w:p w14:paraId="4DB48046">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7112A4BE">
            <w:pPr>
              <w:adjustRightInd w:val="0"/>
              <w:spacing w:line="300" w:lineRule="exact"/>
              <w:jc w:val="center"/>
              <w:rPr>
                <w:rFonts w:ascii="Times New Roman" w:hAnsi="Times New Roman" w:eastAsia="宋体" w:cs="Times New Roman"/>
                <w:bCs/>
                <w:kern w:val="0"/>
                <w:sz w:val="21"/>
                <w:szCs w:val="21"/>
              </w:rPr>
            </w:pPr>
          </w:p>
        </w:tc>
      </w:tr>
    </w:tbl>
    <w:p w14:paraId="688955FF">
      <w:pPr>
        <w:pStyle w:val="4"/>
        <w:pageBreakBefore w:val="0"/>
        <w:widowControl w:val="0"/>
        <w:kinsoku/>
        <w:wordWrap/>
        <w:overflowPunct/>
        <w:topLinePunct w:val="0"/>
        <w:autoSpaceDE/>
        <w:autoSpaceDN/>
        <w:bidi w:val="0"/>
        <w:spacing w:after="0" w:line="440" w:lineRule="exact"/>
        <w:jc w:val="both"/>
      </w:pPr>
      <w:bookmarkStart w:id="93" w:name="_Toc7687"/>
      <w:r>
        <w:rPr>
          <w:rFonts w:hint="eastAsia"/>
        </w:rPr>
        <w:t>3</w:t>
      </w:r>
      <w:r>
        <w:t>.9</w:t>
      </w:r>
      <w:r>
        <w:rPr>
          <w:rFonts w:hint="eastAsia"/>
        </w:rPr>
        <w:t>环境风险识别</w:t>
      </w:r>
      <w:bookmarkEnd w:id="93"/>
    </w:p>
    <w:p w14:paraId="087452F1">
      <w:pPr>
        <w:pStyle w:val="7"/>
        <w:pageBreakBefore w:val="0"/>
        <w:widowControl w:val="0"/>
        <w:kinsoku/>
        <w:wordWrap/>
        <w:overflowPunct/>
        <w:topLinePunct w:val="0"/>
        <w:autoSpaceDE/>
        <w:autoSpaceDN/>
        <w:bidi w:val="0"/>
        <w:spacing w:line="440" w:lineRule="exact"/>
      </w:pPr>
      <w:r>
        <w:rPr>
          <w:rFonts w:hint="eastAsia"/>
        </w:rPr>
        <w:t>3</w:t>
      </w:r>
      <w:r>
        <w:t xml:space="preserve">.9.1 </w:t>
      </w:r>
      <w:r>
        <w:rPr>
          <w:rFonts w:hint="eastAsia"/>
        </w:rPr>
        <w:t>风险潜势判定</w:t>
      </w:r>
    </w:p>
    <w:p w14:paraId="6EB98C31">
      <w:pPr>
        <w:pStyle w:val="98"/>
        <w:pageBreakBefore w:val="0"/>
        <w:widowControl w:val="0"/>
        <w:kinsoku/>
        <w:wordWrap/>
        <w:overflowPunct/>
        <w:topLinePunct w:val="0"/>
        <w:autoSpaceDE/>
        <w:autoSpaceDN/>
        <w:bidi w:val="0"/>
        <w:spacing w:line="440" w:lineRule="exact"/>
        <w:ind w:firstLine="480"/>
        <w:rPr>
          <w:rFonts w:eastAsia="宋体"/>
          <w:kern w:val="2"/>
        </w:rPr>
      </w:pPr>
      <w:r>
        <w:rPr>
          <w:rFonts w:hint="eastAsia" w:eastAsia="宋体"/>
          <w:kern w:val="2"/>
        </w:rPr>
        <w:t>根据《建设项目环境风险评价技术导则》（HJ 169-2018），计算所涉及的每种危险物质在厂界内的最大存在总量与其在附录B中对应临界量的比值Q。在不同场区的同一种物质，按其在厂界内的最大存在总量计算。</w:t>
      </w:r>
    </w:p>
    <w:p w14:paraId="5DB7888A">
      <w:pPr>
        <w:pStyle w:val="98"/>
        <w:pageBreakBefore w:val="0"/>
        <w:widowControl w:val="0"/>
        <w:kinsoku/>
        <w:wordWrap/>
        <w:overflowPunct/>
        <w:topLinePunct w:val="0"/>
        <w:autoSpaceDE/>
        <w:autoSpaceDN/>
        <w:bidi w:val="0"/>
        <w:spacing w:line="440" w:lineRule="exact"/>
        <w:ind w:firstLine="480"/>
        <w:rPr>
          <w:rFonts w:eastAsia="宋体"/>
          <w:kern w:val="2"/>
        </w:rPr>
      </w:pPr>
      <w:r>
        <w:rPr>
          <w:rFonts w:hint="eastAsia" w:eastAsia="宋体"/>
          <w:kern w:val="2"/>
        </w:rPr>
        <w:t>当只涉及一种危险物质时，计算该物质的总量与其临界量比值，即为Q；</w:t>
      </w:r>
    </w:p>
    <w:p w14:paraId="702F399D">
      <w:pPr>
        <w:pStyle w:val="98"/>
        <w:pageBreakBefore w:val="0"/>
        <w:widowControl w:val="0"/>
        <w:kinsoku/>
        <w:wordWrap/>
        <w:overflowPunct/>
        <w:topLinePunct w:val="0"/>
        <w:autoSpaceDE/>
        <w:autoSpaceDN/>
        <w:bidi w:val="0"/>
        <w:spacing w:line="440" w:lineRule="exact"/>
        <w:ind w:firstLine="480"/>
        <w:rPr>
          <w:rFonts w:eastAsia="宋体"/>
          <w:kern w:val="2"/>
        </w:rPr>
      </w:pPr>
      <w:r>
        <w:rPr>
          <w:rFonts w:hint="eastAsia" w:eastAsia="宋体"/>
          <w:kern w:val="2"/>
        </w:rPr>
        <w:t>当存在多种危险物质时，则按</w:t>
      </w:r>
      <w:r>
        <w:rPr>
          <w:rFonts w:hAnsi="宋体"/>
        </w:rPr>
        <w:t>式</w:t>
      </w:r>
      <w:r>
        <w:t>(C.1)</w:t>
      </w:r>
      <w:r>
        <w:rPr>
          <w:rFonts w:hint="eastAsia" w:eastAsia="宋体"/>
          <w:kern w:val="2"/>
        </w:rPr>
        <w:t>计算物质总量与其临界量比值（Q）：</w:t>
      </w:r>
    </w:p>
    <w:p w14:paraId="2E1FA468">
      <w:pPr>
        <w:pStyle w:val="98"/>
        <w:pageBreakBefore w:val="0"/>
        <w:widowControl w:val="0"/>
        <w:kinsoku/>
        <w:wordWrap/>
        <w:overflowPunct/>
        <w:topLinePunct w:val="0"/>
        <w:autoSpaceDE/>
        <w:autoSpaceDN/>
        <w:bidi w:val="0"/>
        <w:spacing w:line="440" w:lineRule="exact"/>
        <w:ind w:firstLine="480"/>
        <w:rPr>
          <w:szCs w:val="28"/>
        </w:rPr>
      </w:pPr>
      <w:r>
        <w:rPr>
          <w:szCs w:val="28"/>
        </w:rPr>
        <w:drawing>
          <wp:inline distT="0" distB="0" distL="114300" distR="114300">
            <wp:extent cx="3276600" cy="494030"/>
            <wp:effectExtent l="0" t="0" r="0" b="1270"/>
            <wp:docPr id="1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
                    <pic:cNvPicPr>
                      <a:picLocks noChangeAspect="1"/>
                    </pic:cNvPicPr>
                  </pic:nvPicPr>
                  <pic:blipFill>
                    <a:blip r:embed="rId14"/>
                    <a:stretch>
                      <a:fillRect/>
                    </a:stretch>
                  </pic:blipFill>
                  <pic:spPr>
                    <a:xfrm>
                      <a:off x="0" y="0"/>
                      <a:ext cx="3276600" cy="494030"/>
                    </a:xfrm>
                    <a:prstGeom prst="rect">
                      <a:avLst/>
                    </a:prstGeom>
                    <a:noFill/>
                    <a:ln>
                      <a:noFill/>
                    </a:ln>
                  </pic:spPr>
                </pic:pic>
              </a:graphicData>
            </a:graphic>
          </wp:inline>
        </w:drawing>
      </w:r>
    </w:p>
    <w:p w14:paraId="5C77B0FD">
      <w:pPr>
        <w:pStyle w:val="98"/>
        <w:pageBreakBefore w:val="0"/>
        <w:widowControl w:val="0"/>
        <w:kinsoku/>
        <w:wordWrap/>
        <w:overflowPunct/>
        <w:topLinePunct w:val="0"/>
        <w:autoSpaceDE/>
        <w:autoSpaceDN/>
        <w:bidi w:val="0"/>
        <w:spacing w:line="440" w:lineRule="exact"/>
        <w:ind w:firstLine="480"/>
        <w:rPr>
          <w:rFonts w:eastAsia="宋体"/>
          <w:kern w:val="2"/>
        </w:rPr>
      </w:pPr>
      <w:r>
        <w:rPr>
          <w:rFonts w:hint="eastAsia" w:eastAsia="宋体"/>
          <w:kern w:val="2"/>
        </w:rPr>
        <w:t>式中：q1，q2，…，qn——每种危险物质的最大存在总量，t；</w:t>
      </w:r>
    </w:p>
    <w:p w14:paraId="4B61CE2E">
      <w:pPr>
        <w:pStyle w:val="98"/>
        <w:pageBreakBefore w:val="0"/>
        <w:widowControl w:val="0"/>
        <w:kinsoku/>
        <w:wordWrap/>
        <w:overflowPunct/>
        <w:topLinePunct w:val="0"/>
        <w:autoSpaceDE/>
        <w:autoSpaceDN/>
        <w:bidi w:val="0"/>
        <w:spacing w:line="440" w:lineRule="exact"/>
        <w:ind w:firstLine="480"/>
        <w:rPr>
          <w:rFonts w:eastAsia="宋体"/>
          <w:kern w:val="2"/>
        </w:rPr>
      </w:pPr>
      <w:r>
        <w:rPr>
          <w:rFonts w:hint="eastAsia" w:eastAsia="宋体"/>
          <w:kern w:val="2"/>
        </w:rPr>
        <w:t xml:space="preserve">      Q1，Q2，…，Qn——每种危险物质的临界量，t。</w:t>
      </w:r>
    </w:p>
    <w:p w14:paraId="7372D53C">
      <w:pPr>
        <w:pStyle w:val="98"/>
        <w:pageBreakBefore w:val="0"/>
        <w:widowControl w:val="0"/>
        <w:kinsoku/>
        <w:wordWrap/>
        <w:overflowPunct/>
        <w:topLinePunct w:val="0"/>
        <w:autoSpaceDE/>
        <w:autoSpaceDN/>
        <w:bidi w:val="0"/>
        <w:spacing w:line="440" w:lineRule="exact"/>
        <w:ind w:firstLine="480"/>
        <w:rPr>
          <w:rFonts w:eastAsia="宋体"/>
          <w:kern w:val="2"/>
        </w:rPr>
      </w:pPr>
      <w:r>
        <w:rPr>
          <w:rFonts w:hint="eastAsia" w:eastAsia="宋体"/>
          <w:kern w:val="2"/>
        </w:rPr>
        <w:t xml:space="preserve">      当Q&lt;1时，该项目环境风险潜势为I。</w:t>
      </w:r>
    </w:p>
    <w:p w14:paraId="54CA7BF9">
      <w:pPr>
        <w:pStyle w:val="98"/>
        <w:pageBreakBefore w:val="0"/>
        <w:widowControl w:val="0"/>
        <w:kinsoku/>
        <w:wordWrap/>
        <w:overflowPunct/>
        <w:topLinePunct w:val="0"/>
        <w:autoSpaceDE/>
        <w:autoSpaceDN/>
        <w:bidi w:val="0"/>
        <w:spacing w:line="440" w:lineRule="exact"/>
        <w:ind w:firstLine="480"/>
        <w:rPr>
          <w:rFonts w:eastAsia="宋体"/>
          <w:kern w:val="2"/>
        </w:rPr>
      </w:pPr>
      <w:r>
        <w:rPr>
          <w:rFonts w:hint="eastAsia" w:eastAsia="宋体"/>
          <w:kern w:val="2"/>
        </w:rPr>
        <w:t xml:space="preserve">      当Q≥1时，将Q值划分为：（1）1≤Q&lt;10；（2）10≤Q&lt;100；（3）Q≥100。</w:t>
      </w:r>
    </w:p>
    <w:p w14:paraId="7B5BFDEC">
      <w:pPr>
        <w:pageBreakBefore w:val="0"/>
        <w:widowControl w:val="0"/>
        <w:kinsoku/>
        <w:wordWrap/>
        <w:overflowPunct/>
        <w:topLinePunct w:val="0"/>
        <w:autoSpaceDE/>
        <w:autoSpaceDN/>
        <w:bidi w:val="0"/>
        <w:adjustRightInd w:val="0"/>
        <w:snapToGrid w:val="0"/>
        <w:spacing w:line="440" w:lineRule="exact"/>
        <w:ind w:firstLine="480" w:firstLineChars="200"/>
        <w:rPr>
          <w:rFonts w:ascii="Times New Roman"/>
          <w:szCs w:val="24"/>
        </w:rPr>
      </w:pPr>
      <w:r>
        <w:rPr>
          <w:rFonts w:ascii="Times New Roman" w:hAnsi="宋体"/>
          <w:szCs w:val="24"/>
        </w:rPr>
        <w:t>本项目涉及</w:t>
      </w:r>
      <w:r>
        <w:rPr>
          <w:rFonts w:hint="eastAsia" w:ascii="Times New Roman" w:hAnsi="宋体"/>
          <w:szCs w:val="24"/>
        </w:rPr>
        <w:t>风险</w:t>
      </w:r>
      <w:r>
        <w:rPr>
          <w:rFonts w:ascii="Times New Roman" w:hAnsi="宋体"/>
          <w:szCs w:val="24"/>
        </w:rPr>
        <w:t>物质</w:t>
      </w:r>
      <w:r>
        <w:rPr>
          <w:rFonts w:ascii="Times New Roman"/>
          <w:szCs w:val="24"/>
        </w:rPr>
        <w:t>q/Q</w:t>
      </w:r>
      <w:r>
        <w:rPr>
          <w:rFonts w:ascii="Times New Roman" w:hAnsi="宋体"/>
          <w:szCs w:val="24"/>
        </w:rPr>
        <w:t>值计算见表</w:t>
      </w:r>
      <w:r>
        <w:rPr>
          <w:rFonts w:ascii="Times New Roman"/>
          <w:szCs w:val="24"/>
        </w:rPr>
        <w:t>3.</w:t>
      </w:r>
      <w:r>
        <w:rPr>
          <w:rFonts w:hint="eastAsia" w:ascii="Times New Roman"/>
          <w:szCs w:val="24"/>
        </w:rPr>
        <w:t>9</w:t>
      </w:r>
      <w:r>
        <w:rPr>
          <w:rFonts w:ascii="Times New Roman"/>
          <w:szCs w:val="24"/>
        </w:rPr>
        <w:t>-1</w:t>
      </w:r>
      <w:r>
        <w:rPr>
          <w:rFonts w:ascii="Times New Roman" w:hAnsi="宋体"/>
          <w:szCs w:val="24"/>
        </w:rPr>
        <w:t>。</w:t>
      </w:r>
    </w:p>
    <w:p w14:paraId="21AF932C">
      <w:pPr>
        <w:pStyle w:val="31"/>
        <w:pageBreakBefore w:val="0"/>
        <w:widowControl w:val="0"/>
        <w:kinsoku/>
        <w:wordWrap/>
        <w:overflowPunct/>
        <w:topLinePunct w:val="0"/>
        <w:autoSpaceDE/>
        <w:autoSpaceDN/>
        <w:bidi w:val="0"/>
        <w:spacing w:before="0" w:line="440" w:lineRule="exact"/>
      </w:pPr>
      <w:r>
        <w:rPr>
          <w:rFonts w:hint="eastAsia"/>
        </w:rPr>
        <w:t>表</w:t>
      </w:r>
      <w:r>
        <w:t>3.9-1</w:t>
      </w:r>
      <w:r>
        <w:rPr>
          <w:rFonts w:hint="eastAsia"/>
        </w:rPr>
        <w:t xml:space="preserve">  </w:t>
      </w:r>
      <w:r>
        <w:rPr>
          <w:rFonts w:ascii="Times New Roman" w:hAnsi="宋体"/>
          <w:szCs w:val="24"/>
        </w:rPr>
        <w:t>本项目</w:t>
      </w:r>
      <w:r>
        <w:rPr>
          <w:rFonts w:hint="eastAsia" w:ascii="Times New Roman" w:hAnsi="宋体"/>
          <w:szCs w:val="24"/>
        </w:rPr>
        <w:t>风险物质</w:t>
      </w:r>
      <w:r>
        <w:rPr>
          <w:rFonts w:ascii="Times New Roman"/>
          <w:szCs w:val="24"/>
        </w:rPr>
        <w:t>q/Q</w:t>
      </w:r>
      <w:r>
        <w:rPr>
          <w:rFonts w:ascii="Times New Roman" w:hAnsi="宋体"/>
          <w:szCs w:val="24"/>
        </w:rPr>
        <w:t>值计算</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31"/>
        <w:gridCol w:w="1619"/>
        <w:gridCol w:w="1944"/>
        <w:gridCol w:w="1840"/>
        <w:gridCol w:w="2238"/>
      </w:tblGrid>
      <w:tr w14:paraId="648EA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9" w:type="pct"/>
            <w:noWrap/>
            <w:vAlign w:val="center"/>
          </w:tcPr>
          <w:p w14:paraId="01D7AB9D">
            <w:pPr>
              <w:adjustRightInd w:val="0"/>
              <w:snapToGrid w:val="0"/>
              <w:spacing w:line="280" w:lineRule="exact"/>
              <w:jc w:val="center"/>
              <w:rPr>
                <w:rFonts w:ascii="Times New Roman" w:eastAsia="宋体"/>
                <w:sz w:val="21"/>
                <w:szCs w:val="21"/>
              </w:rPr>
            </w:pPr>
            <w:r>
              <w:rPr>
                <w:rFonts w:ascii="Times New Roman" w:hAnsi="宋体" w:eastAsia="宋体"/>
                <w:sz w:val="21"/>
                <w:szCs w:val="21"/>
              </w:rPr>
              <w:t>物质名称</w:t>
            </w:r>
          </w:p>
        </w:tc>
        <w:tc>
          <w:tcPr>
            <w:tcW w:w="892" w:type="pct"/>
            <w:noWrap/>
            <w:vAlign w:val="center"/>
          </w:tcPr>
          <w:p w14:paraId="5E823525">
            <w:pPr>
              <w:adjustRightInd w:val="0"/>
              <w:snapToGrid w:val="0"/>
              <w:spacing w:line="280" w:lineRule="exact"/>
              <w:jc w:val="center"/>
              <w:rPr>
                <w:rFonts w:ascii="Times New Roman" w:eastAsia="宋体"/>
                <w:sz w:val="21"/>
                <w:szCs w:val="21"/>
              </w:rPr>
            </w:pPr>
            <w:r>
              <w:rPr>
                <w:rFonts w:ascii="Times New Roman" w:eastAsia="宋体"/>
                <w:sz w:val="21"/>
                <w:szCs w:val="21"/>
              </w:rPr>
              <w:t>CAS</w:t>
            </w:r>
            <w:r>
              <w:rPr>
                <w:rFonts w:ascii="Times New Roman" w:hAnsi="宋体" w:eastAsia="宋体"/>
                <w:sz w:val="21"/>
                <w:szCs w:val="21"/>
              </w:rPr>
              <w:t>号</w:t>
            </w:r>
          </w:p>
        </w:tc>
        <w:tc>
          <w:tcPr>
            <w:tcW w:w="1071" w:type="pct"/>
            <w:noWrap/>
            <w:vAlign w:val="center"/>
          </w:tcPr>
          <w:p w14:paraId="086D09D2">
            <w:pPr>
              <w:adjustRightInd w:val="0"/>
              <w:snapToGrid w:val="0"/>
              <w:spacing w:line="280" w:lineRule="exact"/>
              <w:jc w:val="center"/>
              <w:rPr>
                <w:rFonts w:ascii="Times New Roman" w:eastAsia="宋体"/>
                <w:sz w:val="21"/>
                <w:szCs w:val="21"/>
              </w:rPr>
            </w:pPr>
            <w:r>
              <w:rPr>
                <w:rFonts w:ascii="Times New Roman" w:hAnsi="宋体" w:eastAsia="宋体"/>
                <w:sz w:val="21"/>
                <w:szCs w:val="21"/>
              </w:rPr>
              <w:t>最大存在总量</w:t>
            </w:r>
            <w:r>
              <w:rPr>
                <w:rFonts w:ascii="Times New Roman" w:eastAsia="宋体"/>
                <w:sz w:val="21"/>
                <w:szCs w:val="21"/>
              </w:rPr>
              <w:t>t</w:t>
            </w:r>
          </w:p>
        </w:tc>
        <w:tc>
          <w:tcPr>
            <w:tcW w:w="1013" w:type="pct"/>
            <w:vAlign w:val="center"/>
          </w:tcPr>
          <w:p w14:paraId="02927393">
            <w:pPr>
              <w:adjustRightInd w:val="0"/>
              <w:snapToGrid w:val="0"/>
              <w:spacing w:line="280" w:lineRule="exact"/>
              <w:jc w:val="center"/>
              <w:rPr>
                <w:rFonts w:ascii="Times New Roman" w:eastAsia="宋体"/>
                <w:sz w:val="21"/>
                <w:szCs w:val="21"/>
              </w:rPr>
            </w:pPr>
            <w:r>
              <w:rPr>
                <w:rFonts w:ascii="Times New Roman" w:hAnsi="宋体" w:eastAsia="宋体"/>
                <w:sz w:val="21"/>
                <w:szCs w:val="21"/>
              </w:rPr>
              <w:t>临界量</w:t>
            </w:r>
            <w:r>
              <w:rPr>
                <w:rFonts w:ascii="Times New Roman" w:eastAsia="宋体"/>
                <w:sz w:val="21"/>
                <w:szCs w:val="21"/>
              </w:rPr>
              <w:t>t</w:t>
            </w:r>
          </w:p>
        </w:tc>
        <w:tc>
          <w:tcPr>
            <w:tcW w:w="1233" w:type="pct"/>
            <w:vAlign w:val="center"/>
          </w:tcPr>
          <w:p w14:paraId="02BB1F7A">
            <w:pPr>
              <w:adjustRightInd w:val="0"/>
              <w:snapToGrid w:val="0"/>
              <w:spacing w:line="280" w:lineRule="exact"/>
              <w:jc w:val="center"/>
              <w:rPr>
                <w:rFonts w:ascii="Times New Roman" w:eastAsia="宋体"/>
                <w:sz w:val="21"/>
                <w:szCs w:val="21"/>
              </w:rPr>
            </w:pPr>
            <w:r>
              <w:rPr>
                <w:rFonts w:ascii="Times New Roman" w:eastAsia="宋体"/>
                <w:sz w:val="21"/>
                <w:szCs w:val="21"/>
              </w:rPr>
              <w:t>q/Q</w:t>
            </w:r>
          </w:p>
        </w:tc>
      </w:tr>
      <w:tr w14:paraId="6DE5B5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9" w:type="pct"/>
            <w:noWrap/>
            <w:vAlign w:val="center"/>
          </w:tcPr>
          <w:p w14:paraId="464ECCF9">
            <w:pPr>
              <w:adjustRightInd w:val="0"/>
              <w:snapToGrid w:val="0"/>
              <w:spacing w:line="280" w:lineRule="exact"/>
              <w:jc w:val="center"/>
              <w:rPr>
                <w:rFonts w:ascii="Times New Roman" w:eastAsia="宋体"/>
                <w:sz w:val="21"/>
                <w:szCs w:val="21"/>
              </w:rPr>
            </w:pPr>
            <w:r>
              <w:rPr>
                <w:rFonts w:hint="eastAsia" w:ascii="Times New Roman" w:eastAsia="宋体"/>
                <w:sz w:val="21"/>
                <w:szCs w:val="21"/>
              </w:rPr>
              <w:t>危险废物</w:t>
            </w:r>
          </w:p>
        </w:tc>
        <w:tc>
          <w:tcPr>
            <w:tcW w:w="892" w:type="pct"/>
            <w:noWrap/>
            <w:vAlign w:val="center"/>
          </w:tcPr>
          <w:p w14:paraId="7C4EFEE0">
            <w:pPr>
              <w:adjustRightInd w:val="0"/>
              <w:snapToGrid w:val="0"/>
              <w:spacing w:line="280" w:lineRule="exact"/>
              <w:jc w:val="center"/>
              <w:rPr>
                <w:rFonts w:ascii="Times New Roman" w:eastAsia="宋体"/>
                <w:sz w:val="21"/>
                <w:szCs w:val="21"/>
              </w:rPr>
            </w:pPr>
            <w:r>
              <w:rPr>
                <w:rFonts w:hint="eastAsia" w:ascii="Times New Roman" w:eastAsia="宋体"/>
                <w:sz w:val="21"/>
                <w:szCs w:val="21"/>
              </w:rPr>
              <w:t>--</w:t>
            </w:r>
          </w:p>
        </w:tc>
        <w:tc>
          <w:tcPr>
            <w:tcW w:w="1071" w:type="pct"/>
            <w:noWrap/>
            <w:vAlign w:val="center"/>
          </w:tcPr>
          <w:p w14:paraId="4884573B">
            <w:pPr>
              <w:adjustRightInd w:val="0"/>
              <w:snapToGrid w:val="0"/>
              <w:spacing w:line="280" w:lineRule="exact"/>
              <w:jc w:val="center"/>
              <w:rPr>
                <w:rFonts w:hint="eastAsia" w:ascii="Times New Roman" w:eastAsia="宋体"/>
                <w:sz w:val="21"/>
                <w:szCs w:val="21"/>
                <w:lang w:val="en-US" w:eastAsia="zh-CN"/>
              </w:rPr>
            </w:pPr>
            <w:r>
              <w:rPr>
                <w:rFonts w:hint="eastAsia" w:ascii="Times New Roman" w:eastAsia="宋体"/>
                <w:sz w:val="21"/>
                <w:szCs w:val="21"/>
              </w:rPr>
              <w:t>0.</w:t>
            </w:r>
            <w:r>
              <w:rPr>
                <w:rFonts w:hint="eastAsia" w:ascii="Times New Roman" w:eastAsia="宋体"/>
                <w:sz w:val="21"/>
                <w:szCs w:val="21"/>
                <w:lang w:val="en-US" w:eastAsia="zh-CN"/>
              </w:rPr>
              <w:t>1</w:t>
            </w:r>
          </w:p>
        </w:tc>
        <w:tc>
          <w:tcPr>
            <w:tcW w:w="1013" w:type="pct"/>
            <w:noWrap/>
            <w:vAlign w:val="center"/>
          </w:tcPr>
          <w:p w14:paraId="6AD5FEAE">
            <w:pPr>
              <w:adjustRightInd w:val="0"/>
              <w:snapToGrid w:val="0"/>
              <w:spacing w:line="280" w:lineRule="exact"/>
              <w:jc w:val="center"/>
              <w:rPr>
                <w:rFonts w:ascii="Times New Roman" w:eastAsia="宋体"/>
                <w:sz w:val="21"/>
                <w:szCs w:val="21"/>
              </w:rPr>
            </w:pPr>
            <w:r>
              <w:rPr>
                <w:rFonts w:hint="eastAsia" w:ascii="Times New Roman" w:eastAsia="宋体"/>
                <w:sz w:val="21"/>
                <w:szCs w:val="21"/>
              </w:rPr>
              <w:t>100</w:t>
            </w:r>
          </w:p>
        </w:tc>
        <w:tc>
          <w:tcPr>
            <w:tcW w:w="1233" w:type="pct"/>
            <w:noWrap/>
            <w:vAlign w:val="center"/>
          </w:tcPr>
          <w:p w14:paraId="5803D08F">
            <w:pPr>
              <w:adjustRightInd w:val="0"/>
              <w:snapToGrid w:val="0"/>
              <w:spacing w:line="280" w:lineRule="exact"/>
              <w:jc w:val="center"/>
              <w:rPr>
                <w:rFonts w:hint="eastAsia" w:ascii="Times New Roman" w:eastAsia="宋体"/>
                <w:sz w:val="21"/>
                <w:szCs w:val="21"/>
                <w:lang w:val="en-US" w:eastAsia="zh-CN"/>
              </w:rPr>
            </w:pPr>
            <w:r>
              <w:rPr>
                <w:rFonts w:hint="eastAsia" w:ascii="Times New Roman" w:eastAsia="宋体"/>
                <w:sz w:val="21"/>
                <w:szCs w:val="21"/>
              </w:rPr>
              <w:t>0.00</w:t>
            </w:r>
            <w:r>
              <w:rPr>
                <w:rFonts w:hint="eastAsia" w:ascii="Times New Roman" w:eastAsia="宋体"/>
                <w:sz w:val="21"/>
                <w:szCs w:val="21"/>
                <w:lang w:val="en-US" w:eastAsia="zh-CN"/>
              </w:rPr>
              <w:t>1</w:t>
            </w:r>
          </w:p>
        </w:tc>
      </w:tr>
      <w:tr w14:paraId="2B56A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9" w:type="pct"/>
            <w:noWrap/>
            <w:vAlign w:val="center"/>
          </w:tcPr>
          <w:p w14:paraId="23B213F8">
            <w:pPr>
              <w:adjustRightInd w:val="0"/>
              <w:snapToGrid w:val="0"/>
              <w:spacing w:line="280" w:lineRule="exact"/>
              <w:jc w:val="center"/>
              <w:rPr>
                <w:rFonts w:ascii="Times New Roman" w:eastAsia="宋体"/>
                <w:sz w:val="21"/>
                <w:szCs w:val="21"/>
              </w:rPr>
            </w:pPr>
            <w:r>
              <w:rPr>
                <w:rFonts w:hint="eastAsia" w:ascii="Times New Roman" w:eastAsia="宋体"/>
                <w:sz w:val="21"/>
                <w:szCs w:val="21"/>
              </w:rPr>
              <w:t>柴油</w:t>
            </w:r>
          </w:p>
        </w:tc>
        <w:tc>
          <w:tcPr>
            <w:tcW w:w="892" w:type="pct"/>
            <w:noWrap/>
            <w:vAlign w:val="center"/>
          </w:tcPr>
          <w:p w14:paraId="4FA373E1">
            <w:pPr>
              <w:adjustRightInd w:val="0"/>
              <w:snapToGrid w:val="0"/>
              <w:spacing w:line="280" w:lineRule="exact"/>
              <w:jc w:val="center"/>
              <w:rPr>
                <w:rFonts w:ascii="Times New Roman" w:eastAsia="宋体"/>
                <w:sz w:val="21"/>
                <w:szCs w:val="21"/>
              </w:rPr>
            </w:pPr>
            <w:r>
              <w:rPr>
                <w:rFonts w:hint="eastAsia" w:ascii="Times New Roman" w:eastAsia="宋体"/>
                <w:sz w:val="21"/>
                <w:szCs w:val="21"/>
              </w:rPr>
              <w:t>--</w:t>
            </w:r>
          </w:p>
        </w:tc>
        <w:tc>
          <w:tcPr>
            <w:tcW w:w="1071" w:type="pct"/>
            <w:noWrap/>
            <w:vAlign w:val="center"/>
          </w:tcPr>
          <w:p w14:paraId="088EB142">
            <w:pPr>
              <w:adjustRightInd w:val="0"/>
              <w:snapToGrid w:val="0"/>
              <w:spacing w:line="280" w:lineRule="exact"/>
              <w:jc w:val="center"/>
              <w:rPr>
                <w:rFonts w:ascii="Times New Roman" w:eastAsia="宋体"/>
                <w:sz w:val="21"/>
                <w:szCs w:val="21"/>
              </w:rPr>
            </w:pPr>
            <w:r>
              <w:rPr>
                <w:rFonts w:hint="eastAsia" w:ascii="Times New Roman" w:eastAsia="宋体"/>
                <w:sz w:val="21"/>
                <w:szCs w:val="21"/>
              </w:rPr>
              <w:t>1</w:t>
            </w:r>
          </w:p>
        </w:tc>
        <w:tc>
          <w:tcPr>
            <w:tcW w:w="1013" w:type="pct"/>
            <w:noWrap/>
            <w:vAlign w:val="center"/>
          </w:tcPr>
          <w:p w14:paraId="01CACA30">
            <w:pPr>
              <w:adjustRightInd w:val="0"/>
              <w:snapToGrid w:val="0"/>
              <w:spacing w:line="280" w:lineRule="exact"/>
              <w:jc w:val="center"/>
              <w:rPr>
                <w:rFonts w:ascii="Times New Roman" w:eastAsia="宋体"/>
                <w:sz w:val="21"/>
                <w:szCs w:val="21"/>
              </w:rPr>
            </w:pPr>
            <w:r>
              <w:rPr>
                <w:rFonts w:hint="eastAsia" w:ascii="Times New Roman" w:eastAsia="宋体"/>
                <w:sz w:val="21"/>
                <w:szCs w:val="21"/>
              </w:rPr>
              <w:t>2500</w:t>
            </w:r>
          </w:p>
        </w:tc>
        <w:tc>
          <w:tcPr>
            <w:tcW w:w="1233" w:type="pct"/>
            <w:noWrap/>
            <w:vAlign w:val="center"/>
          </w:tcPr>
          <w:p w14:paraId="5C871A86">
            <w:pPr>
              <w:adjustRightInd w:val="0"/>
              <w:snapToGrid w:val="0"/>
              <w:spacing w:line="280" w:lineRule="exact"/>
              <w:jc w:val="center"/>
              <w:rPr>
                <w:rFonts w:ascii="Times New Roman" w:eastAsia="宋体"/>
                <w:sz w:val="21"/>
                <w:szCs w:val="21"/>
              </w:rPr>
            </w:pPr>
            <w:r>
              <w:rPr>
                <w:rFonts w:hint="eastAsia" w:ascii="Times New Roman" w:eastAsia="宋体"/>
                <w:sz w:val="21"/>
                <w:szCs w:val="21"/>
              </w:rPr>
              <w:t>0.0004</w:t>
            </w:r>
          </w:p>
        </w:tc>
      </w:tr>
      <w:tr w14:paraId="1B1D76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9" w:type="pct"/>
            <w:noWrap/>
            <w:vAlign w:val="center"/>
          </w:tcPr>
          <w:p w14:paraId="0DB384ED">
            <w:pPr>
              <w:adjustRightInd w:val="0"/>
              <w:snapToGrid w:val="0"/>
              <w:spacing w:line="280" w:lineRule="exact"/>
              <w:jc w:val="center"/>
              <w:rPr>
                <w:rFonts w:hint="eastAsia" w:ascii="Times New Roman" w:eastAsia="宋体"/>
                <w:sz w:val="21"/>
                <w:szCs w:val="21"/>
                <w:lang w:val="en-US" w:eastAsia="zh-CN"/>
              </w:rPr>
            </w:pPr>
            <w:r>
              <w:rPr>
                <w:rFonts w:hint="eastAsia" w:ascii="Times New Roman" w:eastAsia="宋体"/>
                <w:sz w:val="21"/>
                <w:szCs w:val="21"/>
                <w:lang w:val="en-US" w:eastAsia="zh-CN"/>
              </w:rPr>
              <w:t>沼气（甲烷）</w:t>
            </w:r>
          </w:p>
        </w:tc>
        <w:tc>
          <w:tcPr>
            <w:tcW w:w="892" w:type="pct"/>
            <w:noWrap/>
            <w:vAlign w:val="center"/>
          </w:tcPr>
          <w:p w14:paraId="3F6DEB38">
            <w:pPr>
              <w:adjustRightInd w:val="0"/>
              <w:snapToGrid w:val="0"/>
              <w:spacing w:line="280" w:lineRule="exact"/>
              <w:jc w:val="center"/>
              <w:rPr>
                <w:rFonts w:hint="default" w:ascii="Times New Roman" w:eastAsia="宋体"/>
                <w:sz w:val="21"/>
                <w:szCs w:val="21"/>
                <w:lang w:val="en-US" w:eastAsia="zh-CN"/>
              </w:rPr>
            </w:pPr>
            <w:r>
              <w:rPr>
                <w:rFonts w:hint="eastAsia" w:ascii="Times New Roman" w:eastAsia="宋体"/>
                <w:sz w:val="21"/>
                <w:szCs w:val="21"/>
                <w:lang w:val="en-US" w:eastAsia="zh-CN"/>
              </w:rPr>
              <w:t>74-82-8</w:t>
            </w:r>
          </w:p>
        </w:tc>
        <w:tc>
          <w:tcPr>
            <w:tcW w:w="1071" w:type="pct"/>
            <w:noWrap/>
            <w:vAlign w:val="center"/>
          </w:tcPr>
          <w:p w14:paraId="76CE6F71">
            <w:pPr>
              <w:adjustRightInd w:val="0"/>
              <w:snapToGrid w:val="0"/>
              <w:spacing w:line="280" w:lineRule="exact"/>
              <w:jc w:val="center"/>
              <w:rPr>
                <w:rFonts w:hint="eastAsia" w:ascii="Times New Roman" w:eastAsia="宋体"/>
                <w:sz w:val="21"/>
                <w:szCs w:val="21"/>
                <w:lang w:val="en-US" w:eastAsia="zh-CN"/>
              </w:rPr>
            </w:pPr>
            <w:r>
              <w:rPr>
                <w:rFonts w:hint="eastAsia" w:ascii="Times New Roman" w:eastAsia="宋体"/>
                <w:sz w:val="21"/>
                <w:szCs w:val="21"/>
                <w:lang w:val="en-US" w:eastAsia="zh-CN"/>
              </w:rPr>
              <w:t>/</w:t>
            </w:r>
          </w:p>
        </w:tc>
        <w:tc>
          <w:tcPr>
            <w:tcW w:w="1013" w:type="pct"/>
            <w:noWrap/>
            <w:vAlign w:val="center"/>
          </w:tcPr>
          <w:p w14:paraId="52EC8B71">
            <w:pPr>
              <w:adjustRightInd w:val="0"/>
              <w:snapToGrid w:val="0"/>
              <w:spacing w:line="280" w:lineRule="exact"/>
              <w:jc w:val="center"/>
              <w:rPr>
                <w:rFonts w:hint="default" w:ascii="Times New Roman" w:eastAsia="宋体"/>
                <w:sz w:val="21"/>
                <w:szCs w:val="21"/>
                <w:lang w:val="en-US" w:eastAsia="zh-CN"/>
              </w:rPr>
            </w:pPr>
            <w:r>
              <w:rPr>
                <w:rFonts w:hint="eastAsia" w:ascii="Times New Roman" w:eastAsia="宋体"/>
                <w:sz w:val="21"/>
                <w:szCs w:val="21"/>
                <w:lang w:val="en-US" w:eastAsia="zh-CN"/>
              </w:rPr>
              <w:t>10</w:t>
            </w:r>
          </w:p>
        </w:tc>
        <w:tc>
          <w:tcPr>
            <w:tcW w:w="1233" w:type="pct"/>
            <w:noWrap/>
            <w:vAlign w:val="center"/>
          </w:tcPr>
          <w:p w14:paraId="3CE1F831">
            <w:pPr>
              <w:adjustRightInd w:val="0"/>
              <w:snapToGrid w:val="0"/>
              <w:spacing w:line="280" w:lineRule="exact"/>
              <w:jc w:val="center"/>
              <w:rPr>
                <w:rFonts w:hint="eastAsia" w:ascii="Times New Roman" w:eastAsia="宋体"/>
                <w:sz w:val="21"/>
                <w:szCs w:val="21"/>
                <w:lang w:val="en-US" w:eastAsia="zh-CN"/>
              </w:rPr>
            </w:pPr>
            <w:r>
              <w:rPr>
                <w:rFonts w:hint="eastAsia" w:ascii="Times New Roman" w:eastAsia="宋体"/>
                <w:sz w:val="21"/>
                <w:szCs w:val="21"/>
                <w:lang w:val="en-US" w:eastAsia="zh-CN"/>
              </w:rPr>
              <w:t>/</w:t>
            </w:r>
          </w:p>
        </w:tc>
      </w:tr>
      <w:tr w14:paraId="5273C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766" w:type="pct"/>
            <w:gridSpan w:val="4"/>
            <w:noWrap/>
            <w:vAlign w:val="center"/>
          </w:tcPr>
          <w:p w14:paraId="00A2F6CC">
            <w:pPr>
              <w:adjustRightInd w:val="0"/>
              <w:snapToGrid w:val="0"/>
              <w:spacing w:line="280" w:lineRule="exact"/>
              <w:jc w:val="center"/>
              <w:rPr>
                <w:rFonts w:ascii="Times New Roman" w:eastAsia="宋体"/>
                <w:sz w:val="21"/>
                <w:szCs w:val="21"/>
              </w:rPr>
            </w:pPr>
            <w:r>
              <w:rPr>
                <w:rFonts w:ascii="Times New Roman" w:hAnsi="宋体" w:eastAsia="宋体"/>
                <w:sz w:val="21"/>
                <w:szCs w:val="21"/>
              </w:rPr>
              <w:t>合计（</w:t>
            </w:r>
            <w:r>
              <w:rPr>
                <w:rFonts w:ascii="Times New Roman" w:eastAsia="宋体"/>
                <w:sz w:val="21"/>
                <w:szCs w:val="21"/>
              </w:rPr>
              <w:t>∑q/Q</w:t>
            </w:r>
            <w:r>
              <w:rPr>
                <w:rFonts w:ascii="Times New Roman" w:hAnsi="宋体" w:eastAsia="宋体"/>
                <w:sz w:val="21"/>
                <w:szCs w:val="21"/>
              </w:rPr>
              <w:t>）</w:t>
            </w:r>
          </w:p>
        </w:tc>
        <w:tc>
          <w:tcPr>
            <w:tcW w:w="1233" w:type="pct"/>
            <w:noWrap/>
            <w:vAlign w:val="center"/>
          </w:tcPr>
          <w:p w14:paraId="5F9A0911">
            <w:pPr>
              <w:adjustRightInd w:val="0"/>
              <w:snapToGrid w:val="0"/>
              <w:spacing w:line="280" w:lineRule="exact"/>
              <w:jc w:val="center"/>
              <w:rPr>
                <w:rFonts w:ascii="Times New Roman" w:eastAsia="宋体"/>
                <w:sz w:val="21"/>
                <w:szCs w:val="21"/>
              </w:rPr>
            </w:pPr>
            <w:r>
              <w:rPr>
                <w:rFonts w:hint="eastAsia" w:ascii="Times New Roman" w:eastAsia="宋体"/>
                <w:sz w:val="21"/>
                <w:szCs w:val="21"/>
              </w:rPr>
              <w:t>0.00</w:t>
            </w:r>
            <w:r>
              <w:rPr>
                <w:rFonts w:hint="eastAsia" w:ascii="Times New Roman" w:eastAsia="宋体"/>
                <w:sz w:val="21"/>
                <w:szCs w:val="21"/>
                <w:lang w:val="en-US" w:eastAsia="zh-CN"/>
              </w:rPr>
              <w:t>1</w:t>
            </w:r>
            <w:r>
              <w:rPr>
                <w:rFonts w:hint="eastAsia" w:ascii="Times New Roman" w:eastAsia="宋体"/>
                <w:sz w:val="21"/>
                <w:szCs w:val="21"/>
              </w:rPr>
              <w:t>4</w:t>
            </w:r>
          </w:p>
        </w:tc>
      </w:tr>
    </w:tbl>
    <w:p w14:paraId="0C14369F">
      <w:pPr>
        <w:adjustRightInd w:val="0"/>
        <w:snapToGrid w:val="0"/>
        <w:spacing w:line="360" w:lineRule="exact"/>
        <w:ind w:firstLine="420" w:firstLineChars="200"/>
        <w:jc w:val="left"/>
        <w:rPr>
          <w:rFonts w:ascii="Times New Roman"/>
          <w:sz w:val="21"/>
          <w:szCs w:val="21"/>
        </w:rPr>
      </w:pPr>
      <w:r>
        <w:rPr>
          <w:rFonts w:ascii="Times New Roman" w:hAnsi="宋体"/>
          <w:sz w:val="21"/>
          <w:szCs w:val="21"/>
        </w:rPr>
        <w:t>注：</w:t>
      </w:r>
      <w:r>
        <w:rPr>
          <w:rFonts w:hint="default" w:ascii="Times New Roman"/>
          <w:bCs/>
          <w:color w:val="000000"/>
          <w:sz w:val="21"/>
          <w:szCs w:val="21"/>
        </w:rPr>
        <w:t>①</w:t>
      </w:r>
      <w:r>
        <w:rPr>
          <w:rFonts w:hint="eastAsia" w:ascii="Times New Roman"/>
          <w:sz w:val="21"/>
          <w:szCs w:val="21"/>
        </w:rPr>
        <w:t>危险废物</w:t>
      </w:r>
      <w:r>
        <w:rPr>
          <w:rFonts w:ascii="Times New Roman"/>
          <w:color w:val="000000"/>
          <w:sz w:val="21"/>
          <w:szCs w:val="21"/>
        </w:rPr>
        <w:t>参照危害水环境物质（急性毒性</w:t>
      </w:r>
      <w:r>
        <w:rPr>
          <w:rFonts w:hint="eastAsia" w:ascii="Times New Roman"/>
          <w:color w:val="000000"/>
          <w:sz w:val="21"/>
          <w:szCs w:val="21"/>
        </w:rPr>
        <w:t>物质</w:t>
      </w:r>
      <w:r>
        <w:rPr>
          <w:rFonts w:ascii="Times New Roman"/>
          <w:color w:val="000000"/>
          <w:sz w:val="21"/>
          <w:szCs w:val="21"/>
        </w:rPr>
        <w:t>类别</w:t>
      </w:r>
      <w:r>
        <w:rPr>
          <w:rFonts w:ascii="Times New Roman"/>
          <w:bCs/>
          <w:color w:val="000000"/>
          <w:sz w:val="21"/>
          <w:szCs w:val="21"/>
        </w:rPr>
        <w:t>1</w:t>
      </w:r>
      <w:r>
        <w:rPr>
          <w:rFonts w:ascii="Times New Roman"/>
          <w:color w:val="000000"/>
          <w:sz w:val="21"/>
          <w:szCs w:val="21"/>
        </w:rPr>
        <w:t>）</w:t>
      </w:r>
      <w:r>
        <w:rPr>
          <w:rFonts w:hint="eastAsia" w:ascii="Times New Roman"/>
          <w:color w:val="000000"/>
          <w:sz w:val="21"/>
          <w:szCs w:val="21"/>
          <w:lang w:eastAsia="zh-CN"/>
        </w:rPr>
        <w:t>；</w:t>
      </w:r>
      <w:r>
        <w:rPr>
          <w:rFonts w:hint="default" w:ascii="Times New Roman"/>
          <w:bCs/>
          <w:color w:val="000000"/>
          <w:sz w:val="21"/>
          <w:szCs w:val="21"/>
        </w:rPr>
        <w:t>②</w:t>
      </w:r>
      <w:r>
        <w:rPr>
          <w:rFonts w:hint="eastAsia" w:ascii="Times New Roman"/>
          <w:bCs/>
          <w:color w:val="000000"/>
          <w:sz w:val="21"/>
          <w:szCs w:val="21"/>
          <w:lang w:val="en-US" w:eastAsia="zh-CN"/>
        </w:rPr>
        <w:t>项目污水厌氧处理产生极少量沼气（甲烷），本环评不进行定量分析</w:t>
      </w:r>
      <w:r>
        <w:rPr>
          <w:rFonts w:ascii="Times New Roman"/>
          <w:color w:val="000000"/>
          <w:sz w:val="21"/>
          <w:szCs w:val="21"/>
        </w:rPr>
        <w:t>。</w:t>
      </w:r>
    </w:p>
    <w:p w14:paraId="53550842">
      <w:pPr>
        <w:spacing w:line="480" w:lineRule="exact"/>
        <w:ind w:firstLine="480" w:firstLineChars="200"/>
      </w:pPr>
      <w:r>
        <w:rPr>
          <w:rFonts w:hint="eastAsia"/>
        </w:rPr>
        <w:t>由上表可知，项目</w:t>
      </w:r>
      <w:r>
        <w:rPr>
          <w:rFonts w:hint="eastAsia"/>
          <w:i/>
          <w:iCs/>
        </w:rPr>
        <w:t>Q</w:t>
      </w:r>
      <w:r>
        <w:rPr>
          <w:rFonts w:hint="eastAsia"/>
        </w:rPr>
        <w:t>值为</w:t>
      </w:r>
      <w:r>
        <w:t>0.</w:t>
      </w:r>
      <w:r>
        <w:rPr>
          <w:rFonts w:hint="eastAsia"/>
        </w:rPr>
        <w:t>00</w:t>
      </w:r>
      <w:r>
        <w:rPr>
          <w:rFonts w:hint="eastAsia"/>
          <w:lang w:val="en-US" w:eastAsia="zh-CN"/>
        </w:rPr>
        <w:t>1</w:t>
      </w:r>
      <w:r>
        <w:rPr>
          <w:rFonts w:hint="eastAsia"/>
        </w:rPr>
        <w:t>4＜1，则该项目风险潜势为</w:t>
      </w:r>
      <w:r>
        <w:rPr>
          <w:rFonts w:ascii="Times New Roman" w:hAnsi="Times New Roman" w:eastAsia="宋体" w:cs="Times New Roman"/>
          <w:szCs w:val="24"/>
        </w:rPr>
        <w:t>I</w:t>
      </w:r>
      <w:r>
        <w:rPr>
          <w:rFonts w:hint="eastAsia"/>
        </w:rPr>
        <w:t>。</w:t>
      </w:r>
    </w:p>
    <w:p w14:paraId="7E3032AB">
      <w:pPr>
        <w:pStyle w:val="7"/>
        <w:spacing w:line="480" w:lineRule="exact"/>
      </w:pPr>
      <w:r>
        <w:rPr>
          <w:rFonts w:hint="eastAsia"/>
        </w:rPr>
        <w:t>3</w:t>
      </w:r>
      <w:r>
        <w:t>.9.</w:t>
      </w:r>
      <w:r>
        <w:rPr>
          <w:rFonts w:hint="eastAsia"/>
        </w:rPr>
        <w:t>2</w:t>
      </w:r>
      <w:r>
        <w:t xml:space="preserve"> </w:t>
      </w:r>
      <w:r>
        <w:rPr>
          <w:rFonts w:hint="eastAsia"/>
        </w:rPr>
        <w:t>风险评价工作等级</w:t>
      </w:r>
    </w:p>
    <w:p w14:paraId="15AE63DF">
      <w:pPr>
        <w:spacing w:line="480" w:lineRule="exact"/>
        <w:ind w:firstLine="480" w:firstLineChars="200"/>
      </w:pPr>
      <w:r>
        <w:rPr>
          <w:rFonts w:hint="eastAsia"/>
        </w:rPr>
        <w:t>根据《建设项目环境风险评价技术导则》（HJ169-2018），环境风险评价工作等级划分为一级、二级、三级。根据建设项目涉及的物质和工艺系统危险性和所在地的环境敏感性确定环境风险潜势，从而确定评价工作等级，具体见表3.</w:t>
      </w:r>
      <w:r>
        <w:t>9</w:t>
      </w:r>
      <w:r>
        <w:rPr>
          <w:rFonts w:hint="eastAsia"/>
        </w:rPr>
        <w:t>-</w:t>
      </w:r>
      <w:r>
        <w:t>2</w:t>
      </w:r>
      <w:r>
        <w:rPr>
          <w:rFonts w:hint="eastAsia"/>
        </w:rPr>
        <w:t>。本项目风险潜势为</w:t>
      </w:r>
      <w:r>
        <w:rPr>
          <w:rFonts w:ascii="Times New Roman" w:hAnsi="Times New Roman" w:eastAsia="宋体" w:cs="Times New Roman"/>
          <w:szCs w:val="24"/>
        </w:rPr>
        <w:t>I</w:t>
      </w:r>
      <w:r>
        <w:rPr>
          <w:rFonts w:hint="eastAsia"/>
        </w:rPr>
        <w:t>，可展开简单分析。</w:t>
      </w:r>
    </w:p>
    <w:p w14:paraId="04BDF0A4">
      <w:pPr>
        <w:pStyle w:val="31"/>
        <w:spacing w:before="0" w:line="480" w:lineRule="exact"/>
      </w:pPr>
      <w:r>
        <w:rPr>
          <w:rFonts w:hint="eastAsia"/>
        </w:rPr>
        <w:t>表</w:t>
      </w:r>
      <w:r>
        <w:t>3.9-2</w:t>
      </w:r>
      <w:r>
        <w:rPr>
          <w:rFonts w:hint="eastAsia"/>
        </w:rPr>
        <w:t xml:space="preserve">  环境风险评价等级划分</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855"/>
        <w:gridCol w:w="1857"/>
        <w:gridCol w:w="1857"/>
        <w:gridCol w:w="1861"/>
      </w:tblGrid>
      <w:tr w14:paraId="4FF0B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tcBorders>
              <w:top w:val="single" w:color="auto" w:sz="12" w:space="0"/>
              <w:left w:val="nil"/>
              <w:bottom w:val="single" w:color="auto" w:sz="4" w:space="0"/>
              <w:right w:val="single" w:color="auto" w:sz="4" w:space="0"/>
            </w:tcBorders>
            <w:vAlign w:val="center"/>
          </w:tcPr>
          <w:p w14:paraId="4A9CC0E8">
            <w:pPr>
              <w:pStyle w:val="61"/>
              <w:rPr>
                <w:lang w:val="zh-CN"/>
              </w:rPr>
            </w:pPr>
            <w:r>
              <w:rPr>
                <w:rFonts w:hint="eastAsia"/>
                <w:lang w:val="zh-CN"/>
              </w:rPr>
              <w:t>环境风险潜势</w:t>
            </w:r>
          </w:p>
        </w:tc>
        <w:tc>
          <w:tcPr>
            <w:tcW w:w="999" w:type="pct"/>
            <w:tcBorders>
              <w:top w:val="single" w:color="auto" w:sz="12" w:space="0"/>
              <w:left w:val="single" w:color="auto" w:sz="4" w:space="0"/>
              <w:bottom w:val="single" w:color="auto" w:sz="4" w:space="0"/>
              <w:right w:val="single" w:color="auto" w:sz="4" w:space="0"/>
            </w:tcBorders>
            <w:vAlign w:val="center"/>
          </w:tcPr>
          <w:p w14:paraId="03CC8848">
            <w:pPr>
              <w:pStyle w:val="61"/>
              <w:rPr>
                <w:rFonts w:ascii="宋体" w:hAnsi="宋体"/>
                <w:lang w:val="zh-CN"/>
              </w:rPr>
            </w:pPr>
            <w:r>
              <w:rPr>
                <w:rFonts w:hint="eastAsia" w:ascii="宋体" w:hAnsi="宋体"/>
              </w:rPr>
              <w:t>Ⅳ、Ⅳ</w:t>
            </w:r>
            <w:r>
              <w:rPr>
                <w:rFonts w:hint="eastAsia" w:ascii="宋体" w:hAnsi="宋体"/>
                <w:vertAlign w:val="superscript"/>
              </w:rPr>
              <w:t>+</w:t>
            </w:r>
          </w:p>
        </w:tc>
        <w:tc>
          <w:tcPr>
            <w:tcW w:w="1000" w:type="pct"/>
            <w:tcBorders>
              <w:top w:val="single" w:color="auto" w:sz="12" w:space="0"/>
              <w:left w:val="single" w:color="auto" w:sz="4" w:space="0"/>
              <w:bottom w:val="single" w:color="auto" w:sz="4" w:space="0"/>
              <w:right w:val="single" w:color="auto" w:sz="4" w:space="0"/>
            </w:tcBorders>
            <w:vAlign w:val="center"/>
          </w:tcPr>
          <w:p w14:paraId="3C380425">
            <w:pPr>
              <w:pStyle w:val="61"/>
              <w:rPr>
                <w:rFonts w:ascii="宋体" w:hAnsi="宋体"/>
                <w:lang w:val="zh-CN"/>
              </w:rPr>
            </w:pPr>
            <w:r>
              <w:rPr>
                <w:rFonts w:hint="eastAsia" w:ascii="宋体" w:hAnsi="宋体"/>
                <w:lang w:val="zh-CN"/>
              </w:rPr>
              <w:t>Ⅲ</w:t>
            </w:r>
          </w:p>
        </w:tc>
        <w:tc>
          <w:tcPr>
            <w:tcW w:w="1000" w:type="pct"/>
            <w:tcBorders>
              <w:top w:val="single" w:color="auto" w:sz="12" w:space="0"/>
              <w:left w:val="single" w:color="auto" w:sz="4" w:space="0"/>
              <w:bottom w:val="single" w:color="auto" w:sz="4" w:space="0"/>
              <w:right w:val="single" w:color="auto" w:sz="4" w:space="0"/>
            </w:tcBorders>
            <w:vAlign w:val="center"/>
          </w:tcPr>
          <w:p w14:paraId="2C28D507">
            <w:pPr>
              <w:pStyle w:val="61"/>
              <w:rPr>
                <w:rFonts w:ascii="宋体" w:hAnsi="宋体"/>
                <w:lang w:val="zh-CN"/>
              </w:rPr>
            </w:pPr>
            <w:r>
              <w:rPr>
                <w:rFonts w:hint="eastAsia" w:ascii="宋体" w:hAnsi="宋体"/>
                <w:lang w:val="zh-CN"/>
              </w:rPr>
              <w:t>Ⅱ</w:t>
            </w:r>
          </w:p>
        </w:tc>
        <w:tc>
          <w:tcPr>
            <w:tcW w:w="1000" w:type="pct"/>
            <w:tcBorders>
              <w:top w:val="single" w:color="auto" w:sz="12" w:space="0"/>
              <w:left w:val="single" w:color="auto" w:sz="4" w:space="0"/>
              <w:bottom w:val="single" w:color="auto" w:sz="4" w:space="0"/>
              <w:right w:val="nil"/>
            </w:tcBorders>
            <w:shd w:val="clear" w:color="auto" w:fill="D7D7D7" w:themeFill="background1" w:themeFillShade="D8"/>
            <w:vAlign w:val="center"/>
          </w:tcPr>
          <w:p w14:paraId="7BEAEE4A">
            <w:pPr>
              <w:pStyle w:val="61"/>
              <w:rPr>
                <w:rFonts w:ascii="宋体" w:hAnsi="宋体"/>
                <w:lang w:val="zh-CN"/>
              </w:rPr>
            </w:pPr>
            <w:r>
              <w:rPr>
                <w:rFonts w:hint="eastAsia" w:ascii="宋体" w:hAnsi="宋体"/>
                <w:lang w:val="zh-CN"/>
              </w:rPr>
              <w:t>Ⅰ</w:t>
            </w:r>
          </w:p>
        </w:tc>
      </w:tr>
      <w:tr w14:paraId="5B658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tcBorders>
              <w:top w:val="single" w:color="auto" w:sz="4" w:space="0"/>
              <w:left w:val="nil"/>
              <w:bottom w:val="single" w:color="auto" w:sz="4" w:space="0"/>
              <w:right w:val="single" w:color="auto" w:sz="4" w:space="0"/>
            </w:tcBorders>
            <w:vAlign w:val="center"/>
          </w:tcPr>
          <w:p w14:paraId="5B5F78F0">
            <w:pPr>
              <w:pStyle w:val="61"/>
              <w:rPr>
                <w:lang w:val="zh-CN"/>
              </w:rPr>
            </w:pPr>
            <w:r>
              <w:rPr>
                <w:rFonts w:hint="eastAsia"/>
                <w:lang w:val="zh-CN"/>
              </w:rPr>
              <w:t>评价工作等级</w:t>
            </w:r>
          </w:p>
        </w:tc>
        <w:tc>
          <w:tcPr>
            <w:tcW w:w="999" w:type="pct"/>
            <w:tcBorders>
              <w:top w:val="single" w:color="auto" w:sz="4" w:space="0"/>
              <w:left w:val="single" w:color="auto" w:sz="4" w:space="0"/>
              <w:bottom w:val="single" w:color="auto" w:sz="4" w:space="0"/>
              <w:right w:val="single" w:color="auto" w:sz="4" w:space="0"/>
            </w:tcBorders>
            <w:vAlign w:val="center"/>
          </w:tcPr>
          <w:p w14:paraId="068139B8">
            <w:pPr>
              <w:pStyle w:val="61"/>
              <w:rPr>
                <w:lang w:val="zh-CN"/>
              </w:rPr>
            </w:pPr>
            <w:r>
              <w:rPr>
                <w:rFonts w:hint="eastAsia"/>
                <w:lang w:val="zh-CN"/>
              </w:rPr>
              <w:t>一</w:t>
            </w:r>
          </w:p>
        </w:tc>
        <w:tc>
          <w:tcPr>
            <w:tcW w:w="1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9F60D07">
            <w:pPr>
              <w:pStyle w:val="61"/>
              <w:rPr>
                <w:lang w:val="zh-CN"/>
              </w:rPr>
            </w:pPr>
            <w:r>
              <w:rPr>
                <w:rFonts w:hint="eastAsia"/>
                <w:lang w:val="zh-CN"/>
              </w:rPr>
              <w:t>二</w:t>
            </w:r>
          </w:p>
        </w:tc>
        <w:tc>
          <w:tcPr>
            <w:tcW w:w="1000" w:type="pct"/>
            <w:tcBorders>
              <w:top w:val="single" w:color="auto" w:sz="4" w:space="0"/>
              <w:left w:val="single" w:color="auto" w:sz="4" w:space="0"/>
              <w:bottom w:val="single" w:color="auto" w:sz="4" w:space="0"/>
              <w:right w:val="single" w:color="auto" w:sz="4" w:space="0"/>
            </w:tcBorders>
            <w:vAlign w:val="center"/>
          </w:tcPr>
          <w:p w14:paraId="19D1596F">
            <w:pPr>
              <w:pStyle w:val="61"/>
              <w:rPr>
                <w:lang w:val="zh-CN"/>
              </w:rPr>
            </w:pPr>
            <w:r>
              <w:rPr>
                <w:rFonts w:hint="eastAsia"/>
                <w:lang w:val="zh-CN"/>
              </w:rPr>
              <w:t>三</w:t>
            </w:r>
          </w:p>
        </w:tc>
        <w:tc>
          <w:tcPr>
            <w:tcW w:w="1000" w:type="pct"/>
            <w:tcBorders>
              <w:top w:val="single" w:color="auto" w:sz="4" w:space="0"/>
              <w:left w:val="single" w:color="auto" w:sz="4" w:space="0"/>
              <w:bottom w:val="single" w:color="auto" w:sz="4" w:space="0"/>
              <w:right w:val="nil"/>
            </w:tcBorders>
            <w:shd w:val="clear" w:color="auto" w:fill="D7D7D7" w:themeFill="background1" w:themeFillShade="D8"/>
            <w:vAlign w:val="center"/>
          </w:tcPr>
          <w:p w14:paraId="4B014831">
            <w:pPr>
              <w:pStyle w:val="61"/>
              <w:rPr>
                <w:lang w:val="zh-CN"/>
              </w:rPr>
            </w:pPr>
            <w:r>
              <w:rPr>
                <w:rFonts w:hint="eastAsia"/>
                <w:lang w:val="zh-CN"/>
              </w:rPr>
              <w:t>简单分析</w:t>
            </w:r>
            <w:r>
              <w:rPr>
                <w:vertAlign w:val="superscript"/>
                <w:lang w:val="zh-CN"/>
              </w:rPr>
              <w:t>a</w:t>
            </w:r>
          </w:p>
        </w:tc>
      </w:tr>
      <w:tr w14:paraId="73F028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4" w:space="0"/>
              <w:left w:val="nil"/>
              <w:bottom w:val="single" w:color="auto" w:sz="12" w:space="0"/>
              <w:right w:val="nil"/>
            </w:tcBorders>
            <w:vAlign w:val="center"/>
          </w:tcPr>
          <w:p w14:paraId="2D7B8633">
            <w:pPr>
              <w:pStyle w:val="61"/>
              <w:jc w:val="both"/>
              <w:rPr>
                <w:lang w:val="zh-CN"/>
              </w:rPr>
            </w:pPr>
            <w:r>
              <w:rPr>
                <w:vertAlign w:val="superscript"/>
                <w:lang w:val="zh-CN"/>
              </w:rPr>
              <w:t>a</w:t>
            </w:r>
            <w:r>
              <w:rPr>
                <w:rFonts w:hint="eastAsia"/>
                <w:lang w:val="zh-CN"/>
              </w:rPr>
              <w:t>是相对于详细评价工作内容而言，在描述危险物质、环境影响途径、环境危害后果、风险防范措施等方面给出定性的说明。</w:t>
            </w:r>
          </w:p>
        </w:tc>
      </w:tr>
    </w:tbl>
    <w:p w14:paraId="14F659CD">
      <w:pPr>
        <w:pStyle w:val="7"/>
        <w:spacing w:line="480" w:lineRule="exact"/>
      </w:pPr>
      <w:r>
        <w:rPr>
          <w:rFonts w:hint="eastAsia"/>
        </w:rPr>
        <w:t>3</w:t>
      </w:r>
      <w:r>
        <w:t>.9.</w:t>
      </w:r>
      <w:r>
        <w:rPr>
          <w:rFonts w:hint="eastAsia"/>
        </w:rPr>
        <w:t>3</w:t>
      </w:r>
      <w:r>
        <w:t xml:space="preserve"> </w:t>
      </w:r>
      <w:r>
        <w:rPr>
          <w:rFonts w:hint="eastAsia"/>
        </w:rPr>
        <w:t>环境风险评价范围</w:t>
      </w:r>
    </w:p>
    <w:p w14:paraId="0A742C05">
      <w:pPr>
        <w:spacing w:line="480" w:lineRule="exact"/>
        <w:ind w:firstLine="480" w:firstLineChars="200"/>
        <w:rPr>
          <w:color w:val="000000"/>
          <w:szCs w:val="24"/>
        </w:rPr>
      </w:pPr>
      <w:r>
        <w:rPr>
          <w:color w:val="000000"/>
          <w:szCs w:val="24"/>
        </w:rPr>
        <w:t>按照风险评价技术导则要求根据确定的评价工作等级，对本项目周围3km内主要居民点等环境风险敏感点进行了调查，具体情况见表</w:t>
      </w:r>
      <w:r>
        <w:rPr>
          <w:rFonts w:hint="eastAsia"/>
          <w:color w:val="000000"/>
          <w:szCs w:val="24"/>
        </w:rPr>
        <w:t>3.9</w:t>
      </w:r>
      <w:r>
        <w:rPr>
          <w:color w:val="000000"/>
          <w:szCs w:val="24"/>
        </w:rPr>
        <w:t>-3及</w:t>
      </w:r>
      <w:r>
        <w:rPr>
          <w:b/>
          <w:bCs/>
          <w:color w:val="000000"/>
          <w:szCs w:val="24"/>
        </w:rPr>
        <w:t>图</w:t>
      </w:r>
      <w:r>
        <w:rPr>
          <w:rFonts w:hint="eastAsia"/>
          <w:b/>
          <w:bCs/>
          <w:color w:val="000000"/>
          <w:szCs w:val="24"/>
        </w:rPr>
        <w:t>2.6-1</w:t>
      </w:r>
      <w:r>
        <w:rPr>
          <w:color w:val="000000"/>
          <w:szCs w:val="24"/>
        </w:rPr>
        <w:t>。</w:t>
      </w:r>
    </w:p>
    <w:p w14:paraId="32706E26">
      <w:pPr>
        <w:spacing w:line="480" w:lineRule="exact"/>
        <w:ind w:firstLine="482" w:firstLineChars="200"/>
        <w:jc w:val="center"/>
        <w:rPr>
          <w:b/>
          <w:color w:val="000000"/>
          <w:szCs w:val="24"/>
        </w:rPr>
      </w:pPr>
      <w:r>
        <w:rPr>
          <w:b/>
          <w:color w:val="000000"/>
          <w:szCs w:val="24"/>
        </w:rPr>
        <w:t>表</w:t>
      </w:r>
      <w:r>
        <w:rPr>
          <w:rFonts w:hint="eastAsia"/>
          <w:b/>
          <w:color w:val="000000"/>
          <w:szCs w:val="24"/>
        </w:rPr>
        <w:t>3.9-</w:t>
      </w:r>
      <w:r>
        <w:rPr>
          <w:b/>
          <w:color w:val="000000"/>
          <w:szCs w:val="24"/>
        </w:rPr>
        <w:t>3</w:t>
      </w:r>
      <w:r>
        <w:rPr>
          <w:rFonts w:hint="eastAsia"/>
          <w:b/>
          <w:color w:val="000000"/>
          <w:szCs w:val="24"/>
        </w:rPr>
        <w:t xml:space="preserve">  </w:t>
      </w:r>
      <w:r>
        <w:rPr>
          <w:b/>
          <w:color w:val="000000"/>
          <w:szCs w:val="24"/>
        </w:rPr>
        <w:t>距离项目位置3km范围内环境保护目标</w:t>
      </w:r>
    </w:p>
    <w:tbl>
      <w:tblPr>
        <w:tblStyle w:val="41"/>
        <w:tblW w:w="4996"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638"/>
        <w:gridCol w:w="1093"/>
        <w:gridCol w:w="1050"/>
        <w:gridCol w:w="941"/>
        <w:gridCol w:w="900"/>
        <w:gridCol w:w="668"/>
        <w:gridCol w:w="846"/>
        <w:gridCol w:w="900"/>
        <w:gridCol w:w="695"/>
        <w:gridCol w:w="1550"/>
      </w:tblGrid>
      <w:tr w14:paraId="4F5C02AB">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restart"/>
            <w:vAlign w:val="center"/>
          </w:tcPr>
          <w:p w14:paraId="62332CA2">
            <w:pPr>
              <w:adjustRightInd w:val="0"/>
              <w:spacing w:line="300" w:lineRule="exact"/>
              <w:jc w:val="center"/>
              <w:rPr>
                <w:rFonts w:ascii="Times New Roman" w:eastAsia="宋体"/>
                <w:sz w:val="21"/>
                <w:szCs w:val="21"/>
              </w:rPr>
            </w:pPr>
            <w:r>
              <w:rPr>
                <w:rFonts w:ascii="Times New Roman" w:eastAsia="宋体"/>
                <w:sz w:val="21"/>
                <w:szCs w:val="21"/>
              </w:rPr>
              <w:t>环境要素</w:t>
            </w:r>
          </w:p>
        </w:tc>
        <w:tc>
          <w:tcPr>
            <w:tcW w:w="588" w:type="pct"/>
            <w:vMerge w:val="restart"/>
            <w:vAlign w:val="center"/>
          </w:tcPr>
          <w:p w14:paraId="296E9378">
            <w:pPr>
              <w:adjustRightInd w:val="0"/>
              <w:spacing w:line="300" w:lineRule="exact"/>
              <w:jc w:val="center"/>
              <w:rPr>
                <w:rFonts w:ascii="Times New Roman" w:eastAsia="宋体"/>
                <w:sz w:val="21"/>
                <w:szCs w:val="21"/>
              </w:rPr>
            </w:pPr>
            <w:r>
              <w:rPr>
                <w:rFonts w:ascii="Times New Roman" w:eastAsia="宋体"/>
                <w:sz w:val="21"/>
                <w:szCs w:val="21"/>
              </w:rPr>
              <w:t>名称</w:t>
            </w:r>
          </w:p>
        </w:tc>
        <w:tc>
          <w:tcPr>
            <w:tcW w:w="1072" w:type="pct"/>
            <w:gridSpan w:val="2"/>
            <w:vAlign w:val="center"/>
          </w:tcPr>
          <w:p w14:paraId="0A3D3FFE">
            <w:pPr>
              <w:adjustRightInd w:val="0"/>
              <w:snapToGrid w:val="0"/>
              <w:spacing w:line="280" w:lineRule="exact"/>
              <w:jc w:val="center"/>
              <w:rPr>
                <w:rFonts w:ascii="Times New Roman" w:eastAsia="宋体"/>
                <w:sz w:val="21"/>
                <w:szCs w:val="21"/>
              </w:rPr>
            </w:pPr>
            <w:r>
              <w:rPr>
                <w:rFonts w:ascii="Times New Roman" w:hAnsi="宋体" w:eastAsia="宋体"/>
                <w:sz w:val="21"/>
                <w:szCs w:val="21"/>
              </w:rPr>
              <w:t>经纬度</w:t>
            </w:r>
          </w:p>
        </w:tc>
        <w:tc>
          <w:tcPr>
            <w:tcW w:w="484" w:type="pct"/>
            <w:vMerge w:val="restart"/>
            <w:vAlign w:val="center"/>
          </w:tcPr>
          <w:p w14:paraId="7F51ACBD">
            <w:pPr>
              <w:adjustRightInd w:val="0"/>
              <w:spacing w:line="300" w:lineRule="exact"/>
              <w:jc w:val="center"/>
              <w:rPr>
                <w:rFonts w:ascii="Times New Roman" w:eastAsia="宋体"/>
                <w:sz w:val="21"/>
                <w:szCs w:val="21"/>
              </w:rPr>
            </w:pPr>
            <w:r>
              <w:rPr>
                <w:rFonts w:ascii="Times New Roman" w:eastAsia="宋体"/>
                <w:sz w:val="21"/>
                <w:szCs w:val="21"/>
              </w:rPr>
              <w:t>保护对象</w:t>
            </w:r>
          </w:p>
        </w:tc>
        <w:tc>
          <w:tcPr>
            <w:tcW w:w="359" w:type="pct"/>
            <w:vMerge w:val="restart"/>
            <w:vAlign w:val="center"/>
          </w:tcPr>
          <w:p w14:paraId="2FF57B91">
            <w:pPr>
              <w:adjustRightInd w:val="0"/>
              <w:spacing w:line="300" w:lineRule="exact"/>
              <w:jc w:val="center"/>
              <w:rPr>
                <w:rFonts w:ascii="Times New Roman" w:eastAsia="宋体"/>
                <w:sz w:val="21"/>
                <w:szCs w:val="21"/>
              </w:rPr>
            </w:pPr>
            <w:r>
              <w:rPr>
                <w:rFonts w:ascii="Times New Roman" w:eastAsia="宋体"/>
                <w:sz w:val="21"/>
                <w:szCs w:val="21"/>
              </w:rPr>
              <w:t>保护内容</w:t>
            </w:r>
          </w:p>
        </w:tc>
        <w:tc>
          <w:tcPr>
            <w:tcW w:w="455" w:type="pct"/>
            <w:vMerge w:val="restart"/>
            <w:vAlign w:val="center"/>
          </w:tcPr>
          <w:p w14:paraId="0D65A083">
            <w:pPr>
              <w:adjustRightInd w:val="0"/>
              <w:spacing w:line="300" w:lineRule="exact"/>
              <w:jc w:val="center"/>
              <w:rPr>
                <w:rFonts w:ascii="Times New Roman" w:eastAsia="宋体"/>
                <w:sz w:val="21"/>
                <w:szCs w:val="21"/>
              </w:rPr>
            </w:pPr>
            <w:r>
              <w:rPr>
                <w:rFonts w:ascii="Times New Roman" w:eastAsia="宋体"/>
                <w:sz w:val="21"/>
                <w:szCs w:val="21"/>
              </w:rPr>
              <w:t>环境功能区</w:t>
            </w:r>
          </w:p>
        </w:tc>
        <w:tc>
          <w:tcPr>
            <w:tcW w:w="484" w:type="pct"/>
            <w:vMerge w:val="restart"/>
            <w:vAlign w:val="center"/>
          </w:tcPr>
          <w:p w14:paraId="64BAB7DC">
            <w:pPr>
              <w:adjustRightInd w:val="0"/>
              <w:spacing w:line="300" w:lineRule="exact"/>
              <w:jc w:val="center"/>
              <w:rPr>
                <w:rFonts w:ascii="Times New Roman" w:eastAsia="宋体"/>
                <w:sz w:val="21"/>
                <w:szCs w:val="21"/>
              </w:rPr>
            </w:pPr>
            <w:r>
              <w:rPr>
                <w:rFonts w:ascii="Times New Roman" w:eastAsia="宋体"/>
                <w:sz w:val="21"/>
                <w:szCs w:val="21"/>
              </w:rPr>
              <w:t>规模</w:t>
            </w:r>
            <w:r>
              <w:rPr>
                <w:rFonts w:hint="eastAsia" w:ascii="Times New Roman" w:eastAsia="宋体"/>
                <w:sz w:val="21"/>
                <w:szCs w:val="21"/>
              </w:rPr>
              <w:t>（人）</w:t>
            </w:r>
          </w:p>
        </w:tc>
        <w:tc>
          <w:tcPr>
            <w:tcW w:w="374" w:type="pct"/>
            <w:vMerge w:val="restart"/>
            <w:vAlign w:val="center"/>
          </w:tcPr>
          <w:p w14:paraId="44C17677">
            <w:pPr>
              <w:adjustRightInd w:val="0"/>
              <w:spacing w:line="300" w:lineRule="exact"/>
              <w:jc w:val="center"/>
              <w:rPr>
                <w:rFonts w:ascii="Times New Roman" w:eastAsia="宋体"/>
                <w:sz w:val="21"/>
                <w:szCs w:val="21"/>
              </w:rPr>
            </w:pPr>
            <w:r>
              <w:rPr>
                <w:rFonts w:ascii="Times New Roman" w:eastAsia="宋体"/>
                <w:sz w:val="21"/>
                <w:szCs w:val="21"/>
              </w:rPr>
              <w:t>相对方位</w:t>
            </w:r>
          </w:p>
        </w:tc>
        <w:tc>
          <w:tcPr>
            <w:tcW w:w="835" w:type="pct"/>
            <w:vMerge w:val="restart"/>
            <w:vAlign w:val="center"/>
          </w:tcPr>
          <w:p w14:paraId="04AAD9F9">
            <w:pPr>
              <w:adjustRightInd w:val="0"/>
              <w:spacing w:line="300" w:lineRule="exact"/>
              <w:jc w:val="center"/>
              <w:rPr>
                <w:rFonts w:ascii="Times New Roman" w:eastAsia="宋体"/>
                <w:sz w:val="21"/>
                <w:szCs w:val="21"/>
              </w:rPr>
            </w:pPr>
            <w:r>
              <w:rPr>
                <w:rFonts w:ascii="Times New Roman" w:eastAsia="宋体"/>
                <w:sz w:val="21"/>
                <w:szCs w:val="21"/>
              </w:rPr>
              <w:t>相对距离m）</w:t>
            </w:r>
          </w:p>
        </w:tc>
      </w:tr>
      <w:tr w14:paraId="3BCEA887">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27A663F4">
            <w:pPr>
              <w:adjustRightInd w:val="0"/>
              <w:spacing w:line="300" w:lineRule="exact"/>
              <w:jc w:val="center"/>
              <w:rPr>
                <w:rFonts w:ascii="Times New Roman" w:eastAsia="宋体"/>
                <w:sz w:val="21"/>
                <w:szCs w:val="21"/>
              </w:rPr>
            </w:pPr>
          </w:p>
        </w:tc>
        <w:tc>
          <w:tcPr>
            <w:tcW w:w="588" w:type="pct"/>
            <w:vMerge w:val="continue"/>
            <w:vAlign w:val="center"/>
          </w:tcPr>
          <w:p w14:paraId="49D5003C">
            <w:pPr>
              <w:adjustRightInd w:val="0"/>
              <w:spacing w:line="300" w:lineRule="exact"/>
              <w:jc w:val="center"/>
              <w:rPr>
                <w:rFonts w:ascii="Times New Roman" w:eastAsia="宋体"/>
                <w:sz w:val="21"/>
                <w:szCs w:val="21"/>
              </w:rPr>
            </w:pPr>
          </w:p>
        </w:tc>
        <w:tc>
          <w:tcPr>
            <w:tcW w:w="565" w:type="pct"/>
            <w:vAlign w:val="center"/>
          </w:tcPr>
          <w:p w14:paraId="1FCDB73C">
            <w:pPr>
              <w:adjustRightInd w:val="0"/>
              <w:snapToGrid w:val="0"/>
              <w:spacing w:line="280" w:lineRule="exact"/>
              <w:jc w:val="center"/>
              <w:rPr>
                <w:rFonts w:ascii="Times New Roman" w:eastAsia="宋体"/>
                <w:sz w:val="21"/>
                <w:szCs w:val="21"/>
              </w:rPr>
            </w:pPr>
            <w:r>
              <w:rPr>
                <w:rFonts w:ascii="Times New Roman" w:hAnsi="宋体" w:eastAsia="宋体"/>
                <w:sz w:val="21"/>
                <w:szCs w:val="21"/>
              </w:rPr>
              <w:t>经度</w:t>
            </w:r>
          </w:p>
        </w:tc>
        <w:tc>
          <w:tcPr>
            <w:tcW w:w="506" w:type="pct"/>
            <w:vAlign w:val="center"/>
          </w:tcPr>
          <w:p w14:paraId="1B5E8BCD">
            <w:pPr>
              <w:adjustRightInd w:val="0"/>
              <w:snapToGrid w:val="0"/>
              <w:spacing w:line="280" w:lineRule="exact"/>
              <w:jc w:val="center"/>
              <w:rPr>
                <w:rFonts w:ascii="Times New Roman" w:eastAsia="宋体"/>
                <w:sz w:val="21"/>
                <w:szCs w:val="21"/>
              </w:rPr>
            </w:pPr>
            <w:r>
              <w:rPr>
                <w:rFonts w:ascii="Times New Roman" w:hAnsi="宋体" w:eastAsia="宋体"/>
                <w:sz w:val="21"/>
                <w:szCs w:val="21"/>
              </w:rPr>
              <w:t>纬度</w:t>
            </w:r>
          </w:p>
        </w:tc>
        <w:tc>
          <w:tcPr>
            <w:tcW w:w="484" w:type="pct"/>
            <w:vMerge w:val="continue"/>
            <w:vAlign w:val="center"/>
          </w:tcPr>
          <w:p w14:paraId="034F3AB6">
            <w:pPr>
              <w:adjustRightInd w:val="0"/>
              <w:spacing w:line="300" w:lineRule="exact"/>
              <w:jc w:val="center"/>
              <w:rPr>
                <w:rFonts w:ascii="Times New Roman" w:eastAsia="宋体"/>
                <w:sz w:val="21"/>
                <w:szCs w:val="21"/>
              </w:rPr>
            </w:pPr>
          </w:p>
        </w:tc>
        <w:tc>
          <w:tcPr>
            <w:tcW w:w="359" w:type="pct"/>
            <w:vMerge w:val="continue"/>
            <w:vAlign w:val="center"/>
          </w:tcPr>
          <w:p w14:paraId="7CDF62BE">
            <w:pPr>
              <w:adjustRightInd w:val="0"/>
              <w:spacing w:line="300" w:lineRule="exact"/>
              <w:jc w:val="center"/>
              <w:rPr>
                <w:rFonts w:ascii="Times New Roman" w:eastAsia="宋体"/>
                <w:sz w:val="21"/>
                <w:szCs w:val="21"/>
              </w:rPr>
            </w:pPr>
          </w:p>
        </w:tc>
        <w:tc>
          <w:tcPr>
            <w:tcW w:w="455" w:type="pct"/>
            <w:vMerge w:val="continue"/>
            <w:vAlign w:val="center"/>
          </w:tcPr>
          <w:p w14:paraId="12F012DA">
            <w:pPr>
              <w:adjustRightInd w:val="0"/>
              <w:spacing w:line="300" w:lineRule="exact"/>
              <w:jc w:val="center"/>
              <w:rPr>
                <w:rFonts w:ascii="Times New Roman" w:eastAsia="宋体"/>
                <w:sz w:val="21"/>
                <w:szCs w:val="21"/>
              </w:rPr>
            </w:pPr>
          </w:p>
        </w:tc>
        <w:tc>
          <w:tcPr>
            <w:tcW w:w="484" w:type="pct"/>
            <w:vMerge w:val="continue"/>
            <w:vAlign w:val="center"/>
          </w:tcPr>
          <w:p w14:paraId="34A399EF">
            <w:pPr>
              <w:adjustRightInd w:val="0"/>
              <w:spacing w:line="300" w:lineRule="exact"/>
              <w:jc w:val="center"/>
              <w:rPr>
                <w:rFonts w:ascii="Times New Roman" w:eastAsia="宋体"/>
                <w:sz w:val="21"/>
                <w:szCs w:val="21"/>
              </w:rPr>
            </w:pPr>
          </w:p>
        </w:tc>
        <w:tc>
          <w:tcPr>
            <w:tcW w:w="374" w:type="pct"/>
            <w:vMerge w:val="continue"/>
            <w:vAlign w:val="center"/>
          </w:tcPr>
          <w:p w14:paraId="442CF67F">
            <w:pPr>
              <w:adjustRightInd w:val="0"/>
              <w:spacing w:line="300" w:lineRule="exact"/>
              <w:jc w:val="center"/>
              <w:rPr>
                <w:rFonts w:ascii="Times New Roman" w:eastAsia="宋体"/>
                <w:sz w:val="21"/>
                <w:szCs w:val="21"/>
              </w:rPr>
            </w:pPr>
          </w:p>
        </w:tc>
        <w:tc>
          <w:tcPr>
            <w:tcW w:w="835" w:type="pct"/>
            <w:vMerge w:val="continue"/>
            <w:vAlign w:val="center"/>
          </w:tcPr>
          <w:p w14:paraId="45C4CAFD">
            <w:pPr>
              <w:adjustRightInd w:val="0"/>
              <w:spacing w:line="300" w:lineRule="exact"/>
              <w:jc w:val="center"/>
              <w:rPr>
                <w:rFonts w:ascii="Times New Roman" w:eastAsia="宋体"/>
                <w:sz w:val="21"/>
                <w:szCs w:val="21"/>
              </w:rPr>
            </w:pPr>
          </w:p>
        </w:tc>
      </w:tr>
      <w:tr w14:paraId="528FC0D0">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restart"/>
            <w:vAlign w:val="center"/>
          </w:tcPr>
          <w:p w14:paraId="04080727">
            <w:pPr>
              <w:adjustRightInd w:val="0"/>
              <w:spacing w:line="300" w:lineRule="exact"/>
              <w:jc w:val="center"/>
              <w:rPr>
                <w:rFonts w:ascii="Times New Roman" w:eastAsia="宋体"/>
                <w:sz w:val="21"/>
                <w:szCs w:val="21"/>
              </w:rPr>
            </w:pPr>
            <w:r>
              <w:rPr>
                <w:rFonts w:ascii="Times New Roman" w:eastAsia="宋体"/>
                <w:sz w:val="21"/>
                <w:szCs w:val="21"/>
              </w:rPr>
              <w:t>大气</w:t>
            </w:r>
          </w:p>
        </w:tc>
        <w:tc>
          <w:tcPr>
            <w:tcW w:w="588" w:type="pct"/>
            <w:vAlign w:val="center"/>
          </w:tcPr>
          <w:p w14:paraId="66CA6413">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戴庄</w:t>
            </w:r>
          </w:p>
        </w:tc>
        <w:tc>
          <w:tcPr>
            <w:tcW w:w="565" w:type="pct"/>
            <w:vAlign w:val="center"/>
          </w:tcPr>
          <w:p w14:paraId="76B94C87">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118.7</w:t>
            </w:r>
            <w:r>
              <w:rPr>
                <w:rFonts w:hint="eastAsia" w:ascii="Times New Roman" w:hAnsi="Times New Roman" w:eastAsia="宋体" w:cs="Times New Roman"/>
                <w:sz w:val="21"/>
                <w:szCs w:val="21"/>
              </w:rPr>
              <w:t>054</w:t>
            </w:r>
          </w:p>
        </w:tc>
        <w:tc>
          <w:tcPr>
            <w:tcW w:w="506" w:type="pct"/>
            <w:vAlign w:val="center"/>
          </w:tcPr>
          <w:p w14:paraId="11693BA0">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33.</w:t>
            </w:r>
            <w:r>
              <w:rPr>
                <w:rFonts w:hint="eastAsia" w:ascii="Times New Roman" w:hAnsi="Times New Roman" w:eastAsia="宋体" w:cs="Times New Roman"/>
                <w:sz w:val="21"/>
                <w:szCs w:val="21"/>
              </w:rPr>
              <w:t>8943</w:t>
            </w:r>
          </w:p>
        </w:tc>
        <w:tc>
          <w:tcPr>
            <w:tcW w:w="484" w:type="pct"/>
            <w:vAlign w:val="center"/>
          </w:tcPr>
          <w:p w14:paraId="4FC5DB9F">
            <w:pPr>
              <w:spacing w:line="300" w:lineRule="exact"/>
              <w:jc w:val="center"/>
              <w:rPr>
                <w:rFonts w:ascii="Times New Roman" w:eastAsia="宋体"/>
                <w:sz w:val="21"/>
                <w:szCs w:val="21"/>
              </w:rPr>
            </w:pPr>
            <w:r>
              <w:rPr>
                <w:rFonts w:ascii="Times New Roman" w:eastAsia="宋体"/>
                <w:sz w:val="21"/>
                <w:szCs w:val="21"/>
              </w:rPr>
              <w:t>居民区</w:t>
            </w:r>
          </w:p>
        </w:tc>
        <w:tc>
          <w:tcPr>
            <w:tcW w:w="359" w:type="pct"/>
            <w:vAlign w:val="center"/>
          </w:tcPr>
          <w:p w14:paraId="66B6D677">
            <w:pPr>
              <w:spacing w:line="300" w:lineRule="exact"/>
              <w:jc w:val="center"/>
              <w:rPr>
                <w:rFonts w:ascii="Times New Roman" w:eastAsia="宋体"/>
                <w:sz w:val="21"/>
                <w:szCs w:val="21"/>
              </w:rPr>
            </w:pPr>
            <w:r>
              <w:rPr>
                <w:rFonts w:ascii="Times New Roman" w:eastAsia="宋体"/>
                <w:sz w:val="21"/>
                <w:szCs w:val="21"/>
              </w:rPr>
              <w:t>人群</w:t>
            </w:r>
          </w:p>
        </w:tc>
        <w:tc>
          <w:tcPr>
            <w:tcW w:w="455" w:type="pct"/>
            <w:vMerge w:val="restart"/>
            <w:vAlign w:val="center"/>
          </w:tcPr>
          <w:p w14:paraId="520FB818">
            <w:pPr>
              <w:spacing w:line="300" w:lineRule="exact"/>
              <w:jc w:val="center"/>
              <w:rPr>
                <w:rFonts w:ascii="Times New Roman" w:eastAsia="宋体"/>
                <w:sz w:val="21"/>
                <w:szCs w:val="21"/>
              </w:rPr>
            </w:pPr>
            <w:r>
              <w:rPr>
                <w:rFonts w:ascii="Times New Roman" w:eastAsia="宋体"/>
                <w:sz w:val="21"/>
                <w:szCs w:val="21"/>
              </w:rPr>
              <w:t>二类区</w:t>
            </w:r>
          </w:p>
        </w:tc>
        <w:tc>
          <w:tcPr>
            <w:tcW w:w="484" w:type="pct"/>
            <w:vAlign w:val="center"/>
          </w:tcPr>
          <w:p w14:paraId="063123CD">
            <w:pPr>
              <w:spacing w:line="300" w:lineRule="exact"/>
              <w:jc w:val="center"/>
              <w:rPr>
                <w:rFonts w:ascii="Times New Roman" w:eastAsia="宋体"/>
                <w:sz w:val="21"/>
                <w:szCs w:val="21"/>
              </w:rPr>
            </w:pPr>
            <w:r>
              <w:rPr>
                <w:rFonts w:hint="eastAsia" w:ascii="Times New Roman" w:eastAsia="宋体"/>
                <w:sz w:val="21"/>
                <w:szCs w:val="21"/>
              </w:rPr>
              <w:t>150</w:t>
            </w:r>
          </w:p>
        </w:tc>
        <w:tc>
          <w:tcPr>
            <w:tcW w:w="374" w:type="pct"/>
            <w:vAlign w:val="center"/>
          </w:tcPr>
          <w:p w14:paraId="5A5930C4">
            <w:pPr>
              <w:spacing w:line="300" w:lineRule="exact"/>
              <w:jc w:val="center"/>
              <w:rPr>
                <w:rFonts w:ascii="Times New Roman" w:eastAsia="宋体"/>
                <w:sz w:val="21"/>
                <w:szCs w:val="21"/>
              </w:rPr>
            </w:pPr>
            <w:r>
              <w:rPr>
                <w:rFonts w:hint="eastAsia" w:ascii="Times New Roman" w:eastAsia="宋体"/>
                <w:sz w:val="21"/>
                <w:szCs w:val="21"/>
              </w:rPr>
              <w:t>西北</w:t>
            </w:r>
          </w:p>
        </w:tc>
        <w:tc>
          <w:tcPr>
            <w:tcW w:w="835" w:type="pct"/>
            <w:vAlign w:val="center"/>
          </w:tcPr>
          <w:p w14:paraId="1A09D430">
            <w:pPr>
              <w:spacing w:line="300" w:lineRule="exact"/>
              <w:jc w:val="center"/>
              <w:rPr>
                <w:rFonts w:ascii="Times New Roman" w:eastAsia="宋体"/>
                <w:sz w:val="21"/>
                <w:szCs w:val="21"/>
              </w:rPr>
            </w:pPr>
            <w:r>
              <w:rPr>
                <w:rFonts w:hint="eastAsia" w:ascii="Times New Roman" w:eastAsia="宋体"/>
                <w:sz w:val="21"/>
                <w:szCs w:val="21"/>
              </w:rPr>
              <w:t>60</w:t>
            </w:r>
            <w:r>
              <w:rPr>
                <w:rFonts w:hint="eastAsia" w:ascii="Times New Roman" w:eastAsia="宋体"/>
                <w:sz w:val="21"/>
                <w:szCs w:val="21"/>
                <w:lang w:eastAsia="zh-CN"/>
              </w:rPr>
              <w:t>（</w:t>
            </w:r>
            <w:r>
              <w:rPr>
                <w:rFonts w:hint="eastAsia" w:ascii="Times New Roman" w:eastAsia="宋体"/>
                <w:sz w:val="21"/>
                <w:szCs w:val="21"/>
                <w:lang w:val="en-US" w:eastAsia="zh-CN"/>
              </w:rPr>
              <w:t>厂界</w:t>
            </w:r>
            <w:r>
              <w:rPr>
                <w:rFonts w:hint="eastAsia" w:ascii="Times New Roman" w:eastAsia="宋体"/>
                <w:sz w:val="21"/>
                <w:szCs w:val="21"/>
                <w:lang w:eastAsia="zh-CN"/>
              </w:rPr>
              <w:t>）</w:t>
            </w:r>
            <w:r>
              <w:rPr>
                <w:rFonts w:hint="eastAsia" w:ascii="Times New Roman" w:eastAsia="宋体"/>
                <w:sz w:val="21"/>
                <w:szCs w:val="21"/>
                <w:lang w:val="en-US" w:eastAsia="zh-CN"/>
              </w:rPr>
              <w:t>/145（本项目边界）</w:t>
            </w:r>
          </w:p>
        </w:tc>
      </w:tr>
      <w:tr w14:paraId="3A0645D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67577139">
            <w:pPr>
              <w:adjustRightInd w:val="0"/>
              <w:spacing w:line="300" w:lineRule="exact"/>
              <w:jc w:val="center"/>
              <w:rPr>
                <w:rFonts w:ascii="Times New Roman" w:eastAsia="宋体"/>
                <w:color w:val="FF0000"/>
                <w:sz w:val="21"/>
                <w:szCs w:val="21"/>
              </w:rPr>
            </w:pPr>
          </w:p>
        </w:tc>
        <w:tc>
          <w:tcPr>
            <w:tcW w:w="588" w:type="pct"/>
            <w:vAlign w:val="center"/>
          </w:tcPr>
          <w:p w14:paraId="5012846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金星村</w:t>
            </w:r>
          </w:p>
        </w:tc>
        <w:tc>
          <w:tcPr>
            <w:tcW w:w="565" w:type="pct"/>
            <w:vAlign w:val="center"/>
          </w:tcPr>
          <w:p w14:paraId="0216036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118.7197</w:t>
            </w:r>
          </w:p>
        </w:tc>
        <w:tc>
          <w:tcPr>
            <w:tcW w:w="506" w:type="pct"/>
            <w:vAlign w:val="center"/>
          </w:tcPr>
          <w:p w14:paraId="548B787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33.8994</w:t>
            </w:r>
          </w:p>
        </w:tc>
        <w:tc>
          <w:tcPr>
            <w:tcW w:w="484" w:type="pct"/>
            <w:vAlign w:val="center"/>
          </w:tcPr>
          <w:p w14:paraId="3A595C7F">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74EEC3D1">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2BC52496">
            <w:pPr>
              <w:spacing w:line="300" w:lineRule="exact"/>
              <w:jc w:val="center"/>
              <w:rPr>
                <w:rFonts w:ascii="Times New Roman" w:eastAsia="宋体"/>
                <w:color w:val="FF0000"/>
                <w:sz w:val="21"/>
                <w:szCs w:val="21"/>
              </w:rPr>
            </w:pPr>
          </w:p>
        </w:tc>
        <w:tc>
          <w:tcPr>
            <w:tcW w:w="484" w:type="pct"/>
            <w:vAlign w:val="center"/>
          </w:tcPr>
          <w:p w14:paraId="739BF02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500</w:t>
            </w:r>
          </w:p>
        </w:tc>
        <w:tc>
          <w:tcPr>
            <w:tcW w:w="374" w:type="pct"/>
            <w:vAlign w:val="center"/>
          </w:tcPr>
          <w:p w14:paraId="21B886E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东北</w:t>
            </w:r>
          </w:p>
        </w:tc>
        <w:tc>
          <w:tcPr>
            <w:tcW w:w="835" w:type="pct"/>
            <w:vAlign w:val="center"/>
          </w:tcPr>
          <w:p w14:paraId="42F49B63">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910</w:t>
            </w:r>
          </w:p>
        </w:tc>
      </w:tr>
      <w:tr w14:paraId="10AABE7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59712443">
            <w:pPr>
              <w:adjustRightInd w:val="0"/>
              <w:spacing w:line="300" w:lineRule="exact"/>
              <w:jc w:val="center"/>
              <w:rPr>
                <w:rFonts w:ascii="Times New Roman" w:eastAsia="宋体"/>
                <w:color w:val="FF0000"/>
                <w:sz w:val="21"/>
                <w:szCs w:val="21"/>
              </w:rPr>
            </w:pPr>
          </w:p>
        </w:tc>
        <w:tc>
          <w:tcPr>
            <w:tcW w:w="588" w:type="pct"/>
            <w:vAlign w:val="center"/>
          </w:tcPr>
          <w:p w14:paraId="49EF30F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槽坊庄</w:t>
            </w:r>
          </w:p>
        </w:tc>
        <w:tc>
          <w:tcPr>
            <w:tcW w:w="565" w:type="pct"/>
            <w:vAlign w:val="center"/>
          </w:tcPr>
          <w:p w14:paraId="464914C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118.7284</w:t>
            </w:r>
          </w:p>
        </w:tc>
        <w:tc>
          <w:tcPr>
            <w:tcW w:w="506" w:type="pct"/>
            <w:vAlign w:val="center"/>
          </w:tcPr>
          <w:p w14:paraId="48A2069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33.9032</w:t>
            </w:r>
          </w:p>
        </w:tc>
        <w:tc>
          <w:tcPr>
            <w:tcW w:w="484" w:type="pct"/>
            <w:vAlign w:val="center"/>
          </w:tcPr>
          <w:p w14:paraId="6F2E8799">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0FB0A7A7">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3CF5D58C">
            <w:pPr>
              <w:spacing w:line="300" w:lineRule="exact"/>
              <w:jc w:val="center"/>
              <w:rPr>
                <w:rFonts w:ascii="Times New Roman" w:eastAsia="宋体"/>
                <w:color w:val="FF0000"/>
                <w:sz w:val="21"/>
                <w:szCs w:val="21"/>
              </w:rPr>
            </w:pPr>
          </w:p>
        </w:tc>
        <w:tc>
          <w:tcPr>
            <w:tcW w:w="484" w:type="pct"/>
            <w:vAlign w:val="center"/>
          </w:tcPr>
          <w:p w14:paraId="62B9BE6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350</w:t>
            </w:r>
          </w:p>
        </w:tc>
        <w:tc>
          <w:tcPr>
            <w:tcW w:w="374" w:type="pct"/>
            <w:vAlign w:val="center"/>
          </w:tcPr>
          <w:p w14:paraId="4DEF3DA0">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东北</w:t>
            </w:r>
          </w:p>
        </w:tc>
        <w:tc>
          <w:tcPr>
            <w:tcW w:w="835" w:type="pct"/>
            <w:vAlign w:val="center"/>
          </w:tcPr>
          <w:p w14:paraId="1AC7AFF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2100</w:t>
            </w:r>
          </w:p>
        </w:tc>
      </w:tr>
      <w:tr w14:paraId="47808CE7">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5E6BB61C">
            <w:pPr>
              <w:adjustRightInd w:val="0"/>
              <w:spacing w:line="300" w:lineRule="exact"/>
              <w:jc w:val="center"/>
              <w:rPr>
                <w:rFonts w:ascii="Times New Roman" w:eastAsia="宋体"/>
                <w:color w:val="FF0000"/>
                <w:sz w:val="21"/>
                <w:szCs w:val="21"/>
              </w:rPr>
            </w:pPr>
          </w:p>
        </w:tc>
        <w:tc>
          <w:tcPr>
            <w:tcW w:w="588" w:type="pct"/>
            <w:vAlign w:val="center"/>
          </w:tcPr>
          <w:p w14:paraId="02A422C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曙光王庄</w:t>
            </w:r>
          </w:p>
        </w:tc>
        <w:tc>
          <w:tcPr>
            <w:tcW w:w="565" w:type="pct"/>
            <w:vAlign w:val="center"/>
          </w:tcPr>
          <w:p w14:paraId="33D6842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118.7301</w:t>
            </w:r>
          </w:p>
        </w:tc>
        <w:tc>
          <w:tcPr>
            <w:tcW w:w="506" w:type="pct"/>
            <w:vAlign w:val="center"/>
          </w:tcPr>
          <w:p w14:paraId="62B5291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33.8937</w:t>
            </w:r>
          </w:p>
        </w:tc>
        <w:tc>
          <w:tcPr>
            <w:tcW w:w="484" w:type="pct"/>
            <w:vAlign w:val="center"/>
          </w:tcPr>
          <w:p w14:paraId="60673723">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44CD94A8">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2AE79091">
            <w:pPr>
              <w:spacing w:line="300" w:lineRule="exact"/>
              <w:jc w:val="center"/>
              <w:rPr>
                <w:rFonts w:ascii="Times New Roman" w:eastAsia="宋体"/>
                <w:color w:val="FF0000"/>
                <w:sz w:val="21"/>
                <w:szCs w:val="21"/>
              </w:rPr>
            </w:pPr>
          </w:p>
        </w:tc>
        <w:tc>
          <w:tcPr>
            <w:tcW w:w="484" w:type="pct"/>
            <w:vAlign w:val="center"/>
          </w:tcPr>
          <w:p w14:paraId="11B8CBF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400</w:t>
            </w:r>
          </w:p>
        </w:tc>
        <w:tc>
          <w:tcPr>
            <w:tcW w:w="374" w:type="pct"/>
            <w:vAlign w:val="center"/>
          </w:tcPr>
          <w:p w14:paraId="754C1E58">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w:t>
            </w:r>
          </w:p>
        </w:tc>
        <w:tc>
          <w:tcPr>
            <w:tcW w:w="835" w:type="pct"/>
            <w:vAlign w:val="center"/>
          </w:tcPr>
          <w:p w14:paraId="191933A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1900</w:t>
            </w:r>
          </w:p>
        </w:tc>
      </w:tr>
      <w:tr w14:paraId="59958D2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5602F87D">
            <w:pPr>
              <w:adjustRightInd w:val="0"/>
              <w:spacing w:line="300" w:lineRule="exact"/>
              <w:jc w:val="center"/>
              <w:rPr>
                <w:rFonts w:ascii="Times New Roman" w:eastAsia="宋体"/>
                <w:color w:val="FF0000"/>
                <w:sz w:val="21"/>
                <w:szCs w:val="21"/>
              </w:rPr>
            </w:pPr>
          </w:p>
        </w:tc>
        <w:tc>
          <w:tcPr>
            <w:tcW w:w="588" w:type="pct"/>
            <w:vAlign w:val="center"/>
          </w:tcPr>
          <w:p w14:paraId="0A135135">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孙庄</w:t>
            </w:r>
          </w:p>
        </w:tc>
        <w:tc>
          <w:tcPr>
            <w:tcW w:w="565" w:type="pct"/>
            <w:vAlign w:val="center"/>
          </w:tcPr>
          <w:p w14:paraId="7D1D7FB3">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118.7342</w:t>
            </w:r>
          </w:p>
        </w:tc>
        <w:tc>
          <w:tcPr>
            <w:tcW w:w="506" w:type="pct"/>
            <w:vAlign w:val="center"/>
          </w:tcPr>
          <w:p w14:paraId="51348360">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33.8938</w:t>
            </w:r>
          </w:p>
        </w:tc>
        <w:tc>
          <w:tcPr>
            <w:tcW w:w="484" w:type="pct"/>
            <w:vAlign w:val="center"/>
          </w:tcPr>
          <w:p w14:paraId="652E229F">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3330C1CD">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7FE67FC8">
            <w:pPr>
              <w:spacing w:line="300" w:lineRule="exact"/>
              <w:jc w:val="center"/>
              <w:rPr>
                <w:rFonts w:ascii="Times New Roman" w:eastAsia="宋体"/>
                <w:color w:val="FF0000"/>
                <w:sz w:val="21"/>
                <w:szCs w:val="21"/>
              </w:rPr>
            </w:pPr>
          </w:p>
        </w:tc>
        <w:tc>
          <w:tcPr>
            <w:tcW w:w="484" w:type="pct"/>
            <w:vAlign w:val="center"/>
          </w:tcPr>
          <w:p w14:paraId="025CF3A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200</w:t>
            </w:r>
          </w:p>
        </w:tc>
        <w:tc>
          <w:tcPr>
            <w:tcW w:w="374" w:type="pct"/>
            <w:vAlign w:val="center"/>
          </w:tcPr>
          <w:p w14:paraId="28D6FC08">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w:t>
            </w:r>
          </w:p>
        </w:tc>
        <w:tc>
          <w:tcPr>
            <w:tcW w:w="835" w:type="pct"/>
            <w:vAlign w:val="center"/>
          </w:tcPr>
          <w:p w14:paraId="5B7B9EF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2310</w:t>
            </w:r>
          </w:p>
        </w:tc>
      </w:tr>
      <w:tr w14:paraId="7FC14CC0">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43E04182">
            <w:pPr>
              <w:adjustRightInd w:val="0"/>
              <w:spacing w:line="300" w:lineRule="exact"/>
              <w:jc w:val="center"/>
              <w:rPr>
                <w:rFonts w:ascii="Times New Roman" w:eastAsia="宋体"/>
                <w:color w:val="FF0000"/>
                <w:sz w:val="21"/>
                <w:szCs w:val="21"/>
              </w:rPr>
            </w:pPr>
          </w:p>
        </w:tc>
        <w:tc>
          <w:tcPr>
            <w:tcW w:w="588" w:type="pct"/>
            <w:vAlign w:val="center"/>
          </w:tcPr>
          <w:p w14:paraId="782B9C5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黄庄</w:t>
            </w:r>
          </w:p>
        </w:tc>
        <w:tc>
          <w:tcPr>
            <w:tcW w:w="565" w:type="pct"/>
            <w:vAlign w:val="center"/>
          </w:tcPr>
          <w:p w14:paraId="399C8BA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118.7156</w:t>
            </w:r>
          </w:p>
        </w:tc>
        <w:tc>
          <w:tcPr>
            <w:tcW w:w="506" w:type="pct"/>
            <w:vAlign w:val="center"/>
          </w:tcPr>
          <w:p w14:paraId="0D7FBFCF">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33.8871</w:t>
            </w:r>
          </w:p>
        </w:tc>
        <w:tc>
          <w:tcPr>
            <w:tcW w:w="484" w:type="pct"/>
            <w:vAlign w:val="center"/>
          </w:tcPr>
          <w:p w14:paraId="60E93C59">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32F18D19">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741659CA">
            <w:pPr>
              <w:spacing w:line="300" w:lineRule="exact"/>
              <w:jc w:val="center"/>
              <w:rPr>
                <w:rFonts w:ascii="Times New Roman" w:eastAsia="宋体"/>
                <w:color w:val="FF0000"/>
                <w:sz w:val="21"/>
                <w:szCs w:val="21"/>
              </w:rPr>
            </w:pPr>
          </w:p>
        </w:tc>
        <w:tc>
          <w:tcPr>
            <w:tcW w:w="484" w:type="pct"/>
            <w:vAlign w:val="center"/>
          </w:tcPr>
          <w:p w14:paraId="5D6C3AF5">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450</w:t>
            </w:r>
          </w:p>
        </w:tc>
        <w:tc>
          <w:tcPr>
            <w:tcW w:w="374" w:type="pct"/>
            <w:vAlign w:val="center"/>
          </w:tcPr>
          <w:p w14:paraId="1841133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东南</w:t>
            </w:r>
          </w:p>
        </w:tc>
        <w:tc>
          <w:tcPr>
            <w:tcW w:w="835" w:type="pct"/>
            <w:vAlign w:val="center"/>
          </w:tcPr>
          <w:p w14:paraId="5AD94318">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700</w:t>
            </w:r>
          </w:p>
        </w:tc>
      </w:tr>
      <w:tr w14:paraId="7078EE90">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2F5A78ED">
            <w:pPr>
              <w:adjustRightInd w:val="0"/>
              <w:spacing w:line="300" w:lineRule="exact"/>
              <w:jc w:val="center"/>
              <w:rPr>
                <w:rFonts w:ascii="Times New Roman" w:eastAsia="宋体"/>
                <w:color w:val="FF0000"/>
                <w:sz w:val="21"/>
                <w:szCs w:val="21"/>
              </w:rPr>
            </w:pPr>
          </w:p>
        </w:tc>
        <w:tc>
          <w:tcPr>
            <w:tcW w:w="588" w:type="pct"/>
            <w:vAlign w:val="center"/>
          </w:tcPr>
          <w:p w14:paraId="54C30E9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花园庄</w:t>
            </w:r>
          </w:p>
        </w:tc>
        <w:tc>
          <w:tcPr>
            <w:tcW w:w="565" w:type="pct"/>
            <w:vAlign w:val="center"/>
          </w:tcPr>
          <w:p w14:paraId="7B158605">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118.7243</w:t>
            </w:r>
          </w:p>
        </w:tc>
        <w:tc>
          <w:tcPr>
            <w:tcW w:w="506" w:type="pct"/>
            <w:vAlign w:val="center"/>
          </w:tcPr>
          <w:p w14:paraId="1EA035B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33.8823</w:t>
            </w:r>
          </w:p>
        </w:tc>
        <w:tc>
          <w:tcPr>
            <w:tcW w:w="484" w:type="pct"/>
            <w:vAlign w:val="center"/>
          </w:tcPr>
          <w:p w14:paraId="37C379A5">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2E8A6A73">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0E593EB4">
            <w:pPr>
              <w:spacing w:line="300" w:lineRule="exact"/>
              <w:jc w:val="center"/>
              <w:rPr>
                <w:rFonts w:ascii="Times New Roman" w:eastAsia="宋体"/>
                <w:color w:val="FF0000"/>
                <w:sz w:val="21"/>
                <w:szCs w:val="21"/>
              </w:rPr>
            </w:pPr>
          </w:p>
        </w:tc>
        <w:tc>
          <w:tcPr>
            <w:tcW w:w="484" w:type="pct"/>
            <w:vAlign w:val="center"/>
          </w:tcPr>
          <w:p w14:paraId="051E0D86">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750</w:t>
            </w:r>
          </w:p>
        </w:tc>
        <w:tc>
          <w:tcPr>
            <w:tcW w:w="374" w:type="pct"/>
            <w:vAlign w:val="center"/>
          </w:tcPr>
          <w:p w14:paraId="6A5DCCB6">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东南</w:t>
            </w:r>
          </w:p>
        </w:tc>
        <w:tc>
          <w:tcPr>
            <w:tcW w:w="835" w:type="pct"/>
            <w:vAlign w:val="center"/>
          </w:tcPr>
          <w:p w14:paraId="6618C79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1600</w:t>
            </w:r>
          </w:p>
        </w:tc>
      </w:tr>
      <w:tr w14:paraId="5EC3196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52C9687D">
            <w:pPr>
              <w:adjustRightInd w:val="0"/>
              <w:spacing w:line="300" w:lineRule="exact"/>
              <w:jc w:val="center"/>
              <w:rPr>
                <w:rFonts w:ascii="Times New Roman" w:eastAsia="宋体"/>
                <w:color w:val="FF0000"/>
                <w:sz w:val="21"/>
                <w:szCs w:val="21"/>
              </w:rPr>
            </w:pPr>
          </w:p>
        </w:tc>
        <w:tc>
          <w:tcPr>
            <w:tcW w:w="588" w:type="pct"/>
            <w:vAlign w:val="center"/>
          </w:tcPr>
          <w:p w14:paraId="10939C2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赵庄村</w:t>
            </w:r>
          </w:p>
        </w:tc>
        <w:tc>
          <w:tcPr>
            <w:tcW w:w="565" w:type="pct"/>
            <w:vAlign w:val="center"/>
          </w:tcPr>
          <w:p w14:paraId="70438E10">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118.7297</w:t>
            </w:r>
          </w:p>
        </w:tc>
        <w:tc>
          <w:tcPr>
            <w:tcW w:w="506" w:type="pct"/>
            <w:vAlign w:val="center"/>
          </w:tcPr>
          <w:p w14:paraId="7744103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33.8826</w:t>
            </w:r>
          </w:p>
        </w:tc>
        <w:tc>
          <w:tcPr>
            <w:tcW w:w="484" w:type="pct"/>
            <w:vAlign w:val="center"/>
          </w:tcPr>
          <w:p w14:paraId="08A1E849">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0944D0D1">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410FB823">
            <w:pPr>
              <w:spacing w:line="300" w:lineRule="exact"/>
              <w:jc w:val="center"/>
              <w:rPr>
                <w:rFonts w:ascii="Times New Roman" w:eastAsia="宋体"/>
                <w:color w:val="FF0000"/>
                <w:sz w:val="21"/>
                <w:szCs w:val="21"/>
              </w:rPr>
            </w:pPr>
          </w:p>
        </w:tc>
        <w:tc>
          <w:tcPr>
            <w:tcW w:w="484" w:type="pct"/>
            <w:vAlign w:val="center"/>
          </w:tcPr>
          <w:p w14:paraId="3361E48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550</w:t>
            </w:r>
          </w:p>
        </w:tc>
        <w:tc>
          <w:tcPr>
            <w:tcW w:w="374" w:type="pct"/>
            <w:vAlign w:val="center"/>
          </w:tcPr>
          <w:p w14:paraId="5FA2318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东南</w:t>
            </w:r>
          </w:p>
        </w:tc>
        <w:tc>
          <w:tcPr>
            <w:tcW w:w="835" w:type="pct"/>
            <w:vAlign w:val="center"/>
          </w:tcPr>
          <w:p w14:paraId="24BF043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2150</w:t>
            </w:r>
          </w:p>
        </w:tc>
      </w:tr>
      <w:tr w14:paraId="17887F95">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30ED8AE3">
            <w:pPr>
              <w:adjustRightInd w:val="0"/>
              <w:spacing w:line="300" w:lineRule="exact"/>
              <w:jc w:val="center"/>
              <w:rPr>
                <w:rFonts w:ascii="Times New Roman" w:eastAsia="宋体"/>
                <w:color w:val="FF0000"/>
                <w:sz w:val="21"/>
                <w:szCs w:val="21"/>
              </w:rPr>
            </w:pPr>
          </w:p>
        </w:tc>
        <w:tc>
          <w:tcPr>
            <w:tcW w:w="588" w:type="pct"/>
            <w:vAlign w:val="center"/>
          </w:tcPr>
          <w:p w14:paraId="5C6C17A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徐庄村</w:t>
            </w:r>
          </w:p>
        </w:tc>
        <w:tc>
          <w:tcPr>
            <w:tcW w:w="565" w:type="pct"/>
            <w:vAlign w:val="center"/>
          </w:tcPr>
          <w:p w14:paraId="328E23A2">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118.7334</w:t>
            </w:r>
          </w:p>
        </w:tc>
        <w:tc>
          <w:tcPr>
            <w:tcW w:w="506" w:type="pct"/>
            <w:vAlign w:val="center"/>
          </w:tcPr>
          <w:p w14:paraId="6DD0FEF4">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33.8761</w:t>
            </w:r>
          </w:p>
        </w:tc>
        <w:tc>
          <w:tcPr>
            <w:tcW w:w="484" w:type="pct"/>
            <w:vAlign w:val="center"/>
          </w:tcPr>
          <w:p w14:paraId="515989B7">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6AAE1776">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30966628">
            <w:pPr>
              <w:spacing w:line="300" w:lineRule="exact"/>
              <w:jc w:val="center"/>
              <w:rPr>
                <w:rFonts w:ascii="Times New Roman" w:eastAsia="宋体"/>
                <w:color w:val="FF0000"/>
                <w:sz w:val="21"/>
                <w:szCs w:val="21"/>
              </w:rPr>
            </w:pPr>
          </w:p>
        </w:tc>
        <w:tc>
          <w:tcPr>
            <w:tcW w:w="484" w:type="pct"/>
            <w:vAlign w:val="center"/>
          </w:tcPr>
          <w:p w14:paraId="1DF46F8F">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800</w:t>
            </w:r>
          </w:p>
        </w:tc>
        <w:tc>
          <w:tcPr>
            <w:tcW w:w="374" w:type="pct"/>
            <w:vAlign w:val="center"/>
          </w:tcPr>
          <w:p w14:paraId="20334973">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东南</w:t>
            </w:r>
          </w:p>
        </w:tc>
        <w:tc>
          <w:tcPr>
            <w:tcW w:w="835" w:type="pct"/>
            <w:vAlign w:val="center"/>
          </w:tcPr>
          <w:p w14:paraId="5793B74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2500</w:t>
            </w:r>
          </w:p>
        </w:tc>
      </w:tr>
      <w:tr w14:paraId="4E6EA465">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1E3318BA">
            <w:pPr>
              <w:adjustRightInd w:val="0"/>
              <w:spacing w:line="300" w:lineRule="exact"/>
              <w:jc w:val="center"/>
              <w:rPr>
                <w:rFonts w:ascii="Times New Roman" w:eastAsia="宋体"/>
                <w:color w:val="FF0000"/>
                <w:sz w:val="21"/>
                <w:szCs w:val="21"/>
              </w:rPr>
            </w:pPr>
          </w:p>
        </w:tc>
        <w:tc>
          <w:tcPr>
            <w:tcW w:w="588" w:type="pct"/>
            <w:vAlign w:val="center"/>
          </w:tcPr>
          <w:p w14:paraId="081D086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姚庄</w:t>
            </w:r>
          </w:p>
        </w:tc>
        <w:tc>
          <w:tcPr>
            <w:tcW w:w="565" w:type="pct"/>
            <w:vAlign w:val="center"/>
          </w:tcPr>
          <w:p w14:paraId="4A490704">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118.7152</w:t>
            </w:r>
          </w:p>
        </w:tc>
        <w:tc>
          <w:tcPr>
            <w:tcW w:w="506" w:type="pct"/>
            <w:vAlign w:val="center"/>
          </w:tcPr>
          <w:p w14:paraId="4873D34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33.8823</w:t>
            </w:r>
          </w:p>
        </w:tc>
        <w:tc>
          <w:tcPr>
            <w:tcW w:w="484" w:type="pct"/>
            <w:vAlign w:val="center"/>
          </w:tcPr>
          <w:p w14:paraId="329C11E6">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02C41B87">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0487DC92">
            <w:pPr>
              <w:spacing w:line="300" w:lineRule="exact"/>
              <w:jc w:val="center"/>
              <w:rPr>
                <w:rFonts w:ascii="Times New Roman" w:eastAsia="宋体"/>
                <w:color w:val="FF0000"/>
                <w:sz w:val="21"/>
                <w:szCs w:val="21"/>
              </w:rPr>
            </w:pPr>
          </w:p>
        </w:tc>
        <w:tc>
          <w:tcPr>
            <w:tcW w:w="484" w:type="pct"/>
            <w:vAlign w:val="center"/>
          </w:tcPr>
          <w:p w14:paraId="7E9F3F8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180</w:t>
            </w:r>
          </w:p>
        </w:tc>
        <w:tc>
          <w:tcPr>
            <w:tcW w:w="374" w:type="pct"/>
            <w:vAlign w:val="center"/>
          </w:tcPr>
          <w:p w14:paraId="04DBCD8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东南</w:t>
            </w:r>
          </w:p>
        </w:tc>
        <w:tc>
          <w:tcPr>
            <w:tcW w:w="835" w:type="pct"/>
            <w:vAlign w:val="center"/>
          </w:tcPr>
          <w:p w14:paraId="7D7E364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1200</w:t>
            </w:r>
          </w:p>
        </w:tc>
      </w:tr>
      <w:tr w14:paraId="6AAA52F5">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26A0AA46">
            <w:pPr>
              <w:adjustRightInd w:val="0"/>
              <w:spacing w:line="300" w:lineRule="exact"/>
              <w:jc w:val="center"/>
              <w:rPr>
                <w:rFonts w:ascii="Times New Roman" w:eastAsia="宋体"/>
                <w:color w:val="FF0000"/>
                <w:sz w:val="21"/>
                <w:szCs w:val="21"/>
              </w:rPr>
            </w:pPr>
          </w:p>
        </w:tc>
        <w:tc>
          <w:tcPr>
            <w:tcW w:w="588" w:type="pct"/>
            <w:vAlign w:val="center"/>
          </w:tcPr>
          <w:p w14:paraId="5E4FED24">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前张庄</w:t>
            </w:r>
          </w:p>
        </w:tc>
        <w:tc>
          <w:tcPr>
            <w:tcW w:w="565" w:type="pct"/>
            <w:vAlign w:val="center"/>
          </w:tcPr>
          <w:p w14:paraId="11718A76">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118.7187</w:t>
            </w:r>
          </w:p>
        </w:tc>
        <w:tc>
          <w:tcPr>
            <w:tcW w:w="506" w:type="pct"/>
            <w:vAlign w:val="center"/>
          </w:tcPr>
          <w:p w14:paraId="506A83C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33.8763</w:t>
            </w:r>
          </w:p>
        </w:tc>
        <w:tc>
          <w:tcPr>
            <w:tcW w:w="484" w:type="pct"/>
            <w:vAlign w:val="center"/>
          </w:tcPr>
          <w:p w14:paraId="2B51CCE5">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16A6ABEF">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4132D13F">
            <w:pPr>
              <w:spacing w:line="300" w:lineRule="exact"/>
              <w:jc w:val="center"/>
              <w:rPr>
                <w:rFonts w:ascii="Times New Roman" w:eastAsia="宋体"/>
                <w:color w:val="FF0000"/>
                <w:sz w:val="21"/>
                <w:szCs w:val="21"/>
              </w:rPr>
            </w:pPr>
          </w:p>
        </w:tc>
        <w:tc>
          <w:tcPr>
            <w:tcW w:w="484" w:type="pct"/>
            <w:vAlign w:val="center"/>
          </w:tcPr>
          <w:p w14:paraId="6A53039F">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300</w:t>
            </w:r>
          </w:p>
        </w:tc>
        <w:tc>
          <w:tcPr>
            <w:tcW w:w="374" w:type="pct"/>
            <w:vAlign w:val="center"/>
          </w:tcPr>
          <w:p w14:paraId="1ADB99A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东南</w:t>
            </w:r>
          </w:p>
        </w:tc>
        <w:tc>
          <w:tcPr>
            <w:tcW w:w="835" w:type="pct"/>
            <w:vAlign w:val="center"/>
          </w:tcPr>
          <w:p w14:paraId="3E8F98C3">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2100</w:t>
            </w:r>
          </w:p>
        </w:tc>
      </w:tr>
      <w:tr w14:paraId="2E274DEB">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6459DBB8">
            <w:pPr>
              <w:adjustRightInd w:val="0"/>
              <w:spacing w:line="300" w:lineRule="exact"/>
              <w:jc w:val="center"/>
              <w:rPr>
                <w:rFonts w:ascii="Times New Roman" w:eastAsia="宋体"/>
                <w:color w:val="FF0000"/>
                <w:sz w:val="21"/>
                <w:szCs w:val="21"/>
              </w:rPr>
            </w:pPr>
          </w:p>
        </w:tc>
        <w:tc>
          <w:tcPr>
            <w:tcW w:w="588" w:type="pct"/>
            <w:vAlign w:val="center"/>
          </w:tcPr>
          <w:p w14:paraId="087D35C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王葛</w:t>
            </w:r>
          </w:p>
        </w:tc>
        <w:tc>
          <w:tcPr>
            <w:tcW w:w="565" w:type="pct"/>
            <w:vAlign w:val="center"/>
          </w:tcPr>
          <w:p w14:paraId="3D8E1793">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118.7153</w:t>
            </w:r>
          </w:p>
        </w:tc>
        <w:tc>
          <w:tcPr>
            <w:tcW w:w="506" w:type="pct"/>
            <w:vAlign w:val="center"/>
          </w:tcPr>
          <w:p w14:paraId="4CAEBBF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33.8775</w:t>
            </w:r>
          </w:p>
        </w:tc>
        <w:tc>
          <w:tcPr>
            <w:tcW w:w="484" w:type="pct"/>
            <w:vAlign w:val="center"/>
          </w:tcPr>
          <w:p w14:paraId="227C1374">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2EC5FD3B">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71A64E4B">
            <w:pPr>
              <w:spacing w:line="300" w:lineRule="exact"/>
              <w:jc w:val="center"/>
              <w:rPr>
                <w:rFonts w:ascii="Times New Roman" w:eastAsia="宋体"/>
                <w:color w:val="FF0000"/>
                <w:sz w:val="21"/>
                <w:szCs w:val="21"/>
              </w:rPr>
            </w:pPr>
          </w:p>
        </w:tc>
        <w:tc>
          <w:tcPr>
            <w:tcW w:w="484" w:type="pct"/>
            <w:vAlign w:val="center"/>
          </w:tcPr>
          <w:p w14:paraId="3FA0C3C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130</w:t>
            </w:r>
          </w:p>
        </w:tc>
        <w:tc>
          <w:tcPr>
            <w:tcW w:w="374" w:type="pct"/>
            <w:vAlign w:val="center"/>
          </w:tcPr>
          <w:p w14:paraId="634D713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东南</w:t>
            </w:r>
          </w:p>
        </w:tc>
        <w:tc>
          <w:tcPr>
            <w:tcW w:w="835" w:type="pct"/>
            <w:vAlign w:val="center"/>
          </w:tcPr>
          <w:p w14:paraId="01FC9186">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1700</w:t>
            </w:r>
          </w:p>
        </w:tc>
      </w:tr>
      <w:tr w14:paraId="00EA49A0">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133EBDDD">
            <w:pPr>
              <w:adjustRightInd w:val="0"/>
              <w:spacing w:line="300" w:lineRule="exact"/>
              <w:jc w:val="center"/>
              <w:rPr>
                <w:rFonts w:ascii="Times New Roman" w:eastAsia="宋体"/>
                <w:color w:val="FF0000"/>
                <w:sz w:val="21"/>
                <w:szCs w:val="21"/>
              </w:rPr>
            </w:pPr>
          </w:p>
        </w:tc>
        <w:tc>
          <w:tcPr>
            <w:tcW w:w="588" w:type="pct"/>
            <w:vAlign w:val="center"/>
          </w:tcPr>
          <w:p w14:paraId="3A615E85">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汤庄</w:t>
            </w:r>
          </w:p>
        </w:tc>
        <w:tc>
          <w:tcPr>
            <w:tcW w:w="565" w:type="pct"/>
            <w:vAlign w:val="center"/>
          </w:tcPr>
          <w:p w14:paraId="5D006025">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118.7146</w:t>
            </w:r>
          </w:p>
        </w:tc>
        <w:tc>
          <w:tcPr>
            <w:tcW w:w="506" w:type="pct"/>
            <w:vAlign w:val="center"/>
          </w:tcPr>
          <w:p w14:paraId="46CFF31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33.8701</w:t>
            </w:r>
          </w:p>
        </w:tc>
        <w:tc>
          <w:tcPr>
            <w:tcW w:w="484" w:type="pct"/>
            <w:vAlign w:val="center"/>
          </w:tcPr>
          <w:p w14:paraId="19C3435A">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449D8AF3">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160EC8DD">
            <w:pPr>
              <w:spacing w:line="300" w:lineRule="exact"/>
              <w:jc w:val="center"/>
              <w:rPr>
                <w:rFonts w:ascii="Times New Roman" w:eastAsia="宋体"/>
                <w:color w:val="FF0000"/>
                <w:sz w:val="21"/>
                <w:szCs w:val="21"/>
              </w:rPr>
            </w:pPr>
          </w:p>
        </w:tc>
        <w:tc>
          <w:tcPr>
            <w:tcW w:w="484" w:type="pct"/>
            <w:vAlign w:val="center"/>
          </w:tcPr>
          <w:p w14:paraId="1AEE365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160</w:t>
            </w:r>
          </w:p>
        </w:tc>
        <w:tc>
          <w:tcPr>
            <w:tcW w:w="374" w:type="pct"/>
            <w:vAlign w:val="center"/>
          </w:tcPr>
          <w:p w14:paraId="07B9B85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东南</w:t>
            </w:r>
          </w:p>
        </w:tc>
        <w:tc>
          <w:tcPr>
            <w:tcW w:w="835" w:type="pct"/>
            <w:vAlign w:val="center"/>
          </w:tcPr>
          <w:p w14:paraId="07B361D0">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2500</w:t>
            </w:r>
          </w:p>
        </w:tc>
      </w:tr>
      <w:tr w14:paraId="7904555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088277DB">
            <w:pPr>
              <w:adjustRightInd w:val="0"/>
              <w:spacing w:line="300" w:lineRule="exact"/>
              <w:jc w:val="center"/>
              <w:rPr>
                <w:rFonts w:ascii="Times New Roman" w:eastAsia="宋体"/>
                <w:color w:val="FF0000"/>
                <w:sz w:val="21"/>
                <w:szCs w:val="21"/>
              </w:rPr>
            </w:pPr>
          </w:p>
        </w:tc>
        <w:tc>
          <w:tcPr>
            <w:tcW w:w="588" w:type="pct"/>
            <w:vAlign w:val="center"/>
          </w:tcPr>
          <w:p w14:paraId="3544F87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油坊庄</w:t>
            </w:r>
          </w:p>
        </w:tc>
        <w:tc>
          <w:tcPr>
            <w:tcW w:w="565" w:type="pct"/>
            <w:vAlign w:val="center"/>
          </w:tcPr>
          <w:p w14:paraId="70236D0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118.7048</w:t>
            </w:r>
          </w:p>
        </w:tc>
        <w:tc>
          <w:tcPr>
            <w:tcW w:w="506" w:type="pct"/>
            <w:vAlign w:val="center"/>
          </w:tcPr>
          <w:p w14:paraId="4847C2B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33.8893</w:t>
            </w:r>
          </w:p>
        </w:tc>
        <w:tc>
          <w:tcPr>
            <w:tcW w:w="484" w:type="pct"/>
            <w:vAlign w:val="center"/>
          </w:tcPr>
          <w:p w14:paraId="053C5FF0">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29E0FDA7">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0D9EEC69">
            <w:pPr>
              <w:spacing w:line="300" w:lineRule="exact"/>
              <w:jc w:val="center"/>
              <w:rPr>
                <w:rFonts w:ascii="Times New Roman" w:eastAsia="宋体"/>
                <w:color w:val="FF0000"/>
                <w:sz w:val="21"/>
                <w:szCs w:val="21"/>
              </w:rPr>
            </w:pPr>
          </w:p>
        </w:tc>
        <w:tc>
          <w:tcPr>
            <w:tcW w:w="484" w:type="pct"/>
            <w:vAlign w:val="center"/>
          </w:tcPr>
          <w:p w14:paraId="5AFDD940">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650</w:t>
            </w:r>
          </w:p>
        </w:tc>
        <w:tc>
          <w:tcPr>
            <w:tcW w:w="374" w:type="pct"/>
            <w:vAlign w:val="center"/>
          </w:tcPr>
          <w:p w14:paraId="3B673C3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西南</w:t>
            </w:r>
          </w:p>
        </w:tc>
        <w:tc>
          <w:tcPr>
            <w:tcW w:w="835" w:type="pct"/>
            <w:vAlign w:val="center"/>
          </w:tcPr>
          <w:p w14:paraId="73078E2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sz w:val="21"/>
                <w:szCs w:val="21"/>
                <w:lang w:val="en-US" w:eastAsia="zh-CN"/>
              </w:rPr>
              <w:t>190</w:t>
            </w:r>
            <w:r>
              <w:rPr>
                <w:rFonts w:hint="eastAsia" w:ascii="Times New Roman" w:eastAsia="宋体"/>
                <w:sz w:val="21"/>
                <w:szCs w:val="21"/>
                <w:lang w:eastAsia="zh-CN"/>
              </w:rPr>
              <w:t>（</w:t>
            </w:r>
            <w:r>
              <w:rPr>
                <w:rFonts w:hint="eastAsia" w:ascii="Times New Roman" w:eastAsia="宋体"/>
                <w:sz w:val="21"/>
                <w:szCs w:val="21"/>
                <w:lang w:val="en-US" w:eastAsia="zh-CN"/>
              </w:rPr>
              <w:t>厂界</w:t>
            </w:r>
            <w:r>
              <w:rPr>
                <w:rFonts w:hint="eastAsia" w:ascii="Times New Roman" w:eastAsia="宋体"/>
                <w:sz w:val="21"/>
                <w:szCs w:val="21"/>
                <w:lang w:eastAsia="zh-CN"/>
              </w:rPr>
              <w:t>）</w:t>
            </w:r>
            <w:r>
              <w:rPr>
                <w:rFonts w:hint="eastAsia" w:ascii="Times New Roman" w:eastAsia="宋体"/>
                <w:sz w:val="21"/>
                <w:szCs w:val="21"/>
                <w:lang w:val="en-US" w:eastAsia="zh-CN"/>
              </w:rPr>
              <w:t>/245（本项目边界）</w:t>
            </w:r>
          </w:p>
        </w:tc>
      </w:tr>
      <w:tr w14:paraId="55DC7D1F">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361516DB">
            <w:pPr>
              <w:adjustRightInd w:val="0"/>
              <w:spacing w:line="300" w:lineRule="exact"/>
              <w:jc w:val="center"/>
              <w:rPr>
                <w:rFonts w:ascii="Times New Roman" w:eastAsia="宋体"/>
                <w:color w:val="FF0000"/>
                <w:sz w:val="21"/>
                <w:szCs w:val="21"/>
              </w:rPr>
            </w:pPr>
          </w:p>
        </w:tc>
        <w:tc>
          <w:tcPr>
            <w:tcW w:w="588" w:type="pct"/>
            <w:vAlign w:val="center"/>
          </w:tcPr>
          <w:p w14:paraId="7B59221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源盛庄</w:t>
            </w:r>
          </w:p>
        </w:tc>
        <w:tc>
          <w:tcPr>
            <w:tcW w:w="565" w:type="pct"/>
            <w:vAlign w:val="center"/>
          </w:tcPr>
          <w:p w14:paraId="2C640C8F">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118.7045</w:t>
            </w:r>
          </w:p>
        </w:tc>
        <w:tc>
          <w:tcPr>
            <w:tcW w:w="506" w:type="pct"/>
            <w:vAlign w:val="center"/>
          </w:tcPr>
          <w:p w14:paraId="4CD86A5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33.8759</w:t>
            </w:r>
          </w:p>
        </w:tc>
        <w:tc>
          <w:tcPr>
            <w:tcW w:w="484" w:type="pct"/>
            <w:vAlign w:val="center"/>
          </w:tcPr>
          <w:p w14:paraId="6FCE6025">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75CC2668">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793D60F2">
            <w:pPr>
              <w:spacing w:line="300" w:lineRule="exact"/>
              <w:jc w:val="center"/>
              <w:rPr>
                <w:rFonts w:ascii="Times New Roman" w:eastAsia="宋体"/>
                <w:color w:val="FF0000"/>
                <w:sz w:val="21"/>
                <w:szCs w:val="21"/>
              </w:rPr>
            </w:pPr>
          </w:p>
        </w:tc>
        <w:tc>
          <w:tcPr>
            <w:tcW w:w="484" w:type="pct"/>
            <w:vAlign w:val="center"/>
          </w:tcPr>
          <w:p w14:paraId="12AE8D2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280</w:t>
            </w:r>
          </w:p>
        </w:tc>
        <w:tc>
          <w:tcPr>
            <w:tcW w:w="374" w:type="pct"/>
            <w:vAlign w:val="center"/>
          </w:tcPr>
          <w:p w14:paraId="31A0D9C0">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南</w:t>
            </w:r>
          </w:p>
        </w:tc>
        <w:tc>
          <w:tcPr>
            <w:tcW w:w="835" w:type="pct"/>
            <w:vAlign w:val="center"/>
          </w:tcPr>
          <w:p w14:paraId="12680C3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1650</w:t>
            </w:r>
          </w:p>
        </w:tc>
      </w:tr>
      <w:tr w14:paraId="3E3E6519">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2FD702D8">
            <w:pPr>
              <w:adjustRightInd w:val="0"/>
              <w:spacing w:line="300" w:lineRule="exact"/>
              <w:jc w:val="center"/>
              <w:rPr>
                <w:rFonts w:ascii="Times New Roman" w:eastAsia="宋体"/>
                <w:color w:val="FF0000"/>
                <w:sz w:val="21"/>
                <w:szCs w:val="21"/>
              </w:rPr>
            </w:pPr>
          </w:p>
        </w:tc>
        <w:tc>
          <w:tcPr>
            <w:tcW w:w="588" w:type="pct"/>
            <w:vAlign w:val="center"/>
          </w:tcPr>
          <w:p w14:paraId="5E3D9C6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大元民族村</w:t>
            </w:r>
          </w:p>
        </w:tc>
        <w:tc>
          <w:tcPr>
            <w:tcW w:w="565" w:type="pct"/>
            <w:vAlign w:val="center"/>
          </w:tcPr>
          <w:p w14:paraId="2CD86E56">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118.7062</w:t>
            </w:r>
          </w:p>
        </w:tc>
        <w:tc>
          <w:tcPr>
            <w:tcW w:w="506" w:type="pct"/>
            <w:vAlign w:val="center"/>
          </w:tcPr>
          <w:p w14:paraId="488C5A5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33.8735</w:t>
            </w:r>
          </w:p>
        </w:tc>
        <w:tc>
          <w:tcPr>
            <w:tcW w:w="484" w:type="pct"/>
            <w:vAlign w:val="center"/>
          </w:tcPr>
          <w:p w14:paraId="490CA02D">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5384E8FB">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36E4A4CC">
            <w:pPr>
              <w:spacing w:line="300" w:lineRule="exact"/>
              <w:jc w:val="center"/>
              <w:rPr>
                <w:rFonts w:ascii="Times New Roman" w:eastAsia="宋体"/>
                <w:color w:val="FF0000"/>
                <w:sz w:val="21"/>
                <w:szCs w:val="21"/>
              </w:rPr>
            </w:pPr>
          </w:p>
        </w:tc>
        <w:tc>
          <w:tcPr>
            <w:tcW w:w="484" w:type="pct"/>
            <w:vAlign w:val="center"/>
          </w:tcPr>
          <w:p w14:paraId="08D1222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120</w:t>
            </w:r>
          </w:p>
        </w:tc>
        <w:tc>
          <w:tcPr>
            <w:tcW w:w="374" w:type="pct"/>
            <w:vAlign w:val="center"/>
          </w:tcPr>
          <w:p w14:paraId="52C16A9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南</w:t>
            </w:r>
          </w:p>
        </w:tc>
        <w:tc>
          <w:tcPr>
            <w:tcW w:w="835" w:type="pct"/>
            <w:vAlign w:val="center"/>
          </w:tcPr>
          <w:p w14:paraId="3765696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2100</w:t>
            </w:r>
          </w:p>
        </w:tc>
      </w:tr>
      <w:tr w14:paraId="60E77B28">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3D64356D">
            <w:pPr>
              <w:adjustRightInd w:val="0"/>
              <w:spacing w:line="300" w:lineRule="exact"/>
              <w:jc w:val="center"/>
              <w:rPr>
                <w:rFonts w:ascii="Times New Roman" w:eastAsia="宋体"/>
                <w:color w:val="FF0000"/>
                <w:sz w:val="21"/>
                <w:szCs w:val="21"/>
              </w:rPr>
            </w:pPr>
          </w:p>
        </w:tc>
        <w:tc>
          <w:tcPr>
            <w:tcW w:w="588" w:type="pct"/>
            <w:vAlign w:val="center"/>
          </w:tcPr>
          <w:p w14:paraId="1BDAD6D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张腰庄</w:t>
            </w:r>
          </w:p>
        </w:tc>
        <w:tc>
          <w:tcPr>
            <w:tcW w:w="565" w:type="pct"/>
            <w:vAlign w:val="center"/>
          </w:tcPr>
          <w:p w14:paraId="5EBCDEA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118.6972</w:t>
            </w:r>
          </w:p>
        </w:tc>
        <w:tc>
          <w:tcPr>
            <w:tcW w:w="506" w:type="pct"/>
            <w:vAlign w:val="center"/>
          </w:tcPr>
          <w:p w14:paraId="015E8428">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33.8731</w:t>
            </w:r>
          </w:p>
        </w:tc>
        <w:tc>
          <w:tcPr>
            <w:tcW w:w="484" w:type="pct"/>
            <w:vAlign w:val="center"/>
          </w:tcPr>
          <w:p w14:paraId="34C52FA5">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5D3E78A7">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18A0C63C">
            <w:pPr>
              <w:spacing w:line="300" w:lineRule="exact"/>
              <w:jc w:val="center"/>
              <w:rPr>
                <w:rFonts w:ascii="Times New Roman" w:eastAsia="宋体"/>
                <w:color w:val="FF0000"/>
                <w:sz w:val="21"/>
                <w:szCs w:val="21"/>
              </w:rPr>
            </w:pPr>
          </w:p>
        </w:tc>
        <w:tc>
          <w:tcPr>
            <w:tcW w:w="484" w:type="pct"/>
            <w:vAlign w:val="center"/>
          </w:tcPr>
          <w:p w14:paraId="566D1F6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110</w:t>
            </w:r>
          </w:p>
        </w:tc>
        <w:tc>
          <w:tcPr>
            <w:tcW w:w="374" w:type="pct"/>
            <w:vAlign w:val="center"/>
          </w:tcPr>
          <w:p w14:paraId="4DCA7EA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西南</w:t>
            </w:r>
          </w:p>
        </w:tc>
        <w:tc>
          <w:tcPr>
            <w:tcW w:w="835" w:type="pct"/>
            <w:vAlign w:val="center"/>
          </w:tcPr>
          <w:p w14:paraId="49C195B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2200</w:t>
            </w:r>
          </w:p>
        </w:tc>
      </w:tr>
      <w:tr w14:paraId="2416C1E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0EBDFE4A">
            <w:pPr>
              <w:adjustRightInd w:val="0"/>
              <w:spacing w:line="300" w:lineRule="exact"/>
              <w:jc w:val="center"/>
              <w:rPr>
                <w:rFonts w:ascii="Times New Roman" w:eastAsia="宋体"/>
                <w:color w:val="FF0000"/>
                <w:sz w:val="21"/>
                <w:szCs w:val="21"/>
              </w:rPr>
            </w:pPr>
          </w:p>
        </w:tc>
        <w:tc>
          <w:tcPr>
            <w:tcW w:w="588" w:type="pct"/>
            <w:vAlign w:val="center"/>
          </w:tcPr>
          <w:p w14:paraId="61B9B04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张祠堂</w:t>
            </w:r>
          </w:p>
        </w:tc>
        <w:tc>
          <w:tcPr>
            <w:tcW w:w="565" w:type="pct"/>
            <w:vAlign w:val="center"/>
          </w:tcPr>
          <w:p w14:paraId="54D8AF7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118.6993</w:t>
            </w:r>
          </w:p>
        </w:tc>
        <w:tc>
          <w:tcPr>
            <w:tcW w:w="506" w:type="pct"/>
            <w:vAlign w:val="center"/>
          </w:tcPr>
          <w:p w14:paraId="0AD33E22">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33.8824</w:t>
            </w:r>
          </w:p>
        </w:tc>
        <w:tc>
          <w:tcPr>
            <w:tcW w:w="484" w:type="pct"/>
            <w:vAlign w:val="center"/>
          </w:tcPr>
          <w:p w14:paraId="18B7C1EE">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38C9254A">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66E91FF9">
            <w:pPr>
              <w:spacing w:line="300" w:lineRule="exact"/>
              <w:jc w:val="center"/>
              <w:rPr>
                <w:rFonts w:ascii="Times New Roman" w:eastAsia="宋体"/>
                <w:color w:val="FF0000"/>
                <w:sz w:val="21"/>
                <w:szCs w:val="21"/>
              </w:rPr>
            </w:pPr>
          </w:p>
        </w:tc>
        <w:tc>
          <w:tcPr>
            <w:tcW w:w="484" w:type="pct"/>
            <w:vAlign w:val="center"/>
          </w:tcPr>
          <w:p w14:paraId="6D26FD2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210</w:t>
            </w:r>
          </w:p>
        </w:tc>
        <w:tc>
          <w:tcPr>
            <w:tcW w:w="374" w:type="pct"/>
            <w:vAlign w:val="center"/>
          </w:tcPr>
          <w:p w14:paraId="7DA4C84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西南</w:t>
            </w:r>
          </w:p>
        </w:tc>
        <w:tc>
          <w:tcPr>
            <w:tcW w:w="835" w:type="pct"/>
            <w:vAlign w:val="center"/>
          </w:tcPr>
          <w:p w14:paraId="3733D45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1200</w:t>
            </w:r>
          </w:p>
        </w:tc>
      </w:tr>
      <w:tr w14:paraId="6B83A3B3">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4039DD5E">
            <w:pPr>
              <w:adjustRightInd w:val="0"/>
              <w:spacing w:line="300" w:lineRule="exact"/>
              <w:jc w:val="center"/>
              <w:rPr>
                <w:rFonts w:ascii="Times New Roman" w:eastAsia="宋体"/>
                <w:color w:val="FF0000"/>
                <w:sz w:val="21"/>
                <w:szCs w:val="21"/>
              </w:rPr>
            </w:pPr>
          </w:p>
        </w:tc>
        <w:tc>
          <w:tcPr>
            <w:tcW w:w="588" w:type="pct"/>
            <w:vAlign w:val="center"/>
          </w:tcPr>
          <w:p w14:paraId="42D7B85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张庄</w:t>
            </w:r>
          </w:p>
        </w:tc>
        <w:tc>
          <w:tcPr>
            <w:tcW w:w="565" w:type="pct"/>
            <w:vAlign w:val="center"/>
          </w:tcPr>
          <w:p w14:paraId="7892A75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118.6941</w:t>
            </w:r>
          </w:p>
        </w:tc>
        <w:tc>
          <w:tcPr>
            <w:tcW w:w="506" w:type="pct"/>
            <w:vAlign w:val="center"/>
          </w:tcPr>
          <w:p w14:paraId="118F580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33.8795</w:t>
            </w:r>
          </w:p>
        </w:tc>
        <w:tc>
          <w:tcPr>
            <w:tcW w:w="484" w:type="pct"/>
            <w:vAlign w:val="center"/>
          </w:tcPr>
          <w:p w14:paraId="7B428647">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59FAD310">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256B1209">
            <w:pPr>
              <w:spacing w:line="300" w:lineRule="exact"/>
              <w:jc w:val="center"/>
              <w:rPr>
                <w:rFonts w:ascii="Times New Roman" w:eastAsia="宋体"/>
                <w:color w:val="000000" w:themeColor="text1"/>
                <w:sz w:val="21"/>
                <w:szCs w:val="21"/>
                <w14:textFill>
                  <w14:solidFill>
                    <w14:schemeClr w14:val="tx1"/>
                  </w14:solidFill>
                </w14:textFill>
              </w:rPr>
            </w:pPr>
          </w:p>
        </w:tc>
        <w:tc>
          <w:tcPr>
            <w:tcW w:w="484" w:type="pct"/>
            <w:vAlign w:val="center"/>
          </w:tcPr>
          <w:p w14:paraId="4C89D023">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280</w:t>
            </w:r>
          </w:p>
        </w:tc>
        <w:tc>
          <w:tcPr>
            <w:tcW w:w="374" w:type="pct"/>
            <w:vAlign w:val="center"/>
          </w:tcPr>
          <w:p w14:paraId="005C88A4">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西南</w:t>
            </w:r>
          </w:p>
        </w:tc>
        <w:tc>
          <w:tcPr>
            <w:tcW w:w="835" w:type="pct"/>
            <w:vAlign w:val="center"/>
          </w:tcPr>
          <w:p w14:paraId="5537DFE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1700</w:t>
            </w:r>
          </w:p>
        </w:tc>
      </w:tr>
      <w:tr w14:paraId="288A706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147BAEA4">
            <w:pPr>
              <w:adjustRightInd w:val="0"/>
              <w:spacing w:line="300" w:lineRule="exact"/>
              <w:jc w:val="center"/>
              <w:rPr>
                <w:rFonts w:ascii="Times New Roman" w:eastAsia="宋体"/>
                <w:color w:val="FF0000"/>
                <w:sz w:val="21"/>
                <w:szCs w:val="21"/>
              </w:rPr>
            </w:pPr>
          </w:p>
        </w:tc>
        <w:tc>
          <w:tcPr>
            <w:tcW w:w="588" w:type="pct"/>
            <w:vAlign w:val="center"/>
          </w:tcPr>
          <w:p w14:paraId="426776A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向阳杜庄</w:t>
            </w:r>
          </w:p>
        </w:tc>
        <w:tc>
          <w:tcPr>
            <w:tcW w:w="565" w:type="pct"/>
            <w:vAlign w:val="center"/>
          </w:tcPr>
          <w:p w14:paraId="71E9711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118.6947</w:t>
            </w:r>
          </w:p>
        </w:tc>
        <w:tc>
          <w:tcPr>
            <w:tcW w:w="506" w:type="pct"/>
            <w:vAlign w:val="center"/>
          </w:tcPr>
          <w:p w14:paraId="5499CCFF">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33.8868</w:t>
            </w:r>
          </w:p>
        </w:tc>
        <w:tc>
          <w:tcPr>
            <w:tcW w:w="484" w:type="pct"/>
            <w:vAlign w:val="center"/>
          </w:tcPr>
          <w:p w14:paraId="0811FBAE">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1837E6D2">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55372E68">
            <w:pPr>
              <w:spacing w:line="300" w:lineRule="exact"/>
              <w:jc w:val="center"/>
              <w:rPr>
                <w:rFonts w:ascii="Times New Roman" w:eastAsia="宋体"/>
                <w:color w:val="000000" w:themeColor="text1"/>
                <w:sz w:val="21"/>
                <w:szCs w:val="21"/>
                <w14:textFill>
                  <w14:solidFill>
                    <w14:schemeClr w14:val="tx1"/>
                  </w14:solidFill>
                </w14:textFill>
              </w:rPr>
            </w:pPr>
          </w:p>
        </w:tc>
        <w:tc>
          <w:tcPr>
            <w:tcW w:w="484" w:type="pct"/>
            <w:vAlign w:val="center"/>
          </w:tcPr>
          <w:p w14:paraId="4B1E3C6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180</w:t>
            </w:r>
          </w:p>
        </w:tc>
        <w:tc>
          <w:tcPr>
            <w:tcW w:w="374" w:type="pct"/>
            <w:vAlign w:val="center"/>
          </w:tcPr>
          <w:p w14:paraId="29D94E2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西南</w:t>
            </w:r>
          </w:p>
        </w:tc>
        <w:tc>
          <w:tcPr>
            <w:tcW w:w="835" w:type="pct"/>
            <w:vAlign w:val="center"/>
          </w:tcPr>
          <w:p w14:paraId="10929CD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1200</w:t>
            </w:r>
          </w:p>
        </w:tc>
      </w:tr>
      <w:tr w14:paraId="5923866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559888E3">
            <w:pPr>
              <w:adjustRightInd w:val="0"/>
              <w:spacing w:line="300" w:lineRule="exact"/>
              <w:jc w:val="center"/>
              <w:rPr>
                <w:rFonts w:ascii="Times New Roman" w:eastAsia="宋体"/>
                <w:color w:val="FF0000"/>
                <w:sz w:val="21"/>
                <w:szCs w:val="21"/>
              </w:rPr>
            </w:pPr>
          </w:p>
        </w:tc>
        <w:tc>
          <w:tcPr>
            <w:tcW w:w="588" w:type="pct"/>
            <w:vAlign w:val="center"/>
          </w:tcPr>
          <w:p w14:paraId="224BA626">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张家圩镇区</w:t>
            </w:r>
          </w:p>
        </w:tc>
        <w:tc>
          <w:tcPr>
            <w:tcW w:w="565" w:type="pct"/>
            <w:vAlign w:val="center"/>
          </w:tcPr>
          <w:p w14:paraId="4BB5DDC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118.6865</w:t>
            </w:r>
          </w:p>
        </w:tc>
        <w:tc>
          <w:tcPr>
            <w:tcW w:w="506" w:type="pct"/>
            <w:vAlign w:val="center"/>
          </w:tcPr>
          <w:p w14:paraId="78334F7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33.8856</w:t>
            </w:r>
          </w:p>
        </w:tc>
        <w:tc>
          <w:tcPr>
            <w:tcW w:w="484" w:type="pct"/>
            <w:vAlign w:val="center"/>
          </w:tcPr>
          <w:p w14:paraId="6C453B42">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r>
              <w:rPr>
                <w:rFonts w:hint="eastAsia" w:ascii="Times New Roman" w:eastAsia="宋体"/>
                <w:color w:val="000000" w:themeColor="text1"/>
                <w:sz w:val="21"/>
                <w:szCs w:val="21"/>
                <w14:textFill>
                  <w14:solidFill>
                    <w14:schemeClr w14:val="tx1"/>
                  </w14:solidFill>
                </w14:textFill>
              </w:rPr>
              <w:t>、学校等</w:t>
            </w:r>
          </w:p>
        </w:tc>
        <w:tc>
          <w:tcPr>
            <w:tcW w:w="359" w:type="pct"/>
            <w:vAlign w:val="center"/>
          </w:tcPr>
          <w:p w14:paraId="2592D117">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3235F62E">
            <w:pPr>
              <w:spacing w:line="300" w:lineRule="exact"/>
              <w:jc w:val="center"/>
              <w:rPr>
                <w:rFonts w:ascii="Times New Roman" w:eastAsia="宋体"/>
                <w:color w:val="000000" w:themeColor="text1"/>
                <w:sz w:val="21"/>
                <w:szCs w:val="21"/>
                <w14:textFill>
                  <w14:solidFill>
                    <w14:schemeClr w14:val="tx1"/>
                  </w14:solidFill>
                </w14:textFill>
              </w:rPr>
            </w:pPr>
          </w:p>
        </w:tc>
        <w:tc>
          <w:tcPr>
            <w:tcW w:w="484" w:type="pct"/>
            <w:vAlign w:val="center"/>
          </w:tcPr>
          <w:p w14:paraId="5123691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15000</w:t>
            </w:r>
          </w:p>
        </w:tc>
        <w:tc>
          <w:tcPr>
            <w:tcW w:w="374" w:type="pct"/>
            <w:vAlign w:val="center"/>
          </w:tcPr>
          <w:p w14:paraId="6194AF0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西南</w:t>
            </w:r>
          </w:p>
        </w:tc>
        <w:tc>
          <w:tcPr>
            <w:tcW w:w="835" w:type="pct"/>
            <w:vAlign w:val="center"/>
          </w:tcPr>
          <w:p w14:paraId="7DD2471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1450</w:t>
            </w:r>
          </w:p>
        </w:tc>
      </w:tr>
      <w:tr w14:paraId="1F403FF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64EB8D9C">
            <w:pPr>
              <w:adjustRightInd w:val="0"/>
              <w:spacing w:line="300" w:lineRule="exact"/>
              <w:jc w:val="center"/>
              <w:rPr>
                <w:rFonts w:ascii="Times New Roman" w:eastAsia="宋体"/>
                <w:color w:val="FF0000"/>
                <w:sz w:val="21"/>
                <w:szCs w:val="21"/>
              </w:rPr>
            </w:pPr>
          </w:p>
        </w:tc>
        <w:tc>
          <w:tcPr>
            <w:tcW w:w="588" w:type="pct"/>
            <w:vAlign w:val="center"/>
          </w:tcPr>
          <w:p w14:paraId="311BBE5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向阳刘庄</w:t>
            </w:r>
          </w:p>
        </w:tc>
        <w:tc>
          <w:tcPr>
            <w:tcW w:w="565" w:type="pct"/>
            <w:vAlign w:val="center"/>
          </w:tcPr>
          <w:p w14:paraId="587B08C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118.7011</w:t>
            </w:r>
          </w:p>
        </w:tc>
        <w:tc>
          <w:tcPr>
            <w:tcW w:w="506" w:type="pct"/>
            <w:vAlign w:val="center"/>
          </w:tcPr>
          <w:p w14:paraId="24977E36">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33.8924</w:t>
            </w:r>
          </w:p>
        </w:tc>
        <w:tc>
          <w:tcPr>
            <w:tcW w:w="484" w:type="pct"/>
            <w:vAlign w:val="center"/>
          </w:tcPr>
          <w:p w14:paraId="6A63D805">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78655E4B">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0F798EB2">
            <w:pPr>
              <w:spacing w:line="300" w:lineRule="exact"/>
              <w:jc w:val="center"/>
              <w:rPr>
                <w:rFonts w:ascii="Times New Roman" w:eastAsia="宋体"/>
                <w:color w:val="000000" w:themeColor="text1"/>
                <w:sz w:val="21"/>
                <w:szCs w:val="21"/>
                <w14:textFill>
                  <w14:solidFill>
                    <w14:schemeClr w14:val="tx1"/>
                  </w14:solidFill>
                </w14:textFill>
              </w:rPr>
            </w:pPr>
          </w:p>
        </w:tc>
        <w:tc>
          <w:tcPr>
            <w:tcW w:w="484" w:type="pct"/>
            <w:vAlign w:val="center"/>
          </w:tcPr>
          <w:p w14:paraId="749F8B6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100</w:t>
            </w:r>
          </w:p>
        </w:tc>
        <w:tc>
          <w:tcPr>
            <w:tcW w:w="374" w:type="pct"/>
            <w:vAlign w:val="center"/>
          </w:tcPr>
          <w:p w14:paraId="0DBED3D0">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w:t>
            </w:r>
          </w:p>
        </w:tc>
        <w:tc>
          <w:tcPr>
            <w:tcW w:w="835" w:type="pct"/>
            <w:vAlign w:val="center"/>
          </w:tcPr>
          <w:p w14:paraId="401241B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410</w:t>
            </w:r>
          </w:p>
        </w:tc>
      </w:tr>
      <w:tr w14:paraId="3B8FCFB8">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5C3E4680">
            <w:pPr>
              <w:adjustRightInd w:val="0"/>
              <w:spacing w:line="300" w:lineRule="exact"/>
              <w:jc w:val="center"/>
              <w:rPr>
                <w:rFonts w:ascii="Times New Roman" w:eastAsia="宋体"/>
                <w:color w:val="FF0000"/>
                <w:sz w:val="21"/>
                <w:szCs w:val="21"/>
              </w:rPr>
            </w:pPr>
          </w:p>
        </w:tc>
        <w:tc>
          <w:tcPr>
            <w:tcW w:w="588" w:type="pct"/>
            <w:vAlign w:val="center"/>
          </w:tcPr>
          <w:p w14:paraId="5D7C3853">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王庙子</w:t>
            </w:r>
          </w:p>
        </w:tc>
        <w:tc>
          <w:tcPr>
            <w:tcW w:w="565" w:type="pct"/>
            <w:vAlign w:val="center"/>
          </w:tcPr>
          <w:p w14:paraId="1B0F184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118.6943</w:t>
            </w:r>
          </w:p>
        </w:tc>
        <w:tc>
          <w:tcPr>
            <w:tcW w:w="506" w:type="pct"/>
            <w:vAlign w:val="center"/>
          </w:tcPr>
          <w:p w14:paraId="409077B3">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33.8929</w:t>
            </w:r>
          </w:p>
        </w:tc>
        <w:tc>
          <w:tcPr>
            <w:tcW w:w="484" w:type="pct"/>
            <w:vAlign w:val="center"/>
          </w:tcPr>
          <w:p w14:paraId="4196535A">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024A489D">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5498BF9B">
            <w:pPr>
              <w:spacing w:line="300" w:lineRule="exact"/>
              <w:jc w:val="center"/>
              <w:rPr>
                <w:rFonts w:ascii="Times New Roman" w:eastAsia="宋体"/>
                <w:color w:val="000000" w:themeColor="text1"/>
                <w:sz w:val="21"/>
                <w:szCs w:val="21"/>
                <w14:textFill>
                  <w14:solidFill>
                    <w14:schemeClr w14:val="tx1"/>
                  </w14:solidFill>
                </w14:textFill>
              </w:rPr>
            </w:pPr>
          </w:p>
        </w:tc>
        <w:tc>
          <w:tcPr>
            <w:tcW w:w="484" w:type="pct"/>
            <w:vAlign w:val="center"/>
          </w:tcPr>
          <w:p w14:paraId="7357ADC0">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80</w:t>
            </w:r>
          </w:p>
        </w:tc>
        <w:tc>
          <w:tcPr>
            <w:tcW w:w="374" w:type="pct"/>
            <w:vAlign w:val="center"/>
          </w:tcPr>
          <w:p w14:paraId="5732509F">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w:t>
            </w:r>
          </w:p>
        </w:tc>
        <w:tc>
          <w:tcPr>
            <w:tcW w:w="835" w:type="pct"/>
            <w:vAlign w:val="center"/>
          </w:tcPr>
          <w:p w14:paraId="5520A06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1000</w:t>
            </w:r>
          </w:p>
        </w:tc>
      </w:tr>
      <w:tr w14:paraId="1A06DDF6">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115FC1D2">
            <w:pPr>
              <w:adjustRightInd w:val="0"/>
              <w:spacing w:line="300" w:lineRule="exact"/>
              <w:jc w:val="center"/>
              <w:rPr>
                <w:rFonts w:ascii="Times New Roman" w:eastAsia="宋体"/>
                <w:color w:val="FF0000"/>
                <w:sz w:val="21"/>
                <w:szCs w:val="21"/>
              </w:rPr>
            </w:pPr>
          </w:p>
        </w:tc>
        <w:tc>
          <w:tcPr>
            <w:tcW w:w="588" w:type="pct"/>
            <w:vAlign w:val="center"/>
          </w:tcPr>
          <w:p w14:paraId="1EA9904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王庄</w:t>
            </w:r>
          </w:p>
        </w:tc>
        <w:tc>
          <w:tcPr>
            <w:tcW w:w="565" w:type="pct"/>
            <w:vAlign w:val="center"/>
          </w:tcPr>
          <w:p w14:paraId="27DE953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118.6958</w:t>
            </w:r>
          </w:p>
        </w:tc>
        <w:tc>
          <w:tcPr>
            <w:tcW w:w="506" w:type="pct"/>
            <w:vAlign w:val="center"/>
          </w:tcPr>
          <w:p w14:paraId="612D6C5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33.8951</w:t>
            </w:r>
          </w:p>
        </w:tc>
        <w:tc>
          <w:tcPr>
            <w:tcW w:w="484" w:type="pct"/>
            <w:vAlign w:val="center"/>
          </w:tcPr>
          <w:p w14:paraId="6777AE64">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3E1F4E3B">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438C3850">
            <w:pPr>
              <w:spacing w:line="300" w:lineRule="exact"/>
              <w:jc w:val="center"/>
              <w:rPr>
                <w:rFonts w:ascii="Times New Roman" w:eastAsia="宋体"/>
                <w:color w:val="000000" w:themeColor="text1"/>
                <w:sz w:val="21"/>
                <w:szCs w:val="21"/>
                <w14:textFill>
                  <w14:solidFill>
                    <w14:schemeClr w14:val="tx1"/>
                  </w14:solidFill>
                </w14:textFill>
              </w:rPr>
            </w:pPr>
          </w:p>
        </w:tc>
        <w:tc>
          <w:tcPr>
            <w:tcW w:w="484" w:type="pct"/>
            <w:vAlign w:val="center"/>
          </w:tcPr>
          <w:p w14:paraId="0E4D172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110</w:t>
            </w:r>
          </w:p>
        </w:tc>
        <w:tc>
          <w:tcPr>
            <w:tcW w:w="374" w:type="pct"/>
            <w:vAlign w:val="center"/>
          </w:tcPr>
          <w:p w14:paraId="5287540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西北</w:t>
            </w:r>
          </w:p>
        </w:tc>
        <w:tc>
          <w:tcPr>
            <w:tcW w:w="835" w:type="pct"/>
            <w:vAlign w:val="center"/>
          </w:tcPr>
          <w:p w14:paraId="01B54C6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730</w:t>
            </w:r>
          </w:p>
        </w:tc>
      </w:tr>
      <w:tr w14:paraId="5165E9F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5516CF14">
            <w:pPr>
              <w:adjustRightInd w:val="0"/>
              <w:spacing w:line="300" w:lineRule="exact"/>
              <w:jc w:val="center"/>
              <w:rPr>
                <w:rFonts w:ascii="Times New Roman" w:eastAsia="宋体"/>
                <w:color w:val="FF0000"/>
                <w:sz w:val="21"/>
                <w:szCs w:val="21"/>
              </w:rPr>
            </w:pPr>
          </w:p>
        </w:tc>
        <w:tc>
          <w:tcPr>
            <w:tcW w:w="588" w:type="pct"/>
            <w:vAlign w:val="center"/>
          </w:tcPr>
          <w:p w14:paraId="1C8D3D8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王庙村</w:t>
            </w:r>
          </w:p>
        </w:tc>
        <w:tc>
          <w:tcPr>
            <w:tcW w:w="565" w:type="pct"/>
            <w:vAlign w:val="center"/>
          </w:tcPr>
          <w:p w14:paraId="3685AB2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118.6969</w:t>
            </w:r>
          </w:p>
        </w:tc>
        <w:tc>
          <w:tcPr>
            <w:tcW w:w="506" w:type="pct"/>
            <w:vAlign w:val="center"/>
          </w:tcPr>
          <w:p w14:paraId="3B8C4555">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33.8971</w:t>
            </w:r>
          </w:p>
        </w:tc>
        <w:tc>
          <w:tcPr>
            <w:tcW w:w="484" w:type="pct"/>
            <w:vAlign w:val="center"/>
          </w:tcPr>
          <w:p w14:paraId="0A097D25">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1DFFF9E6">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2166C4D8">
            <w:pPr>
              <w:spacing w:line="300" w:lineRule="exact"/>
              <w:jc w:val="center"/>
              <w:rPr>
                <w:rFonts w:ascii="Times New Roman" w:eastAsia="宋体"/>
                <w:color w:val="000000" w:themeColor="text1"/>
                <w:sz w:val="21"/>
                <w:szCs w:val="21"/>
                <w14:textFill>
                  <w14:solidFill>
                    <w14:schemeClr w14:val="tx1"/>
                  </w14:solidFill>
                </w14:textFill>
              </w:rPr>
            </w:pPr>
          </w:p>
        </w:tc>
        <w:tc>
          <w:tcPr>
            <w:tcW w:w="484" w:type="pct"/>
            <w:vAlign w:val="center"/>
          </w:tcPr>
          <w:p w14:paraId="516F4712">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150</w:t>
            </w:r>
          </w:p>
        </w:tc>
        <w:tc>
          <w:tcPr>
            <w:tcW w:w="374" w:type="pct"/>
            <w:vAlign w:val="center"/>
          </w:tcPr>
          <w:p w14:paraId="17D02BA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西北</w:t>
            </w:r>
          </w:p>
        </w:tc>
        <w:tc>
          <w:tcPr>
            <w:tcW w:w="835" w:type="pct"/>
            <w:vAlign w:val="center"/>
          </w:tcPr>
          <w:p w14:paraId="242A886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870</w:t>
            </w:r>
          </w:p>
        </w:tc>
      </w:tr>
      <w:tr w14:paraId="4A217C52">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2CCD9A3C">
            <w:pPr>
              <w:adjustRightInd w:val="0"/>
              <w:spacing w:line="300" w:lineRule="exact"/>
              <w:jc w:val="center"/>
              <w:rPr>
                <w:rFonts w:ascii="Times New Roman" w:eastAsia="宋体"/>
                <w:color w:val="FF0000"/>
                <w:sz w:val="21"/>
                <w:szCs w:val="21"/>
              </w:rPr>
            </w:pPr>
          </w:p>
        </w:tc>
        <w:tc>
          <w:tcPr>
            <w:tcW w:w="588" w:type="pct"/>
            <w:vAlign w:val="center"/>
          </w:tcPr>
          <w:p w14:paraId="5086FCC5">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后荡村</w:t>
            </w:r>
          </w:p>
        </w:tc>
        <w:tc>
          <w:tcPr>
            <w:tcW w:w="565" w:type="pct"/>
            <w:vAlign w:val="center"/>
          </w:tcPr>
          <w:p w14:paraId="1CCAA725">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118.6856</w:t>
            </w:r>
          </w:p>
        </w:tc>
        <w:tc>
          <w:tcPr>
            <w:tcW w:w="506" w:type="pct"/>
            <w:vAlign w:val="center"/>
          </w:tcPr>
          <w:p w14:paraId="3631FEF2">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33.9006</w:t>
            </w:r>
          </w:p>
        </w:tc>
        <w:tc>
          <w:tcPr>
            <w:tcW w:w="484" w:type="pct"/>
            <w:vAlign w:val="center"/>
          </w:tcPr>
          <w:p w14:paraId="46A528B1">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38744F06">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22C44015">
            <w:pPr>
              <w:spacing w:line="300" w:lineRule="exact"/>
              <w:jc w:val="center"/>
              <w:rPr>
                <w:rFonts w:ascii="Times New Roman" w:eastAsia="宋体"/>
                <w:color w:val="000000" w:themeColor="text1"/>
                <w:sz w:val="21"/>
                <w:szCs w:val="21"/>
                <w14:textFill>
                  <w14:solidFill>
                    <w14:schemeClr w14:val="tx1"/>
                  </w14:solidFill>
                </w14:textFill>
              </w:rPr>
            </w:pPr>
          </w:p>
        </w:tc>
        <w:tc>
          <w:tcPr>
            <w:tcW w:w="484" w:type="pct"/>
            <w:vAlign w:val="center"/>
          </w:tcPr>
          <w:p w14:paraId="4DE9571F">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360</w:t>
            </w:r>
          </w:p>
        </w:tc>
        <w:tc>
          <w:tcPr>
            <w:tcW w:w="374" w:type="pct"/>
            <w:vAlign w:val="center"/>
          </w:tcPr>
          <w:p w14:paraId="0A5D4B7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西北</w:t>
            </w:r>
          </w:p>
        </w:tc>
        <w:tc>
          <w:tcPr>
            <w:tcW w:w="835" w:type="pct"/>
            <w:vAlign w:val="center"/>
          </w:tcPr>
          <w:p w14:paraId="536CBD8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1900</w:t>
            </w:r>
          </w:p>
        </w:tc>
      </w:tr>
      <w:tr w14:paraId="13345899">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2337E154">
            <w:pPr>
              <w:adjustRightInd w:val="0"/>
              <w:spacing w:line="300" w:lineRule="exact"/>
              <w:jc w:val="center"/>
              <w:rPr>
                <w:rFonts w:ascii="Times New Roman" w:eastAsia="宋体"/>
                <w:color w:val="FF0000"/>
                <w:sz w:val="21"/>
                <w:szCs w:val="21"/>
              </w:rPr>
            </w:pPr>
          </w:p>
        </w:tc>
        <w:tc>
          <w:tcPr>
            <w:tcW w:w="588" w:type="pct"/>
            <w:vAlign w:val="center"/>
          </w:tcPr>
          <w:p w14:paraId="04D28B38">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卢庄</w:t>
            </w:r>
          </w:p>
        </w:tc>
        <w:tc>
          <w:tcPr>
            <w:tcW w:w="565" w:type="pct"/>
            <w:vAlign w:val="center"/>
          </w:tcPr>
          <w:p w14:paraId="4571207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118.6922</w:t>
            </w:r>
          </w:p>
        </w:tc>
        <w:tc>
          <w:tcPr>
            <w:tcW w:w="506" w:type="pct"/>
            <w:vAlign w:val="center"/>
          </w:tcPr>
          <w:p w14:paraId="2B61300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33.9063</w:t>
            </w:r>
          </w:p>
        </w:tc>
        <w:tc>
          <w:tcPr>
            <w:tcW w:w="484" w:type="pct"/>
            <w:vAlign w:val="center"/>
          </w:tcPr>
          <w:p w14:paraId="52E17D51">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733DE7A7">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1E24E7EC">
            <w:pPr>
              <w:spacing w:line="300" w:lineRule="exact"/>
              <w:jc w:val="center"/>
              <w:rPr>
                <w:rFonts w:ascii="Times New Roman" w:eastAsia="宋体"/>
                <w:color w:val="000000" w:themeColor="text1"/>
                <w:sz w:val="21"/>
                <w:szCs w:val="21"/>
                <w14:textFill>
                  <w14:solidFill>
                    <w14:schemeClr w14:val="tx1"/>
                  </w14:solidFill>
                </w14:textFill>
              </w:rPr>
            </w:pPr>
          </w:p>
        </w:tc>
        <w:tc>
          <w:tcPr>
            <w:tcW w:w="484" w:type="pct"/>
            <w:vAlign w:val="center"/>
          </w:tcPr>
          <w:p w14:paraId="4D6D45B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180</w:t>
            </w:r>
          </w:p>
        </w:tc>
        <w:tc>
          <w:tcPr>
            <w:tcW w:w="374" w:type="pct"/>
            <w:vAlign w:val="center"/>
          </w:tcPr>
          <w:p w14:paraId="1737438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西北</w:t>
            </w:r>
          </w:p>
        </w:tc>
        <w:tc>
          <w:tcPr>
            <w:tcW w:w="835" w:type="pct"/>
            <w:vAlign w:val="center"/>
          </w:tcPr>
          <w:p w14:paraId="76B6287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2200</w:t>
            </w:r>
          </w:p>
        </w:tc>
      </w:tr>
      <w:tr w14:paraId="377144EB">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208F6E2C">
            <w:pPr>
              <w:adjustRightInd w:val="0"/>
              <w:spacing w:line="300" w:lineRule="exact"/>
              <w:jc w:val="center"/>
              <w:rPr>
                <w:rFonts w:ascii="Times New Roman" w:eastAsia="宋体"/>
                <w:color w:val="FF0000"/>
                <w:sz w:val="21"/>
                <w:szCs w:val="21"/>
              </w:rPr>
            </w:pPr>
          </w:p>
        </w:tc>
        <w:tc>
          <w:tcPr>
            <w:tcW w:w="588" w:type="pct"/>
            <w:vAlign w:val="center"/>
          </w:tcPr>
          <w:p w14:paraId="63A7806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刘圩村</w:t>
            </w:r>
          </w:p>
        </w:tc>
        <w:tc>
          <w:tcPr>
            <w:tcW w:w="565" w:type="pct"/>
            <w:vAlign w:val="center"/>
          </w:tcPr>
          <w:p w14:paraId="34037BF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118.7004</w:t>
            </w:r>
          </w:p>
        </w:tc>
        <w:tc>
          <w:tcPr>
            <w:tcW w:w="506" w:type="pct"/>
            <w:vAlign w:val="center"/>
          </w:tcPr>
          <w:p w14:paraId="6665BF75">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33.9073</w:t>
            </w:r>
          </w:p>
        </w:tc>
        <w:tc>
          <w:tcPr>
            <w:tcW w:w="484" w:type="pct"/>
            <w:vAlign w:val="center"/>
          </w:tcPr>
          <w:p w14:paraId="0DFBFC46">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55A1413C">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277C0F12">
            <w:pPr>
              <w:spacing w:line="300" w:lineRule="exact"/>
              <w:jc w:val="center"/>
              <w:rPr>
                <w:rFonts w:ascii="Times New Roman" w:eastAsia="宋体"/>
                <w:color w:val="000000" w:themeColor="text1"/>
                <w:sz w:val="21"/>
                <w:szCs w:val="21"/>
                <w14:textFill>
                  <w14:solidFill>
                    <w14:schemeClr w14:val="tx1"/>
                  </w14:solidFill>
                </w14:textFill>
              </w:rPr>
            </w:pPr>
          </w:p>
        </w:tc>
        <w:tc>
          <w:tcPr>
            <w:tcW w:w="484" w:type="pct"/>
            <w:vAlign w:val="center"/>
          </w:tcPr>
          <w:p w14:paraId="21B5C72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450</w:t>
            </w:r>
          </w:p>
        </w:tc>
        <w:tc>
          <w:tcPr>
            <w:tcW w:w="374" w:type="pct"/>
            <w:vAlign w:val="center"/>
          </w:tcPr>
          <w:p w14:paraId="23B48025">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西北</w:t>
            </w:r>
          </w:p>
        </w:tc>
        <w:tc>
          <w:tcPr>
            <w:tcW w:w="835" w:type="pct"/>
            <w:vAlign w:val="center"/>
          </w:tcPr>
          <w:p w14:paraId="0CEE3BD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1520</w:t>
            </w:r>
          </w:p>
        </w:tc>
      </w:tr>
      <w:tr w14:paraId="6EA67554">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50DB2767">
            <w:pPr>
              <w:adjustRightInd w:val="0"/>
              <w:spacing w:line="300" w:lineRule="exact"/>
              <w:jc w:val="center"/>
              <w:rPr>
                <w:rFonts w:ascii="Times New Roman" w:eastAsia="宋体"/>
                <w:color w:val="FF0000"/>
                <w:sz w:val="21"/>
                <w:szCs w:val="21"/>
              </w:rPr>
            </w:pPr>
          </w:p>
        </w:tc>
        <w:tc>
          <w:tcPr>
            <w:tcW w:w="588" w:type="pct"/>
            <w:vAlign w:val="center"/>
          </w:tcPr>
          <w:p w14:paraId="2935EDB8">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刘庄</w:t>
            </w:r>
          </w:p>
        </w:tc>
        <w:tc>
          <w:tcPr>
            <w:tcW w:w="565" w:type="pct"/>
            <w:vAlign w:val="center"/>
          </w:tcPr>
          <w:p w14:paraId="40706ED4">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118.7151</w:t>
            </w:r>
          </w:p>
        </w:tc>
        <w:tc>
          <w:tcPr>
            <w:tcW w:w="506" w:type="pct"/>
            <w:vAlign w:val="center"/>
          </w:tcPr>
          <w:p w14:paraId="74304538">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33.9153</w:t>
            </w:r>
          </w:p>
        </w:tc>
        <w:tc>
          <w:tcPr>
            <w:tcW w:w="484" w:type="pct"/>
            <w:vAlign w:val="center"/>
          </w:tcPr>
          <w:p w14:paraId="0336FD28">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088CFB6B">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227C90B6">
            <w:pPr>
              <w:spacing w:line="300" w:lineRule="exact"/>
              <w:jc w:val="center"/>
              <w:rPr>
                <w:rFonts w:ascii="Times New Roman" w:eastAsia="宋体"/>
                <w:color w:val="000000" w:themeColor="text1"/>
                <w:sz w:val="21"/>
                <w:szCs w:val="21"/>
                <w14:textFill>
                  <w14:solidFill>
                    <w14:schemeClr w14:val="tx1"/>
                  </w14:solidFill>
                </w14:textFill>
              </w:rPr>
            </w:pPr>
          </w:p>
        </w:tc>
        <w:tc>
          <w:tcPr>
            <w:tcW w:w="484" w:type="pct"/>
            <w:vAlign w:val="center"/>
          </w:tcPr>
          <w:p w14:paraId="4FFB935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120</w:t>
            </w:r>
          </w:p>
        </w:tc>
        <w:tc>
          <w:tcPr>
            <w:tcW w:w="374" w:type="pct"/>
            <w:vAlign w:val="center"/>
          </w:tcPr>
          <w:p w14:paraId="69FCEB53">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东北</w:t>
            </w:r>
          </w:p>
        </w:tc>
        <w:tc>
          <w:tcPr>
            <w:tcW w:w="835" w:type="pct"/>
            <w:vAlign w:val="center"/>
          </w:tcPr>
          <w:p w14:paraId="0C9377E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2500</w:t>
            </w:r>
          </w:p>
        </w:tc>
      </w:tr>
      <w:tr w14:paraId="243C8EA1">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3A13FA11">
            <w:pPr>
              <w:adjustRightInd w:val="0"/>
              <w:spacing w:line="300" w:lineRule="exact"/>
              <w:jc w:val="center"/>
              <w:rPr>
                <w:rFonts w:ascii="Times New Roman" w:eastAsia="宋体"/>
                <w:color w:val="FF0000"/>
                <w:sz w:val="21"/>
                <w:szCs w:val="21"/>
              </w:rPr>
            </w:pPr>
          </w:p>
        </w:tc>
        <w:tc>
          <w:tcPr>
            <w:tcW w:w="588" w:type="pct"/>
            <w:vAlign w:val="center"/>
          </w:tcPr>
          <w:p w14:paraId="35C8EFF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史荡小魏庄</w:t>
            </w:r>
          </w:p>
        </w:tc>
        <w:tc>
          <w:tcPr>
            <w:tcW w:w="565" w:type="pct"/>
            <w:vAlign w:val="center"/>
          </w:tcPr>
          <w:p w14:paraId="507D9F1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118.7365</w:t>
            </w:r>
          </w:p>
        </w:tc>
        <w:tc>
          <w:tcPr>
            <w:tcW w:w="506" w:type="pct"/>
            <w:vAlign w:val="center"/>
          </w:tcPr>
          <w:p w14:paraId="0CDE989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33.9047</w:t>
            </w:r>
          </w:p>
        </w:tc>
        <w:tc>
          <w:tcPr>
            <w:tcW w:w="484" w:type="pct"/>
            <w:vAlign w:val="center"/>
          </w:tcPr>
          <w:p w14:paraId="2C783521">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6F5D6B0F">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22DF5C83">
            <w:pPr>
              <w:spacing w:line="300" w:lineRule="exact"/>
              <w:jc w:val="center"/>
              <w:rPr>
                <w:rFonts w:ascii="Times New Roman" w:eastAsia="宋体"/>
                <w:color w:val="000000" w:themeColor="text1"/>
                <w:sz w:val="21"/>
                <w:szCs w:val="21"/>
                <w14:textFill>
                  <w14:solidFill>
                    <w14:schemeClr w14:val="tx1"/>
                  </w14:solidFill>
                </w14:textFill>
              </w:rPr>
            </w:pPr>
          </w:p>
        </w:tc>
        <w:tc>
          <w:tcPr>
            <w:tcW w:w="484" w:type="pct"/>
            <w:vAlign w:val="center"/>
          </w:tcPr>
          <w:p w14:paraId="49D549A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400</w:t>
            </w:r>
          </w:p>
        </w:tc>
        <w:tc>
          <w:tcPr>
            <w:tcW w:w="374" w:type="pct"/>
            <w:vAlign w:val="center"/>
          </w:tcPr>
          <w:p w14:paraId="3BDE79C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东北</w:t>
            </w:r>
          </w:p>
        </w:tc>
        <w:tc>
          <w:tcPr>
            <w:tcW w:w="835" w:type="pct"/>
            <w:vAlign w:val="center"/>
          </w:tcPr>
          <w:p w14:paraId="5355760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2800</w:t>
            </w:r>
          </w:p>
        </w:tc>
      </w:tr>
      <w:tr w14:paraId="2DBAD56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343" w:type="pct"/>
            <w:vMerge w:val="continue"/>
            <w:vAlign w:val="center"/>
          </w:tcPr>
          <w:p w14:paraId="0F01595D">
            <w:pPr>
              <w:adjustRightInd w:val="0"/>
              <w:spacing w:line="300" w:lineRule="exact"/>
              <w:jc w:val="center"/>
              <w:rPr>
                <w:rFonts w:ascii="Times New Roman" w:eastAsia="宋体"/>
                <w:color w:val="FF0000"/>
                <w:sz w:val="21"/>
                <w:szCs w:val="21"/>
              </w:rPr>
            </w:pPr>
          </w:p>
        </w:tc>
        <w:tc>
          <w:tcPr>
            <w:tcW w:w="588" w:type="pct"/>
            <w:vAlign w:val="center"/>
          </w:tcPr>
          <w:p w14:paraId="18D3349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朱庄</w:t>
            </w:r>
          </w:p>
        </w:tc>
        <w:tc>
          <w:tcPr>
            <w:tcW w:w="565" w:type="pct"/>
            <w:vAlign w:val="center"/>
          </w:tcPr>
          <w:p w14:paraId="59793C9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118.7411</w:t>
            </w:r>
          </w:p>
        </w:tc>
        <w:tc>
          <w:tcPr>
            <w:tcW w:w="506" w:type="pct"/>
            <w:vAlign w:val="center"/>
          </w:tcPr>
          <w:p w14:paraId="7621040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33.8945</w:t>
            </w:r>
          </w:p>
        </w:tc>
        <w:tc>
          <w:tcPr>
            <w:tcW w:w="484" w:type="pct"/>
            <w:vAlign w:val="center"/>
          </w:tcPr>
          <w:p w14:paraId="353FB721">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7D06B68A">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276A8118">
            <w:pPr>
              <w:spacing w:line="300" w:lineRule="exact"/>
              <w:jc w:val="center"/>
              <w:rPr>
                <w:rFonts w:ascii="Times New Roman" w:eastAsia="宋体"/>
                <w:color w:val="000000" w:themeColor="text1"/>
                <w:sz w:val="21"/>
                <w:szCs w:val="21"/>
                <w14:textFill>
                  <w14:solidFill>
                    <w14:schemeClr w14:val="tx1"/>
                  </w14:solidFill>
                </w14:textFill>
              </w:rPr>
            </w:pPr>
          </w:p>
        </w:tc>
        <w:tc>
          <w:tcPr>
            <w:tcW w:w="484" w:type="pct"/>
            <w:vAlign w:val="center"/>
          </w:tcPr>
          <w:p w14:paraId="2E3338C8">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380</w:t>
            </w:r>
          </w:p>
        </w:tc>
        <w:tc>
          <w:tcPr>
            <w:tcW w:w="374" w:type="pct"/>
            <w:vAlign w:val="center"/>
          </w:tcPr>
          <w:p w14:paraId="6CDA6E56">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w:t>
            </w:r>
          </w:p>
        </w:tc>
        <w:tc>
          <w:tcPr>
            <w:tcW w:w="835" w:type="pct"/>
            <w:vAlign w:val="center"/>
          </w:tcPr>
          <w:p w14:paraId="4168054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2850</w:t>
            </w:r>
          </w:p>
        </w:tc>
      </w:tr>
      <w:tr w14:paraId="663D00E6">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69" w:hRule="atLeast"/>
        </w:trPr>
        <w:tc>
          <w:tcPr>
            <w:tcW w:w="343" w:type="pct"/>
            <w:vMerge w:val="continue"/>
            <w:vAlign w:val="center"/>
          </w:tcPr>
          <w:p w14:paraId="4D5A058E">
            <w:pPr>
              <w:adjustRightInd w:val="0"/>
              <w:spacing w:line="300" w:lineRule="exact"/>
              <w:jc w:val="center"/>
              <w:rPr>
                <w:rFonts w:ascii="Times New Roman" w:eastAsia="宋体"/>
                <w:color w:val="FF0000"/>
                <w:sz w:val="21"/>
                <w:szCs w:val="21"/>
              </w:rPr>
            </w:pPr>
          </w:p>
        </w:tc>
        <w:tc>
          <w:tcPr>
            <w:tcW w:w="588" w:type="pct"/>
            <w:vAlign w:val="center"/>
          </w:tcPr>
          <w:p w14:paraId="4E692D8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花园刘庄</w:t>
            </w:r>
          </w:p>
        </w:tc>
        <w:tc>
          <w:tcPr>
            <w:tcW w:w="565" w:type="pct"/>
            <w:vAlign w:val="center"/>
          </w:tcPr>
          <w:p w14:paraId="11A08BE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118.7235</w:t>
            </w:r>
          </w:p>
        </w:tc>
        <w:tc>
          <w:tcPr>
            <w:tcW w:w="506" w:type="pct"/>
            <w:vAlign w:val="center"/>
          </w:tcPr>
          <w:p w14:paraId="7969BDD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33.8736</w:t>
            </w:r>
          </w:p>
        </w:tc>
        <w:tc>
          <w:tcPr>
            <w:tcW w:w="484" w:type="pct"/>
            <w:vAlign w:val="center"/>
          </w:tcPr>
          <w:p w14:paraId="390207D3">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7A6B25AA">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7568C618">
            <w:pPr>
              <w:spacing w:line="300" w:lineRule="exact"/>
              <w:jc w:val="center"/>
              <w:rPr>
                <w:rFonts w:ascii="Times New Roman" w:eastAsia="宋体"/>
                <w:color w:val="000000" w:themeColor="text1"/>
                <w:sz w:val="21"/>
                <w:szCs w:val="21"/>
                <w14:textFill>
                  <w14:solidFill>
                    <w14:schemeClr w14:val="tx1"/>
                  </w14:solidFill>
                </w14:textFill>
              </w:rPr>
            </w:pPr>
          </w:p>
        </w:tc>
        <w:tc>
          <w:tcPr>
            <w:tcW w:w="484" w:type="pct"/>
            <w:vAlign w:val="center"/>
          </w:tcPr>
          <w:p w14:paraId="1A486398">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160</w:t>
            </w:r>
          </w:p>
        </w:tc>
        <w:tc>
          <w:tcPr>
            <w:tcW w:w="374" w:type="pct"/>
            <w:vAlign w:val="center"/>
          </w:tcPr>
          <w:p w14:paraId="5B23D17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东南</w:t>
            </w:r>
          </w:p>
        </w:tc>
        <w:tc>
          <w:tcPr>
            <w:tcW w:w="835" w:type="pct"/>
            <w:vAlign w:val="center"/>
          </w:tcPr>
          <w:p w14:paraId="785DBFB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2600</w:t>
            </w:r>
          </w:p>
        </w:tc>
      </w:tr>
      <w:tr w14:paraId="4E792610">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69" w:hRule="atLeast"/>
        </w:trPr>
        <w:tc>
          <w:tcPr>
            <w:tcW w:w="343" w:type="pct"/>
            <w:vMerge w:val="continue"/>
            <w:vAlign w:val="center"/>
          </w:tcPr>
          <w:p w14:paraId="0D0DFAE6">
            <w:pPr>
              <w:adjustRightInd w:val="0"/>
              <w:spacing w:line="300" w:lineRule="exact"/>
              <w:jc w:val="center"/>
              <w:rPr>
                <w:rFonts w:ascii="Times New Roman" w:eastAsia="宋体"/>
                <w:color w:val="FF0000"/>
                <w:sz w:val="21"/>
                <w:szCs w:val="21"/>
              </w:rPr>
            </w:pPr>
          </w:p>
        </w:tc>
        <w:tc>
          <w:tcPr>
            <w:tcW w:w="588" w:type="pct"/>
            <w:vAlign w:val="center"/>
          </w:tcPr>
          <w:p w14:paraId="15DA0C75">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吴庄</w:t>
            </w:r>
          </w:p>
        </w:tc>
        <w:tc>
          <w:tcPr>
            <w:tcW w:w="565" w:type="pct"/>
            <w:vAlign w:val="center"/>
          </w:tcPr>
          <w:p w14:paraId="3144743C">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118.6881</w:t>
            </w:r>
          </w:p>
        </w:tc>
        <w:tc>
          <w:tcPr>
            <w:tcW w:w="506" w:type="pct"/>
            <w:vAlign w:val="center"/>
          </w:tcPr>
          <w:p w14:paraId="25B1D32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33.8727</w:t>
            </w:r>
          </w:p>
        </w:tc>
        <w:tc>
          <w:tcPr>
            <w:tcW w:w="484" w:type="pct"/>
            <w:vAlign w:val="center"/>
          </w:tcPr>
          <w:p w14:paraId="11467008">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73599CA7">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7868E865">
            <w:pPr>
              <w:spacing w:line="300" w:lineRule="exact"/>
              <w:jc w:val="center"/>
              <w:rPr>
                <w:rFonts w:ascii="Times New Roman" w:eastAsia="宋体"/>
                <w:color w:val="000000" w:themeColor="text1"/>
                <w:sz w:val="21"/>
                <w:szCs w:val="21"/>
                <w14:textFill>
                  <w14:solidFill>
                    <w14:schemeClr w14:val="tx1"/>
                  </w14:solidFill>
                </w14:textFill>
              </w:rPr>
            </w:pPr>
          </w:p>
        </w:tc>
        <w:tc>
          <w:tcPr>
            <w:tcW w:w="484" w:type="pct"/>
            <w:vAlign w:val="center"/>
          </w:tcPr>
          <w:p w14:paraId="2BFA748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100</w:t>
            </w:r>
          </w:p>
        </w:tc>
        <w:tc>
          <w:tcPr>
            <w:tcW w:w="374" w:type="pct"/>
            <w:vAlign w:val="center"/>
          </w:tcPr>
          <w:p w14:paraId="0CE4012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西南</w:t>
            </w:r>
          </w:p>
        </w:tc>
        <w:tc>
          <w:tcPr>
            <w:tcW w:w="835" w:type="pct"/>
            <w:vAlign w:val="center"/>
          </w:tcPr>
          <w:p w14:paraId="7869EE6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2580</w:t>
            </w:r>
          </w:p>
        </w:tc>
      </w:tr>
      <w:tr w14:paraId="2140095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69" w:hRule="atLeast"/>
        </w:trPr>
        <w:tc>
          <w:tcPr>
            <w:tcW w:w="343" w:type="pct"/>
            <w:vMerge w:val="continue"/>
            <w:vAlign w:val="center"/>
          </w:tcPr>
          <w:p w14:paraId="7A26009E">
            <w:pPr>
              <w:adjustRightInd w:val="0"/>
              <w:spacing w:line="300" w:lineRule="exact"/>
              <w:jc w:val="center"/>
              <w:rPr>
                <w:rFonts w:ascii="Times New Roman" w:eastAsia="宋体"/>
                <w:color w:val="FF0000"/>
                <w:sz w:val="21"/>
                <w:szCs w:val="21"/>
              </w:rPr>
            </w:pPr>
          </w:p>
        </w:tc>
        <w:tc>
          <w:tcPr>
            <w:tcW w:w="588" w:type="pct"/>
            <w:vAlign w:val="center"/>
          </w:tcPr>
          <w:p w14:paraId="6CBB278F">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树强茗苑</w:t>
            </w:r>
          </w:p>
        </w:tc>
        <w:tc>
          <w:tcPr>
            <w:tcW w:w="565" w:type="pct"/>
            <w:vAlign w:val="center"/>
          </w:tcPr>
          <w:p w14:paraId="70B47B96">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118.6763</w:t>
            </w:r>
          </w:p>
        </w:tc>
        <w:tc>
          <w:tcPr>
            <w:tcW w:w="506" w:type="pct"/>
            <w:vAlign w:val="center"/>
          </w:tcPr>
          <w:p w14:paraId="71170E10">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33.8923</w:t>
            </w:r>
          </w:p>
        </w:tc>
        <w:tc>
          <w:tcPr>
            <w:tcW w:w="484" w:type="pct"/>
            <w:vAlign w:val="center"/>
          </w:tcPr>
          <w:p w14:paraId="1FDCCDA1">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3F794087">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4ADC157A">
            <w:pPr>
              <w:spacing w:line="300" w:lineRule="exact"/>
              <w:jc w:val="center"/>
              <w:rPr>
                <w:rFonts w:ascii="Times New Roman" w:eastAsia="宋体"/>
                <w:color w:val="000000" w:themeColor="text1"/>
                <w:sz w:val="21"/>
                <w:szCs w:val="21"/>
                <w14:textFill>
                  <w14:solidFill>
                    <w14:schemeClr w14:val="tx1"/>
                  </w14:solidFill>
                </w14:textFill>
              </w:rPr>
            </w:pPr>
          </w:p>
        </w:tc>
        <w:tc>
          <w:tcPr>
            <w:tcW w:w="484" w:type="pct"/>
            <w:vAlign w:val="center"/>
          </w:tcPr>
          <w:p w14:paraId="76E5830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1600</w:t>
            </w:r>
          </w:p>
        </w:tc>
        <w:tc>
          <w:tcPr>
            <w:tcW w:w="374" w:type="pct"/>
            <w:vAlign w:val="center"/>
          </w:tcPr>
          <w:p w14:paraId="09677D8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w:t>
            </w:r>
          </w:p>
        </w:tc>
        <w:tc>
          <w:tcPr>
            <w:tcW w:w="835" w:type="pct"/>
            <w:vAlign w:val="center"/>
          </w:tcPr>
          <w:p w14:paraId="6E2A44D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2700</w:t>
            </w:r>
          </w:p>
        </w:tc>
      </w:tr>
      <w:tr w14:paraId="3D630A7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69" w:hRule="atLeast"/>
        </w:trPr>
        <w:tc>
          <w:tcPr>
            <w:tcW w:w="343" w:type="pct"/>
            <w:vMerge w:val="continue"/>
            <w:vAlign w:val="center"/>
          </w:tcPr>
          <w:p w14:paraId="47474C54">
            <w:pPr>
              <w:adjustRightInd w:val="0"/>
              <w:spacing w:line="300" w:lineRule="exact"/>
              <w:jc w:val="center"/>
              <w:rPr>
                <w:rFonts w:ascii="Times New Roman" w:eastAsia="宋体"/>
                <w:color w:val="FF0000"/>
                <w:sz w:val="21"/>
                <w:szCs w:val="21"/>
              </w:rPr>
            </w:pPr>
          </w:p>
        </w:tc>
        <w:tc>
          <w:tcPr>
            <w:tcW w:w="588" w:type="pct"/>
            <w:vAlign w:val="center"/>
          </w:tcPr>
          <w:p w14:paraId="6551E4E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松张村</w:t>
            </w:r>
          </w:p>
        </w:tc>
        <w:tc>
          <w:tcPr>
            <w:tcW w:w="565" w:type="pct"/>
            <w:vAlign w:val="center"/>
          </w:tcPr>
          <w:p w14:paraId="5C0E4E1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118.6974</w:t>
            </w:r>
          </w:p>
        </w:tc>
        <w:tc>
          <w:tcPr>
            <w:tcW w:w="506" w:type="pct"/>
            <w:vAlign w:val="center"/>
          </w:tcPr>
          <w:p w14:paraId="561873D1">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33.9186</w:t>
            </w:r>
          </w:p>
        </w:tc>
        <w:tc>
          <w:tcPr>
            <w:tcW w:w="484" w:type="pct"/>
            <w:vAlign w:val="center"/>
          </w:tcPr>
          <w:p w14:paraId="57889E0E">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vAlign w:val="center"/>
          </w:tcPr>
          <w:p w14:paraId="46C12C86">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3B647DAB">
            <w:pPr>
              <w:spacing w:line="300" w:lineRule="exact"/>
              <w:jc w:val="center"/>
              <w:rPr>
                <w:rFonts w:ascii="Times New Roman" w:eastAsia="宋体"/>
                <w:color w:val="000000" w:themeColor="text1"/>
                <w:sz w:val="21"/>
                <w:szCs w:val="21"/>
                <w14:textFill>
                  <w14:solidFill>
                    <w14:schemeClr w14:val="tx1"/>
                  </w14:solidFill>
                </w14:textFill>
              </w:rPr>
            </w:pPr>
          </w:p>
        </w:tc>
        <w:tc>
          <w:tcPr>
            <w:tcW w:w="484" w:type="pct"/>
            <w:vAlign w:val="center"/>
          </w:tcPr>
          <w:p w14:paraId="35FDF315">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800</w:t>
            </w:r>
          </w:p>
        </w:tc>
        <w:tc>
          <w:tcPr>
            <w:tcW w:w="374" w:type="pct"/>
            <w:vAlign w:val="center"/>
          </w:tcPr>
          <w:p w14:paraId="79F723E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西北</w:t>
            </w:r>
          </w:p>
        </w:tc>
        <w:tc>
          <w:tcPr>
            <w:tcW w:w="835" w:type="pct"/>
            <w:vAlign w:val="center"/>
          </w:tcPr>
          <w:p w14:paraId="76930B86">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2710</w:t>
            </w:r>
          </w:p>
        </w:tc>
      </w:tr>
      <w:tr w14:paraId="5F901B36">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69" w:hRule="atLeast"/>
        </w:trPr>
        <w:tc>
          <w:tcPr>
            <w:tcW w:w="343" w:type="pct"/>
            <w:vMerge w:val="continue"/>
            <w:vAlign w:val="center"/>
          </w:tcPr>
          <w:p w14:paraId="40096138">
            <w:pPr>
              <w:adjustRightInd w:val="0"/>
              <w:spacing w:line="300" w:lineRule="exact"/>
              <w:jc w:val="center"/>
              <w:rPr>
                <w:rFonts w:ascii="Times New Roman" w:eastAsia="宋体"/>
                <w:color w:val="FF0000"/>
                <w:sz w:val="21"/>
                <w:szCs w:val="21"/>
              </w:rPr>
            </w:pPr>
          </w:p>
        </w:tc>
        <w:tc>
          <w:tcPr>
            <w:tcW w:w="588" w:type="pct"/>
            <w:shd w:val="clear" w:color="auto" w:fill="auto"/>
            <w:vAlign w:val="center"/>
          </w:tcPr>
          <w:p w14:paraId="4B56F9AE">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张混庄</w:t>
            </w:r>
          </w:p>
        </w:tc>
        <w:tc>
          <w:tcPr>
            <w:tcW w:w="565" w:type="pct"/>
            <w:shd w:val="clear" w:color="auto" w:fill="auto"/>
            <w:vAlign w:val="center"/>
          </w:tcPr>
          <w:p w14:paraId="34D0625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118.7201</w:t>
            </w:r>
          </w:p>
        </w:tc>
        <w:tc>
          <w:tcPr>
            <w:tcW w:w="506" w:type="pct"/>
            <w:shd w:val="clear" w:color="auto" w:fill="auto"/>
            <w:vAlign w:val="center"/>
          </w:tcPr>
          <w:p w14:paraId="539DFA0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33.9171</w:t>
            </w:r>
          </w:p>
        </w:tc>
        <w:tc>
          <w:tcPr>
            <w:tcW w:w="484" w:type="pct"/>
            <w:shd w:val="clear" w:color="auto" w:fill="auto"/>
            <w:vAlign w:val="center"/>
          </w:tcPr>
          <w:p w14:paraId="737A52EE">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shd w:val="clear" w:color="auto" w:fill="auto"/>
            <w:vAlign w:val="center"/>
          </w:tcPr>
          <w:p w14:paraId="03BCCE7B">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0F05B3C4">
            <w:pPr>
              <w:spacing w:line="300" w:lineRule="exact"/>
              <w:jc w:val="center"/>
              <w:rPr>
                <w:rFonts w:ascii="Times New Roman" w:eastAsia="宋体"/>
                <w:color w:val="000000" w:themeColor="text1"/>
                <w:sz w:val="21"/>
                <w:szCs w:val="21"/>
                <w14:textFill>
                  <w14:solidFill>
                    <w14:schemeClr w14:val="tx1"/>
                  </w14:solidFill>
                </w14:textFill>
              </w:rPr>
            </w:pPr>
          </w:p>
        </w:tc>
        <w:tc>
          <w:tcPr>
            <w:tcW w:w="484" w:type="pct"/>
            <w:shd w:val="clear" w:color="auto" w:fill="auto"/>
            <w:vAlign w:val="center"/>
          </w:tcPr>
          <w:p w14:paraId="377C9AB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320</w:t>
            </w:r>
          </w:p>
        </w:tc>
        <w:tc>
          <w:tcPr>
            <w:tcW w:w="374" w:type="pct"/>
            <w:shd w:val="clear" w:color="auto" w:fill="auto"/>
            <w:vAlign w:val="center"/>
          </w:tcPr>
          <w:p w14:paraId="2EFBCED4">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东北</w:t>
            </w:r>
          </w:p>
        </w:tc>
        <w:tc>
          <w:tcPr>
            <w:tcW w:w="835" w:type="pct"/>
            <w:shd w:val="clear" w:color="auto" w:fill="auto"/>
            <w:vAlign w:val="center"/>
          </w:tcPr>
          <w:p w14:paraId="78897834">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2700</w:t>
            </w:r>
          </w:p>
        </w:tc>
      </w:tr>
      <w:tr w14:paraId="02E6CE77">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69" w:hRule="atLeast"/>
        </w:trPr>
        <w:tc>
          <w:tcPr>
            <w:tcW w:w="343" w:type="pct"/>
            <w:vMerge w:val="continue"/>
            <w:vAlign w:val="center"/>
          </w:tcPr>
          <w:p w14:paraId="161018A5">
            <w:pPr>
              <w:adjustRightInd w:val="0"/>
              <w:spacing w:line="300" w:lineRule="exact"/>
              <w:jc w:val="center"/>
              <w:rPr>
                <w:rFonts w:ascii="Times New Roman" w:eastAsia="宋体"/>
                <w:color w:val="FF0000"/>
                <w:sz w:val="21"/>
                <w:szCs w:val="21"/>
              </w:rPr>
            </w:pPr>
          </w:p>
        </w:tc>
        <w:tc>
          <w:tcPr>
            <w:tcW w:w="588" w:type="pct"/>
            <w:vAlign w:val="center"/>
          </w:tcPr>
          <w:p w14:paraId="38D03EB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王集镇镇区</w:t>
            </w:r>
          </w:p>
        </w:tc>
        <w:tc>
          <w:tcPr>
            <w:tcW w:w="565" w:type="pct"/>
            <w:vAlign w:val="center"/>
          </w:tcPr>
          <w:p w14:paraId="0BD7F14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118.7327</w:t>
            </w:r>
          </w:p>
        </w:tc>
        <w:tc>
          <w:tcPr>
            <w:tcW w:w="506" w:type="pct"/>
            <w:vAlign w:val="center"/>
          </w:tcPr>
          <w:p w14:paraId="42607CF5">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33.8694</w:t>
            </w:r>
          </w:p>
        </w:tc>
        <w:tc>
          <w:tcPr>
            <w:tcW w:w="484" w:type="pct"/>
            <w:shd w:val="clear" w:color="auto" w:fill="auto"/>
            <w:vAlign w:val="center"/>
          </w:tcPr>
          <w:p w14:paraId="198475E5">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r>
              <w:rPr>
                <w:rFonts w:hint="eastAsia" w:ascii="Times New Roman" w:eastAsia="宋体"/>
                <w:color w:val="000000" w:themeColor="text1"/>
                <w:sz w:val="21"/>
                <w:szCs w:val="21"/>
                <w14:textFill>
                  <w14:solidFill>
                    <w14:schemeClr w14:val="tx1"/>
                  </w14:solidFill>
                </w14:textFill>
              </w:rPr>
              <w:t>，办公</w:t>
            </w:r>
          </w:p>
        </w:tc>
        <w:tc>
          <w:tcPr>
            <w:tcW w:w="359" w:type="pct"/>
            <w:shd w:val="clear" w:color="auto" w:fill="auto"/>
            <w:vAlign w:val="center"/>
          </w:tcPr>
          <w:p w14:paraId="2C5B702E">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7D26A471">
            <w:pPr>
              <w:spacing w:line="300" w:lineRule="exact"/>
              <w:jc w:val="center"/>
              <w:rPr>
                <w:rFonts w:ascii="Times New Roman" w:eastAsia="宋体"/>
                <w:color w:val="000000" w:themeColor="text1"/>
                <w:sz w:val="21"/>
                <w:szCs w:val="21"/>
                <w14:textFill>
                  <w14:solidFill>
                    <w14:schemeClr w14:val="tx1"/>
                  </w14:solidFill>
                </w14:textFill>
              </w:rPr>
            </w:pPr>
          </w:p>
        </w:tc>
        <w:tc>
          <w:tcPr>
            <w:tcW w:w="484" w:type="pct"/>
            <w:vAlign w:val="center"/>
          </w:tcPr>
          <w:p w14:paraId="6C8BE73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5000</w:t>
            </w:r>
          </w:p>
        </w:tc>
        <w:tc>
          <w:tcPr>
            <w:tcW w:w="374" w:type="pct"/>
            <w:vAlign w:val="center"/>
          </w:tcPr>
          <w:p w14:paraId="51B4C9F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东南</w:t>
            </w:r>
          </w:p>
        </w:tc>
        <w:tc>
          <w:tcPr>
            <w:tcW w:w="835" w:type="pct"/>
            <w:vAlign w:val="center"/>
          </w:tcPr>
          <w:p w14:paraId="25D740F3">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3200</w:t>
            </w:r>
          </w:p>
        </w:tc>
      </w:tr>
      <w:tr w14:paraId="67E2E07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69" w:hRule="atLeast"/>
        </w:trPr>
        <w:tc>
          <w:tcPr>
            <w:tcW w:w="343" w:type="pct"/>
            <w:vMerge w:val="continue"/>
            <w:vAlign w:val="center"/>
          </w:tcPr>
          <w:p w14:paraId="3A7C173F">
            <w:pPr>
              <w:adjustRightInd w:val="0"/>
              <w:spacing w:line="300" w:lineRule="exact"/>
              <w:jc w:val="center"/>
              <w:rPr>
                <w:rFonts w:ascii="Times New Roman" w:eastAsia="宋体"/>
                <w:color w:val="FF0000"/>
                <w:sz w:val="21"/>
                <w:szCs w:val="21"/>
              </w:rPr>
            </w:pPr>
          </w:p>
        </w:tc>
        <w:tc>
          <w:tcPr>
            <w:tcW w:w="588" w:type="pct"/>
            <w:vAlign w:val="center"/>
          </w:tcPr>
          <w:p w14:paraId="1F8A3939">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水圩</w:t>
            </w:r>
          </w:p>
        </w:tc>
        <w:tc>
          <w:tcPr>
            <w:tcW w:w="565" w:type="pct"/>
            <w:vAlign w:val="center"/>
          </w:tcPr>
          <w:p w14:paraId="298CA3A5">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118.6833</w:t>
            </w:r>
          </w:p>
        </w:tc>
        <w:tc>
          <w:tcPr>
            <w:tcW w:w="506" w:type="pct"/>
            <w:vAlign w:val="center"/>
          </w:tcPr>
          <w:p w14:paraId="642E0D1A">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33.9128</w:t>
            </w:r>
          </w:p>
        </w:tc>
        <w:tc>
          <w:tcPr>
            <w:tcW w:w="484" w:type="pct"/>
            <w:shd w:val="clear" w:color="auto" w:fill="auto"/>
            <w:vAlign w:val="center"/>
          </w:tcPr>
          <w:p w14:paraId="5423C5EA">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居民区</w:t>
            </w:r>
          </w:p>
        </w:tc>
        <w:tc>
          <w:tcPr>
            <w:tcW w:w="359" w:type="pct"/>
            <w:shd w:val="clear" w:color="auto" w:fill="auto"/>
            <w:vAlign w:val="center"/>
          </w:tcPr>
          <w:p w14:paraId="6D5297B3">
            <w:pPr>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人群</w:t>
            </w:r>
          </w:p>
        </w:tc>
        <w:tc>
          <w:tcPr>
            <w:tcW w:w="455" w:type="pct"/>
            <w:vMerge w:val="continue"/>
            <w:vAlign w:val="center"/>
          </w:tcPr>
          <w:p w14:paraId="200643D3">
            <w:pPr>
              <w:spacing w:line="300" w:lineRule="exact"/>
              <w:jc w:val="center"/>
              <w:rPr>
                <w:rFonts w:ascii="Times New Roman" w:eastAsia="宋体"/>
                <w:color w:val="000000" w:themeColor="text1"/>
                <w:sz w:val="21"/>
                <w:szCs w:val="21"/>
                <w14:textFill>
                  <w14:solidFill>
                    <w14:schemeClr w14:val="tx1"/>
                  </w14:solidFill>
                </w14:textFill>
              </w:rPr>
            </w:pPr>
          </w:p>
        </w:tc>
        <w:tc>
          <w:tcPr>
            <w:tcW w:w="484" w:type="pct"/>
            <w:vAlign w:val="center"/>
          </w:tcPr>
          <w:p w14:paraId="3795795D">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350</w:t>
            </w:r>
          </w:p>
        </w:tc>
        <w:tc>
          <w:tcPr>
            <w:tcW w:w="374" w:type="pct"/>
            <w:vAlign w:val="center"/>
          </w:tcPr>
          <w:p w14:paraId="173013E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西北</w:t>
            </w:r>
          </w:p>
        </w:tc>
        <w:tc>
          <w:tcPr>
            <w:tcW w:w="835" w:type="pct"/>
            <w:vAlign w:val="center"/>
          </w:tcPr>
          <w:p w14:paraId="06111726">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2800</w:t>
            </w:r>
          </w:p>
        </w:tc>
      </w:tr>
    </w:tbl>
    <w:p w14:paraId="141A7DD0">
      <w:pPr>
        <w:pStyle w:val="7"/>
        <w:spacing w:line="480" w:lineRule="exact"/>
      </w:pPr>
      <w:r>
        <w:rPr>
          <w:rFonts w:hint="eastAsia"/>
        </w:rPr>
        <w:t>3</w:t>
      </w:r>
      <w:r>
        <w:t>.9.</w:t>
      </w:r>
      <w:r>
        <w:rPr>
          <w:rFonts w:hint="eastAsia"/>
        </w:rPr>
        <w:t>4</w:t>
      </w:r>
      <w:r>
        <w:t xml:space="preserve"> </w:t>
      </w:r>
      <w:r>
        <w:rPr>
          <w:rFonts w:hint="eastAsia"/>
        </w:rPr>
        <w:t>环境风险识别</w:t>
      </w:r>
    </w:p>
    <w:p w14:paraId="60F9400F">
      <w:pPr>
        <w:pStyle w:val="8"/>
        <w:spacing w:line="480" w:lineRule="exact"/>
      </w:pPr>
      <w:r>
        <w:rPr>
          <w:rFonts w:hint="eastAsia"/>
        </w:rPr>
        <w:t>3</w:t>
      </w:r>
      <w:r>
        <w:t>.9.</w:t>
      </w:r>
      <w:r>
        <w:rPr>
          <w:rFonts w:hint="eastAsia"/>
        </w:rPr>
        <w:t>4</w:t>
      </w:r>
      <w:r>
        <w:t xml:space="preserve">.1 </w:t>
      </w:r>
      <w:r>
        <w:rPr>
          <w:rFonts w:hint="eastAsia"/>
        </w:rPr>
        <w:t>物质危险性识别</w:t>
      </w:r>
    </w:p>
    <w:p w14:paraId="332E7A9E">
      <w:pPr>
        <w:pStyle w:val="8"/>
        <w:spacing w:line="480" w:lineRule="exact"/>
        <w:ind w:firstLine="480" w:firstLineChars="200"/>
        <w:rPr>
          <w:rFonts w:asciiTheme="minorHAnsi" w:hAnsiTheme="minorHAnsi" w:eastAsiaTheme="minorEastAsia" w:cstheme="minorBidi"/>
          <w:b w:val="0"/>
          <w:bCs w:val="0"/>
          <w:sz w:val="24"/>
          <w:szCs w:val="22"/>
          <w:lang w:val="de-DE"/>
        </w:rPr>
      </w:pPr>
      <w:r>
        <w:rPr>
          <w:rFonts w:hint="eastAsia" w:asciiTheme="minorHAnsi" w:hAnsiTheme="minorHAnsi" w:eastAsiaTheme="minorEastAsia" w:cstheme="minorBidi"/>
          <w:b w:val="0"/>
          <w:bCs w:val="0"/>
          <w:sz w:val="24"/>
          <w:szCs w:val="22"/>
          <w:lang w:val="de-DE"/>
        </w:rPr>
        <w:t>经查对《建设项目环境风险评价技术导则》（HJ169-2018），本项目涉及的</w:t>
      </w:r>
      <w:r>
        <w:rPr>
          <w:rFonts w:hint="eastAsia" w:asciiTheme="minorHAnsi" w:hAnsiTheme="minorHAnsi" w:eastAsiaTheme="minorEastAsia" w:cstheme="minorBidi"/>
          <w:b w:val="0"/>
          <w:bCs w:val="0"/>
          <w:sz w:val="24"/>
          <w:szCs w:val="22"/>
        </w:rPr>
        <w:t>风险</w:t>
      </w:r>
      <w:r>
        <w:rPr>
          <w:rFonts w:hint="eastAsia" w:asciiTheme="minorHAnsi" w:hAnsiTheme="minorHAnsi" w:eastAsiaTheme="minorEastAsia" w:cstheme="minorBidi"/>
          <w:b w:val="0"/>
          <w:bCs w:val="0"/>
          <w:sz w:val="24"/>
          <w:szCs w:val="22"/>
          <w:lang w:val="de-DE"/>
        </w:rPr>
        <w:t>物质主要为</w:t>
      </w:r>
      <w:r>
        <w:rPr>
          <w:rFonts w:hint="eastAsia" w:asciiTheme="minorHAnsi" w:hAnsiTheme="minorHAnsi" w:eastAsiaTheme="minorEastAsia" w:cstheme="minorBidi"/>
          <w:b w:val="0"/>
          <w:bCs w:val="0"/>
          <w:sz w:val="24"/>
          <w:szCs w:val="22"/>
        </w:rPr>
        <w:t>柴油和医疗废物</w:t>
      </w:r>
      <w:r>
        <w:rPr>
          <w:rFonts w:hint="eastAsia" w:asciiTheme="minorHAnsi" w:hAnsiTheme="minorHAnsi" w:eastAsiaTheme="minorEastAsia" w:cstheme="minorBidi"/>
          <w:b w:val="0"/>
          <w:bCs w:val="0"/>
          <w:sz w:val="24"/>
          <w:szCs w:val="22"/>
          <w:lang w:val="de-DE"/>
        </w:rPr>
        <w:t>。</w:t>
      </w:r>
      <w:r>
        <w:rPr>
          <w:rFonts w:hint="eastAsia" w:asciiTheme="minorHAnsi" w:hAnsiTheme="minorHAnsi" w:eastAsiaTheme="minorEastAsia" w:cstheme="minorBidi"/>
          <w:b w:val="0"/>
          <w:bCs w:val="0"/>
          <w:sz w:val="24"/>
          <w:szCs w:val="22"/>
        </w:rPr>
        <w:t>风险</w:t>
      </w:r>
      <w:r>
        <w:rPr>
          <w:rFonts w:hint="eastAsia" w:asciiTheme="minorHAnsi" w:hAnsiTheme="minorHAnsi" w:eastAsiaTheme="minorEastAsia" w:cstheme="minorBidi"/>
          <w:b w:val="0"/>
          <w:bCs w:val="0"/>
          <w:sz w:val="24"/>
          <w:szCs w:val="22"/>
          <w:lang w:val="de-DE"/>
        </w:rPr>
        <w:t>物质理化性质见</w:t>
      </w:r>
      <w:r>
        <w:rPr>
          <w:rFonts w:hint="eastAsia" w:asciiTheme="minorHAnsi" w:hAnsiTheme="minorHAnsi" w:eastAsiaTheme="minorEastAsia" w:cstheme="minorBidi"/>
          <w:b w:val="0"/>
          <w:bCs w:val="0"/>
          <w:sz w:val="24"/>
          <w:szCs w:val="22"/>
        </w:rPr>
        <w:t>3.9-4</w:t>
      </w:r>
      <w:r>
        <w:rPr>
          <w:rFonts w:hint="eastAsia" w:asciiTheme="minorHAnsi" w:hAnsiTheme="minorHAnsi" w:eastAsiaTheme="minorEastAsia" w:cstheme="minorBidi"/>
          <w:b w:val="0"/>
          <w:bCs w:val="0"/>
          <w:sz w:val="24"/>
          <w:szCs w:val="22"/>
          <w:lang w:val="de-DE"/>
        </w:rPr>
        <w:t>。</w:t>
      </w:r>
    </w:p>
    <w:p w14:paraId="04852452">
      <w:pPr>
        <w:spacing w:line="480" w:lineRule="exact"/>
        <w:jc w:val="center"/>
        <w:rPr>
          <w:b/>
          <w:szCs w:val="24"/>
        </w:rPr>
      </w:pPr>
      <w:r>
        <w:rPr>
          <w:rFonts w:hint="eastAsia"/>
          <w:b/>
          <w:szCs w:val="24"/>
        </w:rPr>
        <w:t>表</w:t>
      </w:r>
      <w:r>
        <w:rPr>
          <w:b/>
          <w:szCs w:val="24"/>
        </w:rPr>
        <w:t>3.</w:t>
      </w:r>
      <w:r>
        <w:rPr>
          <w:rFonts w:hint="eastAsia"/>
          <w:b/>
          <w:szCs w:val="24"/>
        </w:rPr>
        <w:t>9-4  柴油的理化性质及危险特性</w:t>
      </w:r>
    </w:p>
    <w:tbl>
      <w:tblPr>
        <w:tblStyle w:val="41"/>
        <w:tblW w:w="515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7"/>
        <w:gridCol w:w="8650"/>
      </w:tblGrid>
      <w:tr w14:paraId="3ED8D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restart"/>
            <w:vAlign w:val="center"/>
          </w:tcPr>
          <w:p w14:paraId="71CBF85E">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标识</w:t>
            </w:r>
          </w:p>
        </w:tc>
        <w:tc>
          <w:tcPr>
            <w:tcW w:w="4521" w:type="pct"/>
            <w:vAlign w:val="center"/>
          </w:tcPr>
          <w:p w14:paraId="371CF049">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中文名：普通柴油</w:t>
            </w:r>
          </w:p>
        </w:tc>
      </w:tr>
      <w:tr w14:paraId="7F431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continue"/>
            <w:vAlign w:val="center"/>
          </w:tcPr>
          <w:p w14:paraId="4E3BB56F">
            <w:pPr>
              <w:spacing w:line="300" w:lineRule="exact"/>
              <w:jc w:val="center"/>
              <w:rPr>
                <w:rFonts w:ascii="Times New Roman" w:hAnsi="Times New Roman" w:eastAsia="宋体" w:cs="Times New Roman"/>
                <w:sz w:val="21"/>
                <w:szCs w:val="21"/>
              </w:rPr>
            </w:pPr>
          </w:p>
        </w:tc>
        <w:tc>
          <w:tcPr>
            <w:tcW w:w="4521" w:type="pct"/>
            <w:vAlign w:val="center"/>
          </w:tcPr>
          <w:p w14:paraId="3B116D43">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UN编号：1202</w:t>
            </w:r>
          </w:p>
        </w:tc>
      </w:tr>
      <w:tr w14:paraId="708BC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continue"/>
            <w:vAlign w:val="center"/>
          </w:tcPr>
          <w:p w14:paraId="48E37FD6">
            <w:pPr>
              <w:spacing w:line="300" w:lineRule="exact"/>
              <w:jc w:val="center"/>
              <w:rPr>
                <w:rFonts w:ascii="Times New Roman" w:hAnsi="Times New Roman" w:eastAsia="宋体" w:cs="Times New Roman"/>
                <w:sz w:val="21"/>
                <w:szCs w:val="21"/>
              </w:rPr>
            </w:pPr>
          </w:p>
        </w:tc>
        <w:tc>
          <w:tcPr>
            <w:tcW w:w="4521" w:type="pct"/>
            <w:vAlign w:val="center"/>
          </w:tcPr>
          <w:p w14:paraId="283CB2B2">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危险货物编号：33648</w:t>
            </w:r>
          </w:p>
        </w:tc>
      </w:tr>
      <w:tr w14:paraId="0DF265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continue"/>
            <w:vAlign w:val="center"/>
          </w:tcPr>
          <w:p w14:paraId="0281232D">
            <w:pPr>
              <w:spacing w:line="300" w:lineRule="exact"/>
              <w:jc w:val="center"/>
              <w:rPr>
                <w:rFonts w:ascii="Times New Roman" w:hAnsi="Times New Roman" w:eastAsia="宋体" w:cs="Times New Roman"/>
                <w:sz w:val="21"/>
                <w:szCs w:val="21"/>
              </w:rPr>
            </w:pPr>
          </w:p>
        </w:tc>
        <w:tc>
          <w:tcPr>
            <w:tcW w:w="4521" w:type="pct"/>
            <w:vAlign w:val="center"/>
          </w:tcPr>
          <w:p w14:paraId="526D5421">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危险品类别：可燃液体</w:t>
            </w:r>
          </w:p>
        </w:tc>
      </w:tr>
      <w:tr w14:paraId="58155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restart"/>
            <w:vAlign w:val="center"/>
          </w:tcPr>
          <w:p w14:paraId="5E57E567">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理化性质</w:t>
            </w:r>
          </w:p>
        </w:tc>
        <w:tc>
          <w:tcPr>
            <w:tcW w:w="4521" w:type="pct"/>
            <w:vAlign w:val="center"/>
          </w:tcPr>
          <w:p w14:paraId="1B57F89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主要成份：C</w:t>
            </w:r>
            <w:r>
              <w:rPr>
                <w:rFonts w:ascii="Times New Roman" w:hAnsi="Times New Roman" w:eastAsia="宋体" w:cs="Times New Roman"/>
                <w:sz w:val="21"/>
                <w:szCs w:val="21"/>
                <w:vertAlign w:val="subscript"/>
              </w:rPr>
              <w:t>15</w:t>
            </w:r>
            <w:r>
              <w:rPr>
                <w:rFonts w:ascii="Times New Roman" w:hAnsi="Times New Roman" w:eastAsia="宋体" w:cs="Times New Roman"/>
                <w:sz w:val="21"/>
                <w:szCs w:val="21"/>
              </w:rPr>
              <w:t>—C</w:t>
            </w:r>
            <w:r>
              <w:rPr>
                <w:rFonts w:ascii="Times New Roman" w:hAnsi="Times New Roman" w:eastAsia="宋体" w:cs="Times New Roman"/>
                <w:sz w:val="21"/>
                <w:szCs w:val="21"/>
                <w:vertAlign w:val="subscript"/>
              </w:rPr>
              <w:t>23</w:t>
            </w:r>
            <w:r>
              <w:rPr>
                <w:rFonts w:ascii="Times New Roman" w:hAnsi="Times New Roman" w:eastAsia="宋体" w:cs="Times New Roman"/>
                <w:sz w:val="21"/>
                <w:szCs w:val="21"/>
              </w:rPr>
              <w:t>脂肪烃和环烷烃</w:t>
            </w:r>
          </w:p>
        </w:tc>
      </w:tr>
      <w:tr w14:paraId="5F83D9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continue"/>
            <w:vAlign w:val="center"/>
          </w:tcPr>
          <w:p w14:paraId="10494E66">
            <w:pPr>
              <w:spacing w:line="300" w:lineRule="exact"/>
              <w:jc w:val="center"/>
              <w:rPr>
                <w:rFonts w:ascii="Times New Roman" w:hAnsi="Times New Roman" w:eastAsia="宋体" w:cs="Times New Roman"/>
                <w:sz w:val="21"/>
                <w:szCs w:val="21"/>
              </w:rPr>
            </w:pPr>
          </w:p>
        </w:tc>
        <w:tc>
          <w:tcPr>
            <w:tcW w:w="4521" w:type="pct"/>
            <w:vAlign w:val="center"/>
          </w:tcPr>
          <w:p w14:paraId="40120EF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性状：无色或淡黄色液体。</w:t>
            </w:r>
          </w:p>
        </w:tc>
      </w:tr>
      <w:tr w14:paraId="660A8D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continue"/>
            <w:vAlign w:val="center"/>
          </w:tcPr>
          <w:p w14:paraId="79F4A37B">
            <w:pPr>
              <w:spacing w:line="300" w:lineRule="exact"/>
              <w:jc w:val="center"/>
              <w:rPr>
                <w:rFonts w:ascii="Times New Roman" w:hAnsi="Times New Roman" w:eastAsia="宋体" w:cs="Times New Roman"/>
                <w:sz w:val="21"/>
                <w:szCs w:val="21"/>
              </w:rPr>
            </w:pPr>
          </w:p>
        </w:tc>
        <w:tc>
          <w:tcPr>
            <w:tcW w:w="4521" w:type="pct"/>
            <w:vAlign w:val="center"/>
          </w:tcPr>
          <w:p w14:paraId="2D85AF7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凝点（℃）：10#不高于10；5＃不高于5；0＃不高于0；-10＃不高于-10；-20＃不高于-20；-35＃不高于-35；-50＃不高于-50</w:t>
            </w:r>
          </w:p>
        </w:tc>
      </w:tr>
      <w:tr w14:paraId="05A16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continue"/>
            <w:vAlign w:val="center"/>
          </w:tcPr>
          <w:p w14:paraId="343BEC96">
            <w:pPr>
              <w:spacing w:line="300" w:lineRule="exact"/>
              <w:jc w:val="center"/>
              <w:rPr>
                <w:rFonts w:ascii="Times New Roman" w:hAnsi="Times New Roman" w:eastAsia="宋体" w:cs="Times New Roman"/>
                <w:sz w:val="21"/>
                <w:szCs w:val="21"/>
              </w:rPr>
            </w:pPr>
          </w:p>
        </w:tc>
        <w:tc>
          <w:tcPr>
            <w:tcW w:w="4521" w:type="pct"/>
            <w:vAlign w:val="center"/>
          </w:tcPr>
          <w:p w14:paraId="6058775B">
            <w:pPr>
              <w:keepNext w:val="0"/>
              <w:keepLines w:val="0"/>
              <w:pageBreakBefore w:val="0"/>
              <w:widowControl w:val="0"/>
              <w:kinsoku/>
              <w:wordWrap/>
              <w:overflowPunct/>
              <w:topLinePunct w:val="0"/>
              <w:autoSpaceDE/>
              <w:autoSpaceDN/>
              <w:bidi w:val="0"/>
              <w:adjustRightInd/>
              <w:snapToGrid/>
              <w:spacing w:line="280" w:lineRule="exact"/>
              <w:textAlignment w:val="auto"/>
              <w:rPr>
                <w:rFonts w:ascii="Times New Roman" w:hAnsi="Times New Roman" w:eastAsia="宋体" w:cs="Times New Roman"/>
                <w:sz w:val="21"/>
                <w:szCs w:val="21"/>
              </w:rPr>
            </w:pPr>
            <w:r>
              <w:rPr>
                <w:rFonts w:ascii="Times New Roman" w:hAnsi="Times New Roman" w:eastAsia="宋体" w:cs="Times New Roman"/>
                <w:sz w:val="21"/>
                <w:szCs w:val="21"/>
              </w:rPr>
              <w:t>密度（20℃）Kg/m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：10#、5＃、0＃、-10＃为810～850、-20＃；-35＃、-50＃为790～840</w:t>
            </w:r>
          </w:p>
        </w:tc>
      </w:tr>
      <w:tr w14:paraId="3CB7FC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continue"/>
            <w:vAlign w:val="center"/>
          </w:tcPr>
          <w:p w14:paraId="507E9164">
            <w:pPr>
              <w:spacing w:line="300" w:lineRule="exact"/>
              <w:jc w:val="center"/>
              <w:rPr>
                <w:rFonts w:ascii="Times New Roman" w:hAnsi="Times New Roman" w:eastAsia="宋体" w:cs="Times New Roman"/>
                <w:sz w:val="21"/>
                <w:szCs w:val="21"/>
              </w:rPr>
            </w:pPr>
          </w:p>
        </w:tc>
        <w:tc>
          <w:tcPr>
            <w:tcW w:w="4521" w:type="pct"/>
            <w:vAlign w:val="center"/>
          </w:tcPr>
          <w:p w14:paraId="0CBE9DD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沸点（℃）：200～365</w:t>
            </w:r>
          </w:p>
        </w:tc>
      </w:tr>
      <w:tr w14:paraId="3431A7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continue"/>
            <w:vAlign w:val="center"/>
          </w:tcPr>
          <w:p w14:paraId="1E34863A">
            <w:pPr>
              <w:spacing w:line="300" w:lineRule="exact"/>
              <w:jc w:val="center"/>
              <w:rPr>
                <w:rFonts w:ascii="Times New Roman" w:hAnsi="Times New Roman" w:eastAsia="宋体" w:cs="Times New Roman"/>
                <w:sz w:val="21"/>
                <w:szCs w:val="21"/>
              </w:rPr>
            </w:pPr>
          </w:p>
        </w:tc>
        <w:tc>
          <w:tcPr>
            <w:tcW w:w="4521" w:type="pct"/>
            <w:vAlign w:val="center"/>
          </w:tcPr>
          <w:p w14:paraId="74AB0BB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溶解性：不溶于水，与有机溶剂互溶。</w:t>
            </w:r>
          </w:p>
        </w:tc>
      </w:tr>
      <w:tr w14:paraId="11BE17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79" w:type="pct"/>
            <w:vMerge w:val="restart"/>
            <w:vAlign w:val="center"/>
          </w:tcPr>
          <w:p w14:paraId="0B942EB7">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燃烧爆炸危险特性</w:t>
            </w:r>
          </w:p>
        </w:tc>
        <w:tc>
          <w:tcPr>
            <w:tcW w:w="4521" w:type="pct"/>
            <w:vAlign w:val="center"/>
          </w:tcPr>
          <w:p w14:paraId="023C907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燃烧性：易燃烧</w:t>
            </w:r>
          </w:p>
        </w:tc>
      </w:tr>
      <w:tr w14:paraId="4199B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79" w:type="pct"/>
            <w:vMerge w:val="continue"/>
            <w:vAlign w:val="center"/>
          </w:tcPr>
          <w:p w14:paraId="1B315075">
            <w:pPr>
              <w:spacing w:line="300" w:lineRule="exact"/>
              <w:jc w:val="center"/>
              <w:rPr>
                <w:rFonts w:ascii="Times New Roman" w:hAnsi="Times New Roman" w:eastAsia="宋体" w:cs="Times New Roman"/>
                <w:sz w:val="21"/>
                <w:szCs w:val="21"/>
              </w:rPr>
            </w:pPr>
          </w:p>
        </w:tc>
        <w:tc>
          <w:tcPr>
            <w:tcW w:w="4521" w:type="pct"/>
            <w:vAlign w:val="center"/>
          </w:tcPr>
          <w:p w14:paraId="3D025F9D">
            <w:pPr>
              <w:keepNext w:val="0"/>
              <w:keepLines w:val="0"/>
              <w:pageBreakBefore w:val="0"/>
              <w:widowControl w:val="0"/>
              <w:kinsoku/>
              <w:wordWrap/>
              <w:overflowPunct/>
              <w:topLinePunct w:val="0"/>
              <w:autoSpaceDE/>
              <w:autoSpaceDN/>
              <w:bidi w:val="0"/>
              <w:adjustRightInd/>
              <w:snapToGrid/>
              <w:spacing w:line="280" w:lineRule="exact"/>
              <w:textAlignment w:val="auto"/>
              <w:rPr>
                <w:rFonts w:ascii="Times New Roman" w:hAnsi="Times New Roman" w:eastAsia="宋体" w:cs="Times New Roman"/>
                <w:sz w:val="21"/>
                <w:szCs w:val="21"/>
              </w:rPr>
            </w:pPr>
            <w:r>
              <w:rPr>
                <w:rFonts w:ascii="Times New Roman" w:hAnsi="Times New Roman" w:eastAsia="宋体" w:cs="Times New Roman"/>
                <w:sz w:val="21"/>
                <w:szCs w:val="21"/>
              </w:rPr>
              <w:t>闪点（℃）：10#、5＃、0＃、-10＃、-20＃不低于55℃；-35＃、-50＃不低于45℃</w:t>
            </w:r>
          </w:p>
        </w:tc>
      </w:tr>
      <w:tr w14:paraId="6D4BF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79" w:type="pct"/>
            <w:vMerge w:val="continue"/>
            <w:vAlign w:val="center"/>
          </w:tcPr>
          <w:p w14:paraId="7368294C">
            <w:pPr>
              <w:spacing w:line="300" w:lineRule="exact"/>
              <w:jc w:val="center"/>
              <w:rPr>
                <w:rFonts w:ascii="Times New Roman" w:hAnsi="Times New Roman" w:eastAsia="宋体" w:cs="Times New Roman"/>
                <w:sz w:val="21"/>
                <w:szCs w:val="21"/>
              </w:rPr>
            </w:pPr>
          </w:p>
        </w:tc>
        <w:tc>
          <w:tcPr>
            <w:tcW w:w="4521" w:type="pct"/>
            <w:vAlign w:val="center"/>
          </w:tcPr>
          <w:p w14:paraId="3E42F5A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引燃温度（℃）：（350～380）</w:t>
            </w:r>
          </w:p>
        </w:tc>
      </w:tr>
      <w:tr w14:paraId="40F98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79" w:type="pct"/>
            <w:vMerge w:val="continue"/>
            <w:vAlign w:val="center"/>
          </w:tcPr>
          <w:p w14:paraId="45C36DBB">
            <w:pPr>
              <w:spacing w:line="300" w:lineRule="exact"/>
              <w:jc w:val="center"/>
              <w:rPr>
                <w:rFonts w:ascii="Times New Roman" w:hAnsi="Times New Roman" w:eastAsia="宋体" w:cs="Times New Roman"/>
                <w:sz w:val="21"/>
                <w:szCs w:val="21"/>
              </w:rPr>
            </w:pPr>
          </w:p>
        </w:tc>
        <w:tc>
          <w:tcPr>
            <w:tcW w:w="4521" w:type="pct"/>
            <w:vAlign w:val="center"/>
          </w:tcPr>
          <w:p w14:paraId="7687F01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爆炸极限（%）：（1.5—6.5）</w:t>
            </w:r>
          </w:p>
        </w:tc>
      </w:tr>
      <w:tr w14:paraId="73AF88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79" w:type="pct"/>
            <w:vMerge w:val="continue"/>
            <w:vAlign w:val="center"/>
          </w:tcPr>
          <w:p w14:paraId="39037A2E">
            <w:pPr>
              <w:spacing w:line="300" w:lineRule="exact"/>
              <w:jc w:val="center"/>
              <w:rPr>
                <w:rFonts w:ascii="Times New Roman" w:hAnsi="Times New Roman" w:eastAsia="宋体" w:cs="Times New Roman"/>
                <w:sz w:val="21"/>
                <w:szCs w:val="21"/>
              </w:rPr>
            </w:pPr>
          </w:p>
        </w:tc>
        <w:tc>
          <w:tcPr>
            <w:tcW w:w="4521" w:type="pct"/>
            <w:vAlign w:val="center"/>
          </w:tcPr>
          <w:p w14:paraId="2828FF2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危险特性：其蒸气与空气可形成爆炸性混合物，与明火易燃烧爆炸。</w:t>
            </w:r>
          </w:p>
        </w:tc>
      </w:tr>
      <w:tr w14:paraId="42728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79" w:type="pct"/>
            <w:vMerge w:val="continue"/>
            <w:vAlign w:val="center"/>
          </w:tcPr>
          <w:p w14:paraId="33B3FBB7">
            <w:pPr>
              <w:spacing w:line="300" w:lineRule="exact"/>
              <w:jc w:val="center"/>
              <w:rPr>
                <w:rFonts w:ascii="Times New Roman" w:hAnsi="Times New Roman" w:eastAsia="宋体" w:cs="Times New Roman"/>
                <w:sz w:val="21"/>
                <w:szCs w:val="21"/>
              </w:rPr>
            </w:pPr>
          </w:p>
        </w:tc>
        <w:tc>
          <w:tcPr>
            <w:tcW w:w="4521" w:type="pct"/>
            <w:vAlign w:val="center"/>
          </w:tcPr>
          <w:p w14:paraId="05D116B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燃烧（分解）产物：CO、CO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p>
        </w:tc>
      </w:tr>
      <w:tr w14:paraId="751B5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79" w:type="pct"/>
            <w:vMerge w:val="continue"/>
            <w:vAlign w:val="center"/>
          </w:tcPr>
          <w:p w14:paraId="5118A76D">
            <w:pPr>
              <w:spacing w:line="300" w:lineRule="exact"/>
              <w:jc w:val="center"/>
              <w:rPr>
                <w:rFonts w:ascii="Times New Roman" w:hAnsi="Times New Roman" w:eastAsia="宋体" w:cs="Times New Roman"/>
                <w:sz w:val="21"/>
                <w:szCs w:val="21"/>
              </w:rPr>
            </w:pPr>
          </w:p>
        </w:tc>
        <w:tc>
          <w:tcPr>
            <w:tcW w:w="4521" w:type="pct"/>
            <w:vAlign w:val="center"/>
          </w:tcPr>
          <w:p w14:paraId="6E749DD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禁忌物：强氧化物</w:t>
            </w:r>
          </w:p>
        </w:tc>
      </w:tr>
      <w:tr w14:paraId="71520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79" w:type="pct"/>
            <w:vMerge w:val="restart"/>
            <w:vAlign w:val="center"/>
          </w:tcPr>
          <w:p w14:paraId="2EF26FFD">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毒性及健康危害</w:t>
            </w:r>
          </w:p>
        </w:tc>
        <w:tc>
          <w:tcPr>
            <w:tcW w:w="4521" w:type="pct"/>
            <w:vAlign w:val="center"/>
          </w:tcPr>
          <w:p w14:paraId="5DE7659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低毒物质。</w:t>
            </w:r>
          </w:p>
        </w:tc>
      </w:tr>
      <w:tr w14:paraId="1919B5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79" w:type="pct"/>
            <w:vMerge w:val="continue"/>
            <w:vAlign w:val="center"/>
          </w:tcPr>
          <w:p w14:paraId="5B4B3C80">
            <w:pPr>
              <w:spacing w:line="300" w:lineRule="exact"/>
              <w:jc w:val="center"/>
              <w:rPr>
                <w:rFonts w:ascii="Times New Roman" w:hAnsi="Times New Roman" w:eastAsia="宋体" w:cs="Times New Roman"/>
                <w:sz w:val="21"/>
                <w:szCs w:val="21"/>
              </w:rPr>
            </w:pPr>
          </w:p>
        </w:tc>
        <w:tc>
          <w:tcPr>
            <w:tcW w:w="4521" w:type="pct"/>
            <w:vAlign w:val="center"/>
          </w:tcPr>
          <w:p w14:paraId="7B50124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侵入途径：吸入、食入、经皮肤吸收</w:t>
            </w:r>
          </w:p>
        </w:tc>
      </w:tr>
      <w:tr w14:paraId="47E51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79" w:type="pct"/>
            <w:vMerge w:val="continue"/>
            <w:vAlign w:val="center"/>
          </w:tcPr>
          <w:p w14:paraId="68BE2FDA">
            <w:pPr>
              <w:spacing w:line="300" w:lineRule="exact"/>
              <w:jc w:val="center"/>
              <w:rPr>
                <w:rFonts w:ascii="Times New Roman" w:hAnsi="Times New Roman" w:eastAsia="宋体" w:cs="Times New Roman"/>
                <w:sz w:val="21"/>
                <w:szCs w:val="21"/>
              </w:rPr>
            </w:pPr>
          </w:p>
        </w:tc>
        <w:tc>
          <w:tcPr>
            <w:tcW w:w="4521" w:type="pct"/>
            <w:vAlign w:val="center"/>
          </w:tcPr>
          <w:p w14:paraId="6B10CFAA">
            <w:pPr>
              <w:keepNext w:val="0"/>
              <w:keepLines w:val="0"/>
              <w:pageBreakBefore w:val="0"/>
              <w:widowControl w:val="0"/>
              <w:kinsoku/>
              <w:wordWrap/>
              <w:overflowPunct/>
              <w:topLinePunct w:val="0"/>
              <w:autoSpaceDE/>
              <w:autoSpaceDN/>
              <w:bidi w:val="0"/>
              <w:adjustRightInd/>
              <w:snapToGrid/>
              <w:spacing w:line="280" w:lineRule="exact"/>
              <w:textAlignment w:val="auto"/>
              <w:rPr>
                <w:rFonts w:ascii="Times New Roman" w:hAnsi="Times New Roman" w:eastAsia="宋体" w:cs="Times New Roman"/>
                <w:sz w:val="21"/>
                <w:szCs w:val="21"/>
              </w:rPr>
            </w:pPr>
            <w:r>
              <w:rPr>
                <w:rFonts w:ascii="Times New Roman" w:hAnsi="Times New Roman" w:eastAsia="宋体" w:cs="Times New Roman"/>
                <w:sz w:val="21"/>
                <w:szCs w:val="21"/>
              </w:rPr>
              <w:t>急性中毒：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病。液体吸入呼吸道可引起吸入性肺炎。溅入眼内可致角膜溃疡、穿孔，甚至失明。皮肤接触致急性接触性皮炎，甚至灼伤。吞咽引起急性胃肠炎，重者出现类似急性吸入中毒症状，并可引起肝、肾损害。慢性中毒：神经衰弱综合征、植物神经功能症状类似精神分裂症。皮肤损害。</w:t>
            </w:r>
          </w:p>
        </w:tc>
      </w:tr>
      <w:tr w14:paraId="2A978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79" w:type="pct"/>
            <w:vMerge w:val="restart"/>
            <w:vAlign w:val="center"/>
          </w:tcPr>
          <w:p w14:paraId="09601537">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防护措施</w:t>
            </w:r>
          </w:p>
        </w:tc>
        <w:tc>
          <w:tcPr>
            <w:tcW w:w="4521" w:type="pct"/>
            <w:vAlign w:val="center"/>
          </w:tcPr>
          <w:p w14:paraId="10CD30E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工程控制：密闭操作，全面通风，工作现场严禁火种。</w:t>
            </w:r>
          </w:p>
        </w:tc>
      </w:tr>
      <w:tr w14:paraId="6C3E4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79" w:type="pct"/>
            <w:vMerge w:val="continue"/>
            <w:vAlign w:val="center"/>
          </w:tcPr>
          <w:p w14:paraId="13F31C20">
            <w:pPr>
              <w:spacing w:line="300" w:lineRule="exact"/>
              <w:jc w:val="center"/>
              <w:rPr>
                <w:rFonts w:ascii="Times New Roman" w:hAnsi="Times New Roman" w:eastAsia="宋体" w:cs="Times New Roman"/>
                <w:sz w:val="21"/>
                <w:szCs w:val="21"/>
              </w:rPr>
            </w:pPr>
          </w:p>
        </w:tc>
        <w:tc>
          <w:tcPr>
            <w:tcW w:w="4521" w:type="pct"/>
            <w:vAlign w:val="center"/>
          </w:tcPr>
          <w:p w14:paraId="4FF6759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身体防护：穿防静电工作服。</w:t>
            </w:r>
          </w:p>
        </w:tc>
      </w:tr>
      <w:tr w14:paraId="5D2B7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79" w:type="pct"/>
            <w:vMerge w:val="continue"/>
            <w:vAlign w:val="center"/>
          </w:tcPr>
          <w:p w14:paraId="5713C936">
            <w:pPr>
              <w:spacing w:line="300" w:lineRule="exact"/>
              <w:jc w:val="center"/>
              <w:rPr>
                <w:rFonts w:ascii="Times New Roman" w:hAnsi="Times New Roman" w:eastAsia="宋体" w:cs="Times New Roman"/>
                <w:sz w:val="21"/>
                <w:szCs w:val="21"/>
              </w:rPr>
            </w:pPr>
          </w:p>
        </w:tc>
        <w:tc>
          <w:tcPr>
            <w:tcW w:w="4521" w:type="pct"/>
            <w:vAlign w:val="center"/>
          </w:tcPr>
          <w:p w14:paraId="2E2EC7D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手防护：戴耐油手套。</w:t>
            </w:r>
          </w:p>
        </w:tc>
      </w:tr>
      <w:tr w14:paraId="7AE04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79" w:type="pct"/>
            <w:vAlign w:val="center"/>
          </w:tcPr>
          <w:p w14:paraId="476E2FD8">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储运</w:t>
            </w:r>
          </w:p>
        </w:tc>
        <w:tc>
          <w:tcPr>
            <w:tcW w:w="4521" w:type="pct"/>
            <w:vAlign w:val="center"/>
          </w:tcPr>
          <w:p w14:paraId="042B74B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储要保持容器密封，要有防火、防爆技术措施，禁止使用易产生火花的机械设备和工具。灌装时应注意流速。且有接地装置，防止静电积聚。</w:t>
            </w:r>
          </w:p>
        </w:tc>
      </w:tr>
    </w:tbl>
    <w:p w14:paraId="4E90B8C4">
      <w:pPr>
        <w:pStyle w:val="8"/>
        <w:spacing w:line="480" w:lineRule="exact"/>
      </w:pPr>
      <w:r>
        <w:rPr>
          <w:rFonts w:hint="eastAsia"/>
        </w:rPr>
        <w:t>3</w:t>
      </w:r>
      <w:r>
        <w:t>.9.</w:t>
      </w:r>
      <w:r>
        <w:rPr>
          <w:rFonts w:hint="eastAsia"/>
        </w:rPr>
        <w:t>4</w:t>
      </w:r>
      <w:r>
        <w:t xml:space="preserve">.2 </w:t>
      </w:r>
      <w:r>
        <w:rPr>
          <w:rFonts w:hint="eastAsia"/>
        </w:rPr>
        <w:t>生产系统危险性识别</w:t>
      </w:r>
    </w:p>
    <w:p w14:paraId="34F3C258">
      <w:pPr>
        <w:autoSpaceDE w:val="0"/>
        <w:autoSpaceDN w:val="0"/>
        <w:adjustRightInd w:val="0"/>
        <w:spacing w:line="480" w:lineRule="exact"/>
        <w:ind w:firstLine="540"/>
        <w:rPr>
          <w:kern w:val="0"/>
        </w:rPr>
      </w:pPr>
      <w:r>
        <w:rPr>
          <w:kern w:val="0"/>
        </w:rPr>
        <w:t>本项目生产过程中潜在危险识别见表3.</w:t>
      </w:r>
      <w:r>
        <w:rPr>
          <w:rFonts w:hint="eastAsia"/>
          <w:kern w:val="0"/>
        </w:rPr>
        <w:t>9</w:t>
      </w:r>
      <w:r>
        <w:rPr>
          <w:kern w:val="0"/>
        </w:rPr>
        <w:t>-</w:t>
      </w:r>
      <w:r>
        <w:rPr>
          <w:rFonts w:hint="eastAsia"/>
          <w:kern w:val="0"/>
        </w:rPr>
        <w:t>5</w:t>
      </w:r>
      <w:r>
        <w:rPr>
          <w:kern w:val="0"/>
        </w:rPr>
        <w:t>。</w:t>
      </w:r>
    </w:p>
    <w:p w14:paraId="1B038C72">
      <w:pPr>
        <w:pStyle w:val="31"/>
        <w:spacing w:before="0" w:line="480" w:lineRule="exact"/>
      </w:pPr>
      <w:r>
        <w:rPr>
          <w:rFonts w:hint="eastAsia"/>
        </w:rPr>
        <w:t>表3</w:t>
      </w:r>
      <w:r>
        <w:t>.9-</w:t>
      </w:r>
      <w:r>
        <w:rPr>
          <w:rFonts w:hint="eastAsia"/>
        </w:rPr>
        <w:t xml:space="preserve">5 </w:t>
      </w:r>
      <w:r>
        <w:t xml:space="preserve"> </w:t>
      </w:r>
      <w:r>
        <w:rPr>
          <w:rFonts w:hint="eastAsia"/>
        </w:rPr>
        <w:t>项目生产过程潜在危险识别</w:t>
      </w:r>
    </w:p>
    <w:tbl>
      <w:tblPr>
        <w:tblStyle w:val="41"/>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381"/>
        <w:gridCol w:w="1303"/>
        <w:gridCol w:w="5860"/>
      </w:tblGrid>
      <w:tr w14:paraId="583A7F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tcBorders>
              <w:tl2br w:val="nil"/>
              <w:tr2bl w:val="nil"/>
            </w:tcBorders>
            <w:vAlign w:val="center"/>
          </w:tcPr>
          <w:p w14:paraId="0B07358D">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序号</w:t>
            </w:r>
          </w:p>
        </w:tc>
        <w:tc>
          <w:tcPr>
            <w:tcW w:w="744" w:type="pct"/>
            <w:tcBorders>
              <w:tl2br w:val="nil"/>
              <w:tr2bl w:val="nil"/>
            </w:tcBorders>
            <w:vAlign w:val="center"/>
          </w:tcPr>
          <w:p w14:paraId="0FD67738">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风险源</w:t>
            </w:r>
          </w:p>
        </w:tc>
        <w:tc>
          <w:tcPr>
            <w:tcW w:w="702" w:type="pct"/>
            <w:tcBorders>
              <w:tl2br w:val="nil"/>
              <w:tr2bl w:val="nil"/>
            </w:tcBorders>
            <w:vAlign w:val="center"/>
          </w:tcPr>
          <w:p w14:paraId="09693628">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潜在风险</w:t>
            </w:r>
          </w:p>
        </w:tc>
        <w:tc>
          <w:tcPr>
            <w:tcW w:w="3156" w:type="pct"/>
            <w:tcBorders>
              <w:tl2br w:val="nil"/>
              <w:tr2bl w:val="nil"/>
            </w:tcBorders>
            <w:vAlign w:val="center"/>
          </w:tcPr>
          <w:p w14:paraId="3355B537">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风险描述</w:t>
            </w:r>
          </w:p>
        </w:tc>
      </w:tr>
      <w:tr w14:paraId="4578A6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tcBorders>
              <w:tl2br w:val="nil"/>
              <w:tr2bl w:val="nil"/>
            </w:tcBorders>
            <w:vAlign w:val="center"/>
          </w:tcPr>
          <w:p w14:paraId="35250DE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w:t>
            </w:r>
          </w:p>
        </w:tc>
        <w:tc>
          <w:tcPr>
            <w:tcW w:w="744" w:type="pct"/>
            <w:tcBorders>
              <w:tl2br w:val="nil"/>
              <w:tr2bl w:val="nil"/>
            </w:tcBorders>
            <w:vAlign w:val="center"/>
          </w:tcPr>
          <w:p w14:paraId="61F018C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生产设施</w:t>
            </w:r>
          </w:p>
        </w:tc>
        <w:tc>
          <w:tcPr>
            <w:tcW w:w="702" w:type="pct"/>
            <w:tcBorders>
              <w:tl2br w:val="nil"/>
              <w:tr2bl w:val="nil"/>
            </w:tcBorders>
            <w:vAlign w:val="center"/>
          </w:tcPr>
          <w:p w14:paraId="1FED7DA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鸡舍</w:t>
            </w:r>
          </w:p>
        </w:tc>
        <w:tc>
          <w:tcPr>
            <w:tcW w:w="3156" w:type="pct"/>
            <w:tcBorders>
              <w:tl2br w:val="nil"/>
              <w:tr2bl w:val="nil"/>
            </w:tcBorders>
            <w:vAlign w:val="center"/>
          </w:tcPr>
          <w:p w14:paraId="613BF91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鸡舍如发生火灾事故，将对周围大气环境产生不利影响</w:t>
            </w:r>
          </w:p>
        </w:tc>
      </w:tr>
      <w:tr w14:paraId="4E0989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tcBorders>
              <w:tl2br w:val="nil"/>
              <w:tr2bl w:val="nil"/>
            </w:tcBorders>
            <w:shd w:val="clear" w:color="auto" w:fill="auto"/>
            <w:vAlign w:val="center"/>
          </w:tcPr>
          <w:p w14:paraId="231904C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Times New Roman" w:hAnsi="Times New Roman" w:eastAsia="宋体" w:cs="Times New Roman"/>
                <w:bCs/>
                <w:kern w:val="0"/>
                <w:sz w:val="21"/>
                <w:szCs w:val="21"/>
                <w:lang w:val="en-US" w:eastAsia="zh-CN" w:bidi="ar-SA"/>
              </w:rPr>
            </w:pPr>
            <w:r>
              <w:rPr>
                <w:rFonts w:ascii="Times New Roman" w:hAnsi="Times New Roman" w:eastAsia="宋体" w:cs="Times New Roman"/>
                <w:bCs/>
                <w:kern w:val="0"/>
                <w:sz w:val="21"/>
                <w:szCs w:val="21"/>
              </w:rPr>
              <w:t>2</w:t>
            </w:r>
          </w:p>
        </w:tc>
        <w:tc>
          <w:tcPr>
            <w:tcW w:w="744" w:type="pct"/>
            <w:tcBorders>
              <w:tl2br w:val="nil"/>
              <w:tr2bl w:val="nil"/>
            </w:tcBorders>
            <w:shd w:val="clear" w:color="auto" w:fill="auto"/>
            <w:vAlign w:val="center"/>
          </w:tcPr>
          <w:p w14:paraId="6D98755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rPr>
              <w:t>备用柴油发电机房</w:t>
            </w:r>
          </w:p>
        </w:tc>
        <w:tc>
          <w:tcPr>
            <w:tcW w:w="702" w:type="pct"/>
            <w:tcBorders>
              <w:tl2br w:val="nil"/>
              <w:tr2bl w:val="nil"/>
            </w:tcBorders>
            <w:shd w:val="clear" w:color="auto" w:fill="auto"/>
            <w:vAlign w:val="center"/>
          </w:tcPr>
          <w:p w14:paraId="27A1F5B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rPr>
              <w:t>柴油</w:t>
            </w:r>
          </w:p>
        </w:tc>
        <w:tc>
          <w:tcPr>
            <w:tcW w:w="3156" w:type="pct"/>
            <w:tcBorders>
              <w:tl2br w:val="nil"/>
              <w:tr2bl w:val="nil"/>
            </w:tcBorders>
            <w:shd w:val="clear" w:color="auto" w:fill="auto"/>
            <w:vAlign w:val="center"/>
          </w:tcPr>
          <w:p w14:paraId="7247A19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rPr>
              <w:t>桶装柴油</w:t>
            </w:r>
            <w:r>
              <w:rPr>
                <w:rFonts w:ascii="Times New Roman" w:hAnsi="Times New Roman" w:eastAsia="宋体" w:cs="Times New Roman"/>
                <w:bCs/>
                <w:kern w:val="0"/>
                <w:sz w:val="21"/>
                <w:szCs w:val="21"/>
              </w:rPr>
              <w:t>泄漏，遇明火发生火灾爆炸事故，对区域环境产生不利影响</w:t>
            </w:r>
          </w:p>
        </w:tc>
      </w:tr>
      <w:tr w14:paraId="3E3051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tcBorders>
              <w:tl2br w:val="nil"/>
              <w:tr2bl w:val="nil"/>
            </w:tcBorders>
            <w:shd w:val="clear" w:color="auto" w:fill="auto"/>
            <w:vAlign w:val="center"/>
          </w:tcPr>
          <w:p w14:paraId="20E477E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Times New Roman" w:hAnsi="Times New Roman" w:eastAsia="宋体" w:cs="Times New Roman"/>
                <w:bCs/>
                <w:kern w:val="0"/>
                <w:sz w:val="21"/>
                <w:szCs w:val="21"/>
                <w:lang w:val="en-US" w:eastAsia="zh-CN" w:bidi="ar-SA"/>
              </w:rPr>
            </w:pPr>
            <w:r>
              <w:rPr>
                <w:rFonts w:ascii="Times New Roman" w:hAnsi="Times New Roman" w:eastAsia="宋体" w:cs="Times New Roman"/>
                <w:bCs/>
                <w:kern w:val="0"/>
                <w:sz w:val="21"/>
                <w:szCs w:val="21"/>
              </w:rPr>
              <w:t>3</w:t>
            </w:r>
          </w:p>
        </w:tc>
        <w:tc>
          <w:tcPr>
            <w:tcW w:w="744" w:type="pct"/>
            <w:tcBorders>
              <w:tl2br w:val="nil"/>
              <w:tr2bl w:val="nil"/>
            </w:tcBorders>
            <w:vAlign w:val="center"/>
          </w:tcPr>
          <w:p w14:paraId="5B414B9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锅炉房</w:t>
            </w:r>
          </w:p>
        </w:tc>
        <w:tc>
          <w:tcPr>
            <w:tcW w:w="702" w:type="pct"/>
            <w:tcBorders>
              <w:tl2br w:val="nil"/>
              <w:tr2bl w:val="nil"/>
            </w:tcBorders>
            <w:vAlign w:val="center"/>
          </w:tcPr>
          <w:p w14:paraId="117938D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电热水锅炉</w:t>
            </w:r>
          </w:p>
        </w:tc>
        <w:tc>
          <w:tcPr>
            <w:tcW w:w="3156" w:type="pct"/>
            <w:tcBorders>
              <w:tl2br w:val="nil"/>
              <w:tr2bl w:val="nil"/>
            </w:tcBorders>
            <w:vAlign w:val="center"/>
          </w:tcPr>
          <w:p w14:paraId="365E62A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Times New Roman" w:hAnsi="Times New Roman" w:eastAsia="宋体" w:cs="Times New Roman"/>
                <w:bCs/>
                <w:color w:val="000000" w:themeColor="text1"/>
                <w:kern w:val="0"/>
                <w:sz w:val="21"/>
                <w:szCs w:val="21"/>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t>操作不当，</w:t>
            </w:r>
            <w:r>
              <w:rPr>
                <w:rFonts w:ascii="Times New Roman" w:hAnsi="Times New Roman" w:eastAsia="宋体" w:cs="Times New Roman"/>
                <w:bCs/>
                <w:color w:val="000000" w:themeColor="text1"/>
                <w:kern w:val="0"/>
                <w:sz w:val="21"/>
                <w:szCs w:val="21"/>
                <w14:textFill>
                  <w14:solidFill>
                    <w14:schemeClr w14:val="tx1"/>
                  </w14:solidFill>
                </w14:textFill>
              </w:rPr>
              <w:t>发生火灾爆炸事故，对区域环境产生不利影响</w:t>
            </w:r>
          </w:p>
        </w:tc>
      </w:tr>
      <w:tr w14:paraId="755F2E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tcBorders>
              <w:tl2br w:val="nil"/>
              <w:tr2bl w:val="nil"/>
            </w:tcBorders>
            <w:shd w:val="clear" w:color="auto" w:fill="auto"/>
            <w:vAlign w:val="center"/>
          </w:tcPr>
          <w:p w14:paraId="2050FF8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Times New Roman" w:hAnsi="Times New Roman" w:eastAsia="宋体" w:cs="Times New Roman"/>
                <w:bCs/>
                <w:kern w:val="0"/>
                <w:sz w:val="21"/>
                <w:szCs w:val="21"/>
                <w:lang w:val="en-US" w:eastAsia="zh-CN" w:bidi="ar-SA"/>
              </w:rPr>
            </w:pPr>
            <w:r>
              <w:rPr>
                <w:rFonts w:ascii="Times New Roman" w:hAnsi="Times New Roman" w:eastAsia="宋体" w:cs="Times New Roman"/>
                <w:bCs/>
                <w:kern w:val="0"/>
                <w:sz w:val="21"/>
                <w:szCs w:val="21"/>
              </w:rPr>
              <w:t>4</w:t>
            </w:r>
          </w:p>
        </w:tc>
        <w:tc>
          <w:tcPr>
            <w:tcW w:w="1446" w:type="pct"/>
            <w:gridSpan w:val="2"/>
            <w:tcBorders>
              <w:tl2br w:val="nil"/>
              <w:tr2bl w:val="nil"/>
            </w:tcBorders>
            <w:vAlign w:val="center"/>
          </w:tcPr>
          <w:p w14:paraId="4EE33E6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公用工程</w:t>
            </w:r>
          </w:p>
        </w:tc>
        <w:tc>
          <w:tcPr>
            <w:tcW w:w="3156" w:type="pct"/>
            <w:tcBorders>
              <w:tl2br w:val="nil"/>
              <w:tr2bl w:val="nil"/>
            </w:tcBorders>
            <w:vAlign w:val="center"/>
          </w:tcPr>
          <w:p w14:paraId="52431A3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电气设备的主要危险是触电事故和超负荷引起的火灾，或者因电气设备损坏或失灵，突然停电，导致各类污染防治设施失效，造成废水、废气污染物未经处理直接排放</w:t>
            </w:r>
          </w:p>
        </w:tc>
      </w:tr>
      <w:tr w14:paraId="0E7243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tcBorders>
              <w:tl2br w:val="nil"/>
              <w:tr2bl w:val="nil"/>
            </w:tcBorders>
            <w:vAlign w:val="center"/>
          </w:tcPr>
          <w:p w14:paraId="7E905BB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5</w:t>
            </w:r>
          </w:p>
        </w:tc>
        <w:tc>
          <w:tcPr>
            <w:tcW w:w="1446" w:type="pct"/>
            <w:gridSpan w:val="2"/>
            <w:tcBorders>
              <w:tl2br w:val="nil"/>
              <w:tr2bl w:val="nil"/>
            </w:tcBorders>
            <w:vAlign w:val="center"/>
          </w:tcPr>
          <w:p w14:paraId="4CB9026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责任因素</w:t>
            </w:r>
          </w:p>
        </w:tc>
        <w:tc>
          <w:tcPr>
            <w:tcW w:w="3156" w:type="pct"/>
            <w:tcBorders>
              <w:tl2br w:val="nil"/>
              <w:tr2bl w:val="nil"/>
            </w:tcBorders>
            <w:vAlign w:val="center"/>
          </w:tcPr>
          <w:p w14:paraId="5EC4542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因工程结构设计不合理、设备制造和检验不合格、作业人员误操作或玩忽职守、维修过程违反规定等，以及认为破坏都有可能造成事故</w:t>
            </w:r>
          </w:p>
        </w:tc>
      </w:tr>
    </w:tbl>
    <w:p w14:paraId="5027E153">
      <w:pPr>
        <w:pStyle w:val="8"/>
        <w:spacing w:line="480" w:lineRule="exact"/>
      </w:pPr>
      <w:r>
        <w:rPr>
          <w:rFonts w:hint="eastAsia"/>
        </w:rPr>
        <w:t>3</w:t>
      </w:r>
      <w:r>
        <w:t>.9.</w:t>
      </w:r>
      <w:r>
        <w:rPr>
          <w:rFonts w:hint="eastAsia"/>
        </w:rPr>
        <w:t>4</w:t>
      </w:r>
      <w:r>
        <w:t xml:space="preserve">.3 </w:t>
      </w:r>
      <w:r>
        <w:rPr>
          <w:rFonts w:hint="eastAsia"/>
        </w:rPr>
        <w:t>环保工程风险识别</w:t>
      </w:r>
    </w:p>
    <w:p w14:paraId="5777D413">
      <w:pPr>
        <w:autoSpaceDE w:val="0"/>
        <w:autoSpaceDN w:val="0"/>
        <w:adjustRightInd w:val="0"/>
        <w:spacing w:line="480" w:lineRule="exact"/>
        <w:ind w:firstLine="540"/>
        <w:rPr>
          <w:kern w:val="0"/>
        </w:rPr>
      </w:pPr>
      <w:r>
        <w:rPr>
          <w:kern w:val="0"/>
        </w:rPr>
        <w:t>本项目涉及的</w:t>
      </w:r>
      <w:r>
        <w:rPr>
          <w:rFonts w:hint="eastAsia"/>
          <w:kern w:val="0"/>
        </w:rPr>
        <w:t>“</w:t>
      </w:r>
      <w:r>
        <w:rPr>
          <w:kern w:val="0"/>
        </w:rPr>
        <w:t>三废</w:t>
      </w:r>
      <w:r>
        <w:rPr>
          <w:rFonts w:hint="eastAsia"/>
          <w:kern w:val="0"/>
        </w:rPr>
        <w:t>”</w:t>
      </w:r>
      <w:r>
        <w:rPr>
          <w:kern w:val="0"/>
        </w:rPr>
        <w:t>处理设施主要为：</w:t>
      </w:r>
      <w:r>
        <w:rPr>
          <w:rFonts w:hint="eastAsia"/>
          <w:kern w:val="0"/>
        </w:rPr>
        <w:t>废气处理、</w:t>
      </w:r>
      <w:r>
        <w:rPr>
          <w:kern w:val="0"/>
        </w:rPr>
        <w:t>废水处理和危废</w:t>
      </w:r>
      <w:r>
        <w:rPr>
          <w:rFonts w:hint="eastAsia"/>
          <w:kern w:val="0"/>
        </w:rPr>
        <w:t>暂存库</w:t>
      </w:r>
      <w:r>
        <w:rPr>
          <w:kern w:val="0"/>
        </w:rPr>
        <w:t>，详见表3.</w:t>
      </w:r>
      <w:r>
        <w:rPr>
          <w:rFonts w:hint="eastAsia"/>
          <w:kern w:val="0"/>
        </w:rPr>
        <w:t>9</w:t>
      </w:r>
      <w:r>
        <w:rPr>
          <w:kern w:val="0"/>
        </w:rPr>
        <w:t>-</w:t>
      </w:r>
      <w:r>
        <w:rPr>
          <w:rFonts w:hint="eastAsia"/>
          <w:kern w:val="0"/>
        </w:rPr>
        <w:t>6</w:t>
      </w:r>
      <w:r>
        <w:rPr>
          <w:kern w:val="0"/>
        </w:rPr>
        <w:t>。</w:t>
      </w:r>
    </w:p>
    <w:p w14:paraId="3573CAED">
      <w:pPr>
        <w:autoSpaceDE w:val="0"/>
        <w:autoSpaceDN w:val="0"/>
        <w:adjustRightInd w:val="0"/>
        <w:spacing w:line="480" w:lineRule="exact"/>
        <w:jc w:val="center"/>
        <w:rPr>
          <w:b/>
          <w:bCs/>
          <w:kern w:val="0"/>
        </w:rPr>
      </w:pPr>
      <w:r>
        <w:rPr>
          <w:b/>
          <w:bCs/>
          <w:kern w:val="0"/>
        </w:rPr>
        <w:t>表3.</w:t>
      </w:r>
      <w:r>
        <w:rPr>
          <w:rFonts w:hint="eastAsia"/>
          <w:b/>
          <w:bCs/>
          <w:kern w:val="0"/>
        </w:rPr>
        <w:t>9</w:t>
      </w:r>
      <w:r>
        <w:rPr>
          <w:b/>
          <w:bCs/>
          <w:kern w:val="0"/>
        </w:rPr>
        <w:t>-</w:t>
      </w:r>
      <w:r>
        <w:rPr>
          <w:rFonts w:hint="eastAsia"/>
          <w:b/>
          <w:bCs/>
          <w:kern w:val="0"/>
        </w:rPr>
        <w:t>6</w:t>
      </w:r>
      <w:r>
        <w:rPr>
          <w:b/>
          <w:bCs/>
          <w:kern w:val="0"/>
        </w:rPr>
        <w:t xml:space="preserve">  环保设施运行潜在危险识别</w:t>
      </w:r>
    </w:p>
    <w:tbl>
      <w:tblPr>
        <w:tblStyle w:val="41"/>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1092"/>
        <w:gridCol w:w="1749"/>
        <w:gridCol w:w="5443"/>
      </w:tblGrid>
      <w:tr w14:paraId="3AB0B2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tcBorders>
              <w:tl2br w:val="nil"/>
              <w:tr2bl w:val="nil"/>
            </w:tcBorders>
            <w:vAlign w:val="center"/>
          </w:tcPr>
          <w:p w14:paraId="6704DF8F">
            <w:pPr>
              <w:adjustRightInd w:val="0"/>
              <w:snapToGrid w:val="0"/>
              <w:spacing w:line="29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序号</w:t>
            </w:r>
          </w:p>
        </w:tc>
        <w:tc>
          <w:tcPr>
            <w:tcW w:w="588" w:type="pct"/>
            <w:tcBorders>
              <w:tl2br w:val="nil"/>
              <w:tr2bl w:val="nil"/>
            </w:tcBorders>
            <w:vAlign w:val="center"/>
          </w:tcPr>
          <w:p w14:paraId="1FBBB457">
            <w:pPr>
              <w:adjustRightInd w:val="0"/>
              <w:snapToGrid w:val="0"/>
              <w:spacing w:line="29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风险源</w:t>
            </w:r>
          </w:p>
        </w:tc>
        <w:tc>
          <w:tcPr>
            <w:tcW w:w="942" w:type="pct"/>
            <w:tcBorders>
              <w:tl2br w:val="nil"/>
              <w:tr2bl w:val="nil"/>
            </w:tcBorders>
            <w:vAlign w:val="center"/>
          </w:tcPr>
          <w:p w14:paraId="2062FB6C">
            <w:pPr>
              <w:adjustRightInd w:val="0"/>
              <w:snapToGrid w:val="0"/>
              <w:spacing w:line="29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潜在风险</w:t>
            </w:r>
          </w:p>
        </w:tc>
        <w:tc>
          <w:tcPr>
            <w:tcW w:w="2931" w:type="pct"/>
            <w:tcBorders>
              <w:tl2br w:val="nil"/>
              <w:tr2bl w:val="nil"/>
            </w:tcBorders>
            <w:vAlign w:val="center"/>
          </w:tcPr>
          <w:p w14:paraId="7A243A95">
            <w:pPr>
              <w:adjustRightInd w:val="0"/>
              <w:snapToGrid w:val="0"/>
              <w:spacing w:line="29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风险描述</w:t>
            </w:r>
          </w:p>
        </w:tc>
      </w:tr>
      <w:tr w14:paraId="3F5C53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tcBorders>
              <w:tl2br w:val="nil"/>
              <w:tr2bl w:val="nil"/>
            </w:tcBorders>
            <w:vAlign w:val="center"/>
          </w:tcPr>
          <w:p w14:paraId="04ED1A12">
            <w:pPr>
              <w:adjustRightInd w:val="0"/>
              <w:snapToGrid w:val="0"/>
              <w:spacing w:line="29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w:t>
            </w:r>
          </w:p>
        </w:tc>
        <w:tc>
          <w:tcPr>
            <w:tcW w:w="588" w:type="pct"/>
            <w:tcBorders>
              <w:tl2br w:val="nil"/>
              <w:tr2bl w:val="nil"/>
            </w:tcBorders>
            <w:vAlign w:val="center"/>
          </w:tcPr>
          <w:p w14:paraId="4FC6DE1C">
            <w:pPr>
              <w:adjustRightInd w:val="0"/>
              <w:snapToGrid w:val="0"/>
              <w:spacing w:line="29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废气处理</w:t>
            </w:r>
          </w:p>
        </w:tc>
        <w:tc>
          <w:tcPr>
            <w:tcW w:w="942" w:type="pct"/>
            <w:tcBorders>
              <w:tl2br w:val="nil"/>
              <w:tr2bl w:val="nil"/>
            </w:tcBorders>
            <w:vAlign w:val="center"/>
          </w:tcPr>
          <w:p w14:paraId="0300F88E">
            <w:pPr>
              <w:adjustRightInd w:val="0"/>
              <w:snapToGrid w:val="0"/>
              <w:spacing w:line="29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除臭措施</w:t>
            </w:r>
          </w:p>
        </w:tc>
        <w:tc>
          <w:tcPr>
            <w:tcW w:w="2931" w:type="pct"/>
            <w:tcBorders>
              <w:tl2br w:val="nil"/>
              <w:tr2bl w:val="nil"/>
            </w:tcBorders>
            <w:vAlign w:val="center"/>
          </w:tcPr>
          <w:p w14:paraId="44354634">
            <w:pPr>
              <w:adjustRightInd w:val="0"/>
              <w:snapToGrid w:val="0"/>
              <w:spacing w:line="29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受管理因素或人为原因影响，除臭措施未落实到位，臭气扩散将对区域环境产生一定的影响</w:t>
            </w:r>
          </w:p>
        </w:tc>
      </w:tr>
      <w:tr w14:paraId="7984B8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tcBorders>
              <w:tl2br w:val="nil"/>
              <w:tr2bl w:val="nil"/>
            </w:tcBorders>
            <w:vAlign w:val="center"/>
          </w:tcPr>
          <w:p w14:paraId="0F814050">
            <w:pPr>
              <w:adjustRightInd w:val="0"/>
              <w:snapToGrid w:val="0"/>
              <w:spacing w:line="29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2</w:t>
            </w:r>
          </w:p>
        </w:tc>
        <w:tc>
          <w:tcPr>
            <w:tcW w:w="588" w:type="pct"/>
            <w:tcBorders>
              <w:tl2br w:val="nil"/>
              <w:tr2bl w:val="nil"/>
            </w:tcBorders>
            <w:vAlign w:val="center"/>
          </w:tcPr>
          <w:p w14:paraId="6F48BE87">
            <w:pPr>
              <w:adjustRightInd w:val="0"/>
              <w:snapToGrid w:val="0"/>
              <w:spacing w:line="29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废水处理</w:t>
            </w:r>
          </w:p>
        </w:tc>
        <w:tc>
          <w:tcPr>
            <w:tcW w:w="942" w:type="pct"/>
            <w:tcBorders>
              <w:tl2br w:val="nil"/>
              <w:tr2bl w:val="nil"/>
            </w:tcBorders>
            <w:vAlign w:val="center"/>
          </w:tcPr>
          <w:p w14:paraId="46860157">
            <w:pPr>
              <w:adjustRightInd w:val="0"/>
              <w:snapToGrid w:val="0"/>
              <w:spacing w:line="29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废水处理</w:t>
            </w:r>
          </w:p>
        </w:tc>
        <w:tc>
          <w:tcPr>
            <w:tcW w:w="2931" w:type="pct"/>
            <w:tcBorders>
              <w:tl2br w:val="nil"/>
              <w:tr2bl w:val="nil"/>
            </w:tcBorders>
            <w:vAlign w:val="center"/>
          </w:tcPr>
          <w:p w14:paraId="6957B454">
            <w:pPr>
              <w:adjustRightInd w:val="0"/>
              <w:snapToGrid w:val="0"/>
              <w:spacing w:line="29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项目污水池破裂，废水发生泄漏。</w:t>
            </w:r>
          </w:p>
        </w:tc>
      </w:tr>
      <w:tr w14:paraId="7C0838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Merge w:val="restart"/>
            <w:tcBorders>
              <w:tl2br w:val="nil"/>
              <w:tr2bl w:val="nil"/>
            </w:tcBorders>
            <w:vAlign w:val="center"/>
          </w:tcPr>
          <w:p w14:paraId="48DAF0DF">
            <w:pPr>
              <w:adjustRightInd w:val="0"/>
              <w:snapToGrid w:val="0"/>
              <w:spacing w:line="29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3</w:t>
            </w:r>
          </w:p>
        </w:tc>
        <w:tc>
          <w:tcPr>
            <w:tcW w:w="588" w:type="pct"/>
            <w:vMerge w:val="restart"/>
            <w:tcBorders>
              <w:tl2br w:val="nil"/>
              <w:tr2bl w:val="nil"/>
            </w:tcBorders>
            <w:vAlign w:val="center"/>
          </w:tcPr>
          <w:p w14:paraId="14821651">
            <w:pPr>
              <w:adjustRightInd w:val="0"/>
              <w:snapToGrid w:val="0"/>
              <w:spacing w:line="29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固废暂存</w:t>
            </w:r>
          </w:p>
        </w:tc>
        <w:tc>
          <w:tcPr>
            <w:tcW w:w="942" w:type="pct"/>
            <w:tcBorders>
              <w:tl2br w:val="nil"/>
              <w:tr2bl w:val="nil"/>
            </w:tcBorders>
            <w:vAlign w:val="center"/>
          </w:tcPr>
          <w:p w14:paraId="2CF7015C">
            <w:pPr>
              <w:adjustRightInd w:val="0"/>
              <w:snapToGrid w:val="0"/>
              <w:spacing w:line="29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一般固废</w:t>
            </w:r>
          </w:p>
        </w:tc>
        <w:tc>
          <w:tcPr>
            <w:tcW w:w="2931" w:type="pct"/>
            <w:tcBorders>
              <w:tl2br w:val="nil"/>
              <w:tr2bl w:val="nil"/>
            </w:tcBorders>
            <w:vAlign w:val="center"/>
          </w:tcPr>
          <w:p w14:paraId="14FC580B">
            <w:pPr>
              <w:adjustRightInd w:val="0"/>
              <w:snapToGrid w:val="0"/>
              <w:spacing w:line="29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鸡粪运输过程中发生遗撒</w:t>
            </w:r>
          </w:p>
        </w:tc>
      </w:tr>
      <w:tr w14:paraId="389C92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Merge w:val="continue"/>
            <w:tcBorders>
              <w:tl2br w:val="nil"/>
              <w:tr2bl w:val="nil"/>
            </w:tcBorders>
            <w:vAlign w:val="center"/>
          </w:tcPr>
          <w:p w14:paraId="105711C6">
            <w:pPr>
              <w:adjustRightInd w:val="0"/>
              <w:snapToGrid w:val="0"/>
              <w:spacing w:line="290" w:lineRule="exact"/>
              <w:jc w:val="center"/>
              <w:rPr>
                <w:rFonts w:ascii="Times New Roman" w:hAnsi="Times New Roman" w:eastAsia="宋体" w:cs="Times New Roman"/>
                <w:bCs/>
                <w:kern w:val="0"/>
                <w:sz w:val="21"/>
                <w:szCs w:val="21"/>
              </w:rPr>
            </w:pPr>
          </w:p>
        </w:tc>
        <w:tc>
          <w:tcPr>
            <w:tcW w:w="588" w:type="pct"/>
            <w:vMerge w:val="continue"/>
            <w:tcBorders>
              <w:tl2br w:val="nil"/>
              <w:tr2bl w:val="nil"/>
            </w:tcBorders>
            <w:vAlign w:val="center"/>
          </w:tcPr>
          <w:p w14:paraId="2AF5F743">
            <w:pPr>
              <w:adjustRightInd w:val="0"/>
              <w:snapToGrid w:val="0"/>
              <w:spacing w:line="290" w:lineRule="exact"/>
              <w:jc w:val="center"/>
              <w:rPr>
                <w:rFonts w:ascii="Times New Roman" w:hAnsi="Times New Roman" w:eastAsia="宋体" w:cs="Times New Roman"/>
                <w:bCs/>
                <w:kern w:val="0"/>
                <w:sz w:val="21"/>
                <w:szCs w:val="21"/>
              </w:rPr>
            </w:pPr>
          </w:p>
        </w:tc>
        <w:tc>
          <w:tcPr>
            <w:tcW w:w="942" w:type="pct"/>
            <w:tcBorders>
              <w:tl2br w:val="nil"/>
              <w:tr2bl w:val="nil"/>
            </w:tcBorders>
            <w:vAlign w:val="center"/>
          </w:tcPr>
          <w:p w14:paraId="72C584C7">
            <w:pPr>
              <w:adjustRightInd w:val="0"/>
              <w:snapToGrid w:val="0"/>
              <w:spacing w:line="29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危险固废</w:t>
            </w:r>
          </w:p>
        </w:tc>
        <w:tc>
          <w:tcPr>
            <w:tcW w:w="2931" w:type="pct"/>
            <w:tcBorders>
              <w:tl2br w:val="nil"/>
              <w:tr2bl w:val="nil"/>
            </w:tcBorders>
            <w:vAlign w:val="center"/>
          </w:tcPr>
          <w:p w14:paraId="52030163">
            <w:pPr>
              <w:adjustRightInd w:val="0"/>
              <w:snapToGrid w:val="0"/>
              <w:spacing w:line="29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危废暂存间防渗措施不到位，危废泄漏</w:t>
            </w:r>
          </w:p>
        </w:tc>
      </w:tr>
    </w:tbl>
    <w:p w14:paraId="35F89E8B">
      <w:pPr>
        <w:pStyle w:val="8"/>
        <w:spacing w:line="480" w:lineRule="exact"/>
      </w:pPr>
      <w:r>
        <w:rPr>
          <w:rFonts w:hint="eastAsia"/>
        </w:rPr>
        <w:t>3</w:t>
      </w:r>
      <w:r>
        <w:t>.9.</w:t>
      </w:r>
      <w:r>
        <w:rPr>
          <w:rFonts w:hint="eastAsia"/>
        </w:rPr>
        <w:t>4</w:t>
      </w:r>
      <w:r>
        <w:t>.</w:t>
      </w:r>
      <w:r>
        <w:rPr>
          <w:rFonts w:hint="eastAsia"/>
        </w:rPr>
        <w:t>4</w:t>
      </w:r>
      <w:r>
        <w:t xml:space="preserve"> </w:t>
      </w:r>
      <w:r>
        <w:rPr>
          <w:rFonts w:hint="eastAsia"/>
        </w:rPr>
        <w:t>公用工程风险识别</w:t>
      </w:r>
    </w:p>
    <w:p w14:paraId="61759F5A">
      <w:pPr>
        <w:autoSpaceDE w:val="0"/>
        <w:autoSpaceDN w:val="0"/>
        <w:adjustRightInd w:val="0"/>
        <w:spacing w:line="480" w:lineRule="exact"/>
        <w:ind w:firstLine="480" w:firstLineChars="200"/>
        <w:jc w:val="left"/>
      </w:pPr>
      <w:r>
        <w:rPr>
          <w:rFonts w:hint="eastAsia"/>
        </w:rPr>
        <w:t>（1）变压器及电气设备的火灾、爆炸</w:t>
      </w:r>
    </w:p>
    <w:p w14:paraId="6AEF7D93">
      <w:pPr>
        <w:autoSpaceDE w:val="0"/>
        <w:autoSpaceDN w:val="0"/>
        <w:adjustRightInd w:val="0"/>
        <w:spacing w:line="480" w:lineRule="exact"/>
        <w:ind w:firstLine="480" w:firstLineChars="200"/>
        <w:jc w:val="left"/>
      </w:pPr>
      <w:r>
        <w:rPr>
          <w:rFonts w:hint="eastAsia"/>
        </w:rPr>
        <w:t>变电、输电、配电、用电的电气设备（如变压器、配电装置、高压开关柜、照明装置和有些电气开关等）在严重过载和故障情况下，如绝缘被击穿、稳压电源短路或高阻抗元件因接触不良，元器件突发故障，雷击，机房内违反规程私拉乱接，接地不良，变压器线圈绝缘损坏发生短路，铁芯过热，外部线路短路，容易引起电气火灾。</w:t>
      </w:r>
    </w:p>
    <w:p w14:paraId="5053F745">
      <w:pPr>
        <w:autoSpaceDE w:val="0"/>
        <w:autoSpaceDN w:val="0"/>
        <w:spacing w:line="480" w:lineRule="exact"/>
        <w:ind w:firstLine="480" w:firstLineChars="200"/>
        <w:jc w:val="left"/>
      </w:pPr>
      <w:r>
        <w:rPr>
          <w:rFonts w:hint="eastAsia"/>
        </w:rPr>
        <w:t>（2）电缆火灾</w:t>
      </w:r>
    </w:p>
    <w:p w14:paraId="1821B903">
      <w:pPr>
        <w:autoSpaceDE w:val="0"/>
        <w:autoSpaceDN w:val="0"/>
        <w:spacing w:line="480" w:lineRule="exact"/>
        <w:ind w:firstLine="480" w:firstLineChars="200"/>
        <w:jc w:val="left"/>
      </w:pPr>
      <w:r>
        <w:rPr>
          <w:rFonts w:hint="eastAsia"/>
        </w:rPr>
        <w:t>因电缆表面的绝缘材料为可燃物质，如果超负荷运行导致电缆过热，会发生电缆火灾；或因电缆绝缘破损、老化或接触高温等因素导致绝缘性能下降引起相间短路或相间对地短路而产生火灾。</w:t>
      </w:r>
    </w:p>
    <w:p w14:paraId="3D38A715">
      <w:pPr>
        <w:autoSpaceDE w:val="0"/>
        <w:autoSpaceDN w:val="0"/>
        <w:spacing w:line="480" w:lineRule="exact"/>
        <w:ind w:firstLine="480" w:firstLineChars="200"/>
        <w:jc w:val="left"/>
      </w:pPr>
      <w:r>
        <w:rPr>
          <w:rFonts w:hint="eastAsia"/>
        </w:rPr>
        <w:t>（3）电气伤害</w:t>
      </w:r>
    </w:p>
    <w:p w14:paraId="155559A1">
      <w:pPr>
        <w:autoSpaceDE w:val="0"/>
        <w:autoSpaceDN w:val="0"/>
        <w:spacing w:line="480" w:lineRule="exact"/>
        <w:ind w:firstLine="480" w:firstLineChars="200"/>
        <w:jc w:val="left"/>
      </w:pPr>
      <w:r>
        <w:rPr>
          <w:rFonts w:hint="eastAsia"/>
        </w:rPr>
        <w:t>电气伤害包括：触电、雷电、静电和电弧烧伤的危险。因电气线路或电器设备安装不当、材质缺陷、保养维修不善、接地接零失效、绝缘破损等原因，有可能造成漏电，人体接触带电体会发生触电事故。另外若带电进行大容量断路器、开关、熔断器操作会产生强大电弧，造成操作人员烧伤危险。若防雷设施或接地装置损坏、失效，雷雨季节有可能遭受雷击伤害。</w:t>
      </w:r>
    </w:p>
    <w:p w14:paraId="56CFD264">
      <w:pPr>
        <w:pStyle w:val="8"/>
        <w:spacing w:line="480" w:lineRule="exact"/>
      </w:pPr>
      <w:r>
        <w:rPr>
          <w:rFonts w:hint="eastAsia"/>
        </w:rPr>
        <w:t>3</w:t>
      </w:r>
      <w:r>
        <w:t>.9.</w:t>
      </w:r>
      <w:r>
        <w:rPr>
          <w:rFonts w:hint="eastAsia"/>
        </w:rPr>
        <w:t>4</w:t>
      </w:r>
      <w:r>
        <w:t>.</w:t>
      </w:r>
      <w:r>
        <w:rPr>
          <w:rFonts w:hint="eastAsia"/>
        </w:rPr>
        <w:t>5 伴生/次生影响识别</w:t>
      </w:r>
    </w:p>
    <w:p w14:paraId="7BA3A6EC">
      <w:pPr>
        <w:autoSpaceDE w:val="0"/>
        <w:autoSpaceDN w:val="0"/>
        <w:spacing w:line="480" w:lineRule="exact"/>
        <w:ind w:firstLine="480" w:firstLineChars="200"/>
        <w:jc w:val="left"/>
      </w:pPr>
      <w:r>
        <w:rPr>
          <w:rFonts w:hint="eastAsia"/>
        </w:rPr>
        <w:t>如出现火灾、爆炸等事故，主要燃烧产物为CO</w:t>
      </w:r>
      <w:r>
        <w:rPr>
          <w:rFonts w:hint="eastAsia"/>
          <w:vertAlign w:val="subscript"/>
        </w:rPr>
        <w:t>2</w:t>
      </w:r>
      <w:r>
        <w:rPr>
          <w:rFonts w:hint="eastAsia"/>
        </w:rPr>
        <w:t>、CO等，可能会造成一定程度的伴生/次生污染。同时应急救援过程会产生消防废水，如沿雨水管网外排，将会对受纳水体产生一定污染。</w:t>
      </w:r>
    </w:p>
    <w:p w14:paraId="23493790">
      <w:pPr>
        <w:pStyle w:val="4"/>
        <w:spacing w:after="0" w:line="480" w:lineRule="exact"/>
        <w:jc w:val="both"/>
      </w:pPr>
      <w:bookmarkStart w:id="94" w:name="_Toc20322"/>
      <w:r>
        <w:rPr>
          <w:rFonts w:hint="eastAsia"/>
        </w:rPr>
        <w:t>3</w:t>
      </w:r>
      <w:r>
        <w:t xml:space="preserve">.10 </w:t>
      </w:r>
      <w:r>
        <w:rPr>
          <w:rFonts w:hint="eastAsia"/>
        </w:rPr>
        <w:t>清洁生产分析</w:t>
      </w:r>
      <w:bookmarkEnd w:id="94"/>
    </w:p>
    <w:p w14:paraId="71C07FA1">
      <w:pPr>
        <w:pStyle w:val="7"/>
        <w:spacing w:line="480" w:lineRule="exact"/>
      </w:pPr>
      <w:r>
        <w:rPr>
          <w:rFonts w:hint="eastAsia"/>
        </w:rPr>
        <w:t>3.</w:t>
      </w:r>
      <w:r>
        <w:t>10.1</w:t>
      </w:r>
      <w:r>
        <w:rPr>
          <w:rFonts w:hint="eastAsia"/>
        </w:rPr>
        <w:t>原辅材料的清洁性</w:t>
      </w:r>
    </w:p>
    <w:p w14:paraId="3E6C5915">
      <w:pPr>
        <w:autoSpaceDE w:val="0"/>
        <w:autoSpaceDN w:val="0"/>
        <w:spacing w:line="480" w:lineRule="exact"/>
        <w:ind w:firstLine="480" w:firstLineChars="200"/>
        <w:jc w:val="left"/>
      </w:pPr>
      <w:r>
        <w:rPr>
          <w:rFonts w:hint="eastAsia"/>
        </w:rPr>
        <w:t>本项目鸡饲料均为外购，不在厂内加工，饲料中主要成分为玉米、粕类、混合营养素及饲料添加剂，不含兴奋剂、瘦肉精、镇静剂和各种违禁药品，饲料成品中保证一定比例的粗蛋白质、粗纤维、粗灰分、钙、总磷、食盐、水分及蛋氨酸等成分，确保饲料的清洁性、营养型和安全性，避免了由原料带来的危害和损失，属清洁原料。</w:t>
      </w:r>
    </w:p>
    <w:p w14:paraId="36403CB5">
      <w:pPr>
        <w:pStyle w:val="7"/>
        <w:spacing w:line="480" w:lineRule="exact"/>
      </w:pPr>
      <w:r>
        <w:rPr>
          <w:rFonts w:hint="eastAsia"/>
        </w:rPr>
        <w:t>3</w:t>
      </w:r>
      <w:r>
        <w:t xml:space="preserve">.10.2 </w:t>
      </w:r>
      <w:r>
        <w:rPr>
          <w:rFonts w:hint="eastAsia"/>
        </w:rPr>
        <w:t>污染控制水平</w:t>
      </w:r>
    </w:p>
    <w:p w14:paraId="22E6182F">
      <w:pPr>
        <w:widowControl/>
        <w:spacing w:line="480" w:lineRule="exact"/>
        <w:ind w:firstLine="480" w:firstLineChars="200"/>
        <w:jc w:val="left"/>
      </w:pPr>
      <w:r>
        <w:rPr>
          <w:rFonts w:hint="eastAsia" w:ascii="宋体" w:hAnsi="宋体" w:eastAsia="宋体" w:cs="宋体"/>
          <w:color w:val="000000"/>
          <w:kern w:val="0"/>
          <w:szCs w:val="24"/>
          <w:lang w:bidi="ar"/>
        </w:rPr>
        <w:t>（</w:t>
      </w:r>
      <w:r>
        <w:rPr>
          <w:rFonts w:ascii="Times New Roman" w:hAnsi="Times New Roman" w:eastAsia="宋体" w:cs="Times New Roman"/>
          <w:color w:val="000000"/>
          <w:kern w:val="0"/>
          <w:szCs w:val="24"/>
          <w:lang w:bidi="ar"/>
        </w:rPr>
        <w:t>1</w:t>
      </w:r>
      <w:r>
        <w:rPr>
          <w:rFonts w:hint="eastAsia" w:ascii="宋体" w:hAnsi="宋体" w:eastAsia="宋体" w:cs="宋体"/>
          <w:color w:val="000000"/>
          <w:kern w:val="0"/>
          <w:szCs w:val="24"/>
          <w:lang w:bidi="ar"/>
        </w:rPr>
        <w:t>）病死鸡处置方式</w:t>
      </w:r>
    </w:p>
    <w:p w14:paraId="1263EA46">
      <w:pPr>
        <w:widowControl/>
        <w:spacing w:line="480" w:lineRule="exact"/>
        <w:ind w:firstLine="480" w:firstLineChars="200"/>
        <w:jc w:val="left"/>
      </w:pPr>
      <w:r>
        <w:rPr>
          <w:rFonts w:hint="eastAsia" w:ascii="宋体" w:hAnsi="宋体" w:eastAsia="宋体" w:cs="宋体"/>
          <w:color w:val="000000"/>
          <w:kern w:val="0"/>
          <w:szCs w:val="24"/>
          <w:lang w:bidi="ar"/>
        </w:rPr>
        <w:t>根据中华人民共和国国务院第</w:t>
      </w:r>
      <w:r>
        <w:rPr>
          <w:rFonts w:ascii="Times New Roman" w:hAnsi="Times New Roman" w:eastAsia="宋体" w:cs="Times New Roman"/>
          <w:color w:val="000000"/>
          <w:kern w:val="0"/>
          <w:szCs w:val="24"/>
          <w:lang w:bidi="ar"/>
        </w:rPr>
        <w:t>450</w:t>
      </w:r>
      <w:r>
        <w:rPr>
          <w:rFonts w:hint="eastAsia" w:ascii="宋体" w:hAnsi="宋体" w:eastAsia="宋体" w:cs="宋体"/>
          <w:color w:val="000000"/>
          <w:kern w:val="0"/>
          <w:szCs w:val="24"/>
          <w:lang w:bidi="ar"/>
        </w:rPr>
        <w:t>号令《重大动物疫情应急条例》，畜禽养殖业出现重大疫情和传染病时，政府监管部门和养殖业主对出现的病、死畜禽采取集中应急销毁处理制度，此时出现的病、死畜禽不属于养殖业主无公害化处理范围。根据畜禽养殖行业无公害化规定，本项目对养殖过程出现的正常病死鸡委托</w:t>
      </w:r>
      <w:r>
        <w:rPr>
          <w:rFonts w:hAnsi="宋体"/>
          <w:color w:val="000000"/>
          <w:szCs w:val="24"/>
        </w:rPr>
        <w:t>泗阳北斗星动物无害化处理有限公司</w:t>
      </w:r>
      <w:r>
        <w:rPr>
          <w:rFonts w:hint="eastAsia" w:ascii="宋体" w:hAnsi="宋体" w:eastAsia="宋体" w:cs="宋体"/>
          <w:color w:val="000000"/>
          <w:kern w:val="0"/>
          <w:szCs w:val="24"/>
          <w:lang w:bidi="ar"/>
        </w:rPr>
        <w:t>进行无害化处置。</w:t>
      </w:r>
    </w:p>
    <w:p w14:paraId="1109AAE5">
      <w:pPr>
        <w:pStyle w:val="99"/>
        <w:adjustRightInd/>
        <w:snapToGrid/>
        <w:spacing w:line="480" w:lineRule="exact"/>
        <w:rPr>
          <w:rFonts w:eastAsia="宋体"/>
        </w:rPr>
      </w:pPr>
      <w:r>
        <w:rPr>
          <w:rFonts w:hint="eastAsia"/>
        </w:rPr>
        <w:t>（2）臭气污染控制</w:t>
      </w:r>
    </w:p>
    <w:p w14:paraId="5EF01490">
      <w:pPr>
        <w:widowControl/>
        <w:spacing w:line="480" w:lineRule="exact"/>
        <w:ind w:firstLine="480" w:firstLineChars="200"/>
        <w:jc w:val="left"/>
      </w:pPr>
      <w:r>
        <w:rPr>
          <w:rFonts w:hint="eastAsia" w:ascii="宋体" w:hAnsi="宋体" w:eastAsia="宋体" w:cs="宋体"/>
          <w:color w:val="000000"/>
          <w:kern w:val="0"/>
          <w:szCs w:val="24"/>
          <w:lang w:bidi="ar"/>
        </w:rPr>
        <w:t>本项目在外购饲料中已添加新型复合微生物菌剂，采用生物除臭剂定期喷洒鸡舍进行除臭，同时对鸡粪暂存库恶臭进行收集处理。</w:t>
      </w:r>
    </w:p>
    <w:p w14:paraId="1104669B">
      <w:pPr>
        <w:pStyle w:val="99"/>
        <w:adjustRightInd/>
        <w:snapToGrid/>
        <w:spacing w:line="480" w:lineRule="exact"/>
        <w:rPr>
          <w:rFonts w:eastAsia="宋体"/>
        </w:rPr>
      </w:pPr>
      <w:r>
        <w:rPr>
          <w:rFonts w:hint="eastAsia"/>
        </w:rPr>
        <w:t>（3）鸡粪处置方式</w:t>
      </w:r>
    </w:p>
    <w:p w14:paraId="2A090A83">
      <w:pPr>
        <w:pStyle w:val="99"/>
        <w:adjustRightInd/>
        <w:snapToGrid/>
        <w:spacing w:line="480" w:lineRule="exact"/>
        <w:rPr>
          <w:rFonts w:eastAsia="宋体"/>
        </w:rPr>
      </w:pPr>
      <w:r>
        <w:rPr>
          <w:rFonts w:hint="eastAsia"/>
        </w:rPr>
        <w:t>本项目采用干清粪工艺，鸡粪日产日清</w:t>
      </w:r>
      <w:r>
        <w:rPr>
          <w:rFonts w:eastAsia="宋体" w:cs="Times New Roman"/>
        </w:rPr>
        <w:t>，干清粪比例达到99%以上</w:t>
      </w:r>
      <w:r>
        <w:rPr>
          <w:rFonts w:hint="eastAsia" w:eastAsia="宋体" w:cs="Times New Roman"/>
        </w:rPr>
        <w:t>。项目产生的鸡粪委托</w:t>
      </w:r>
      <w:r>
        <w:rPr>
          <w:rFonts w:hint="eastAsia" w:hAnsi="宋体" w:eastAsia="宋体"/>
          <w:lang w:eastAsia="zh-CN"/>
        </w:rPr>
        <w:t>泗阳巨宇畜禽粪污处理有限公司</w:t>
      </w:r>
      <w:r>
        <w:rPr>
          <w:rFonts w:hint="eastAsia" w:hAnsi="宋体"/>
        </w:rPr>
        <w:t>资源化利用</w:t>
      </w:r>
      <w:r>
        <w:rPr>
          <w:rFonts w:hint="eastAsia"/>
          <w:szCs w:val="24"/>
        </w:rPr>
        <w:t>。</w:t>
      </w:r>
    </w:p>
    <w:p w14:paraId="3C77EDDB">
      <w:pPr>
        <w:pStyle w:val="7"/>
        <w:spacing w:line="480" w:lineRule="exact"/>
      </w:pPr>
      <w:r>
        <w:rPr>
          <w:rFonts w:hint="eastAsia"/>
        </w:rPr>
        <w:t>3</w:t>
      </w:r>
      <w:r>
        <w:t xml:space="preserve">.10.3 </w:t>
      </w:r>
      <w:r>
        <w:rPr>
          <w:rFonts w:hint="eastAsia"/>
        </w:rPr>
        <w:t>生产工艺先进性</w:t>
      </w:r>
    </w:p>
    <w:p w14:paraId="3DEB2565">
      <w:pPr>
        <w:pStyle w:val="99"/>
        <w:adjustRightInd/>
        <w:snapToGrid/>
        <w:spacing w:line="480" w:lineRule="exact"/>
      </w:pPr>
      <w:r>
        <w:t>（1）本项目养殖过程中采用自动饲喂、自动清粪、自动环控、视频监控等设施，极大的提高畜禽养殖机械化、自动化水平。</w:t>
      </w:r>
    </w:p>
    <w:p w14:paraId="408893B9">
      <w:pPr>
        <w:pStyle w:val="99"/>
        <w:adjustRightInd/>
        <w:snapToGrid/>
        <w:spacing w:line="480" w:lineRule="exact"/>
      </w:pPr>
      <w:r>
        <w:t>（2）在节水方面，本项目采用自动饮水系统，防止泼洒浪费，提高水的使用效率，降低水资源消耗量；</w:t>
      </w:r>
    </w:p>
    <w:p w14:paraId="354DD989">
      <w:pPr>
        <w:pStyle w:val="99"/>
        <w:adjustRightInd/>
        <w:snapToGrid/>
        <w:spacing w:line="480" w:lineRule="exact"/>
      </w:pPr>
      <w:r>
        <w:t>（3）在节能方面，本项目采用了节能电器设备，无国家产业政策限制使用的淘汰类设备。</w:t>
      </w:r>
    </w:p>
    <w:p w14:paraId="090B9AD7">
      <w:pPr>
        <w:spacing w:line="480" w:lineRule="exact"/>
        <w:ind w:firstLine="480" w:firstLineChars="200"/>
        <w:sectPr>
          <w:pgSz w:w="11906" w:h="16838"/>
          <w:pgMar w:top="1417" w:right="1417" w:bottom="1417" w:left="1417" w:header="850" w:footer="850" w:gutter="0"/>
          <w:pgNumType w:fmt="decimal"/>
          <w:cols w:space="425" w:num="1"/>
          <w:docGrid w:type="lines" w:linePitch="326" w:charSpace="0"/>
        </w:sectPr>
      </w:pPr>
    </w:p>
    <w:p w14:paraId="789D90E4">
      <w:pPr>
        <w:pStyle w:val="3"/>
        <w:spacing w:line="480" w:lineRule="exact"/>
        <w:rPr>
          <w:color w:val="000000" w:themeColor="text1"/>
          <w14:textFill>
            <w14:solidFill>
              <w14:schemeClr w14:val="tx1"/>
            </w14:solidFill>
          </w14:textFill>
        </w:rPr>
      </w:pPr>
      <w:bookmarkStart w:id="95" w:name="_Toc4433"/>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环境现状调查与评价</w:t>
      </w:r>
      <w:bookmarkEnd w:id="95"/>
    </w:p>
    <w:p w14:paraId="5B62ECD3">
      <w:pPr>
        <w:pStyle w:val="4"/>
        <w:spacing w:after="0" w:line="480" w:lineRule="exact"/>
        <w:jc w:val="both"/>
        <w:rPr>
          <w:color w:val="000000" w:themeColor="text1"/>
          <w14:textFill>
            <w14:solidFill>
              <w14:schemeClr w14:val="tx1"/>
            </w14:solidFill>
          </w14:textFill>
        </w:rPr>
      </w:pPr>
      <w:bookmarkStart w:id="96" w:name="_Toc112"/>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地理位置</w:t>
      </w:r>
      <w:bookmarkEnd w:id="96"/>
    </w:p>
    <w:p w14:paraId="2C57EB1D">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本项目位于宿迁市泗阳县穿城镇向阳村，项目地理位置见</w:t>
      </w:r>
      <w:r>
        <w:rPr>
          <w:rFonts w:hint="eastAsia"/>
          <w:b/>
          <w:bCs/>
          <w:color w:val="000000" w:themeColor="text1"/>
          <w14:textFill>
            <w14:solidFill>
              <w14:schemeClr w14:val="tx1"/>
            </w14:solidFill>
          </w14:textFill>
        </w:rPr>
        <w:t>图4.1-1</w:t>
      </w:r>
      <w:r>
        <w:rPr>
          <w:rFonts w:hint="eastAsia"/>
          <w:color w:val="000000" w:themeColor="text1"/>
          <w14:textFill>
            <w14:solidFill>
              <w14:schemeClr w14:val="tx1"/>
            </w14:solidFill>
          </w14:textFill>
        </w:rPr>
        <w:t>。</w:t>
      </w:r>
    </w:p>
    <w:p w14:paraId="75FD255F">
      <w:pPr>
        <w:adjustRightInd w:val="0"/>
        <w:spacing w:line="480" w:lineRule="exact"/>
        <w:ind w:firstLine="480"/>
        <w:rPr>
          <w:rFonts w:ascii="Times New Roman"/>
          <w:szCs w:val="24"/>
        </w:rPr>
      </w:pPr>
      <w:r>
        <w:rPr>
          <w:rFonts w:ascii="Times New Roman"/>
          <w:szCs w:val="24"/>
        </w:rPr>
        <w:t>泗阳县位于江苏省北部，地理坐标介于东经118°20′～118°45′，北纬33°23′～33°58′之间，地处鲁南丘陵与苏北平原过渡带，南靠洪泽湖，东临淮安市淮阴区，西与宿迁市宿豫区毗连，北与宿迁市沭阳县接壤，总面积1418平方公里。截至2020年底，泗阳县常住人口为829562人。</w:t>
      </w:r>
    </w:p>
    <w:p w14:paraId="4A5F75E1">
      <w:pPr>
        <w:adjustRightInd w:val="0"/>
        <w:spacing w:line="480" w:lineRule="exact"/>
        <w:ind w:firstLine="480" w:firstLineChars="200"/>
        <w:rPr>
          <w:rFonts w:ascii="Times New Roman"/>
          <w:szCs w:val="24"/>
        </w:rPr>
      </w:pPr>
      <w:bookmarkStart w:id="97" w:name="_Toc27082"/>
      <w:r>
        <w:rPr>
          <w:rFonts w:ascii="Times New Roman"/>
          <w:szCs w:val="24"/>
        </w:rPr>
        <w:t>2020年7月，撤销众兴镇、八集乡，设立城厢街道、众兴街道、来安街道（包括原八集乡全境）；撤销三庄乡，设立三庄镇；撤销爱园镇、里仁乡，设立新的爱园镇；撤销卢集镇、高渡镇，设立新的卢集镇；撤销王集镇、南刘集乡，设立新的王集镇；撤销穿城镇、张家圩镇，设立新的穿城镇；并将原众兴镇的杨集、林苗圃、大兴3个居民社区划归临河镇管辖。至此，泗阳县下辖3个街道、9个镇、1个乡和2个场圃。</w:t>
      </w:r>
      <w:bookmarkEnd w:id="97"/>
    </w:p>
    <w:p w14:paraId="2080984F">
      <w:pPr>
        <w:pStyle w:val="4"/>
        <w:spacing w:after="0" w:line="480" w:lineRule="exact"/>
        <w:jc w:val="both"/>
        <w:rPr>
          <w:color w:val="000000" w:themeColor="text1"/>
          <w14:textFill>
            <w14:solidFill>
              <w14:schemeClr w14:val="tx1"/>
            </w14:solidFill>
          </w14:textFill>
        </w:rPr>
      </w:pPr>
      <w:bookmarkStart w:id="98" w:name="_Toc12156"/>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自然环境概况</w:t>
      </w:r>
      <w:bookmarkEnd w:id="98"/>
    </w:p>
    <w:p w14:paraId="0F4C7EBE">
      <w:pPr>
        <w:pStyle w:val="7"/>
        <w:spacing w:line="480" w:lineRule="exact"/>
      </w:pPr>
      <w:r>
        <w:rPr>
          <w:rFonts w:hint="eastAsia"/>
        </w:rPr>
        <w:t>4</w:t>
      </w:r>
      <w:r>
        <w:t>.</w:t>
      </w:r>
      <w:r>
        <w:rPr>
          <w:rFonts w:hint="eastAsia"/>
        </w:rPr>
        <w:t>2.1</w:t>
      </w:r>
      <w:r>
        <w:t xml:space="preserve"> </w:t>
      </w:r>
      <w:r>
        <w:rPr>
          <w:rFonts w:hint="eastAsia"/>
        </w:rPr>
        <w:t>地形、地质、地貌</w:t>
      </w:r>
    </w:p>
    <w:p w14:paraId="6453BC1E">
      <w:pPr>
        <w:adjustRightInd w:val="0"/>
        <w:spacing w:line="480" w:lineRule="exact"/>
        <w:ind w:firstLine="480" w:firstLineChars="200"/>
        <w:rPr>
          <w:rFonts w:ascii="Times New Roman"/>
          <w:szCs w:val="24"/>
        </w:rPr>
      </w:pPr>
      <w:r>
        <w:rPr>
          <w:rFonts w:ascii="Times New Roman"/>
          <w:szCs w:val="24"/>
        </w:rPr>
        <w:t>泗阳县地属黄河泛冲平原，境内无山地和丘陵，离海较近，京杭大运河自西北向东南斜贯县境，以大运河为分水岭，将全县分为南北两部分，运河以南北高南低，河流皆流向洪泽湖；运河以北南高北低，河流汇入灌河入海，县城地势西高东低，中间高、南北低、呈鱼脊状。泗阳县境内土壤分三个类型：潮土、砂礓土、黄棕壤土。潮土面积最大，分布最广，占总面积80%左右。土壤质量较差，中、低产田面积较大。</w:t>
      </w:r>
    </w:p>
    <w:p w14:paraId="5B7B66A3">
      <w:pPr>
        <w:adjustRightInd w:val="0"/>
        <w:spacing w:line="480" w:lineRule="exact"/>
        <w:ind w:firstLine="480" w:firstLineChars="200"/>
        <w:rPr>
          <w:rFonts w:ascii="Times New Roman"/>
          <w:szCs w:val="24"/>
        </w:rPr>
      </w:pPr>
      <w:r>
        <w:rPr>
          <w:rFonts w:ascii="Times New Roman"/>
          <w:szCs w:val="24"/>
        </w:rPr>
        <w:t>县境内地表无基岩出露，结晶基底由太古界、下元古界胶东群及中元古界海州群组成。盖层有白垩系、上第三系和下第三系、第四系。淮阴-香水断裂延伸至泗阳。县境中部和北部属华北地合区，南部(高渡)属杨子淮地核的北缘地带。</w:t>
      </w:r>
    </w:p>
    <w:p w14:paraId="4B90B45B">
      <w:pPr>
        <w:adjustRightInd w:val="0"/>
        <w:spacing w:line="480" w:lineRule="exact"/>
        <w:ind w:firstLine="480" w:firstLineChars="200"/>
        <w:rPr>
          <w:rFonts w:ascii="Times New Roman"/>
          <w:szCs w:val="24"/>
        </w:rPr>
      </w:pPr>
      <w:r>
        <w:rPr>
          <w:rFonts w:ascii="Times New Roman"/>
          <w:szCs w:val="24"/>
        </w:rPr>
        <w:t>据历史地震记载，泗阳历史上未记载到破坏性地震，表明该区历史地震活动水平很弱，其现代地震活动水平亦不高，地震稀少且强度低。根据《中国地震动参数区划图》(GB18306-2001)，区域地震动峰值加速度为0.15g，地震动反应谱特征周期为0.20s。本地区地震烈度为七度。</w:t>
      </w:r>
    </w:p>
    <w:p w14:paraId="4A68A79A">
      <w:pPr>
        <w:pStyle w:val="7"/>
        <w:spacing w:line="480" w:lineRule="exact"/>
      </w:pPr>
      <w:r>
        <w:rPr>
          <w:rFonts w:hint="eastAsia"/>
        </w:rPr>
        <w:t>4</w:t>
      </w:r>
      <w:r>
        <w:t>.</w:t>
      </w:r>
      <w:r>
        <w:rPr>
          <w:rFonts w:hint="eastAsia"/>
        </w:rPr>
        <w:t>2.2气象气候条件</w:t>
      </w:r>
    </w:p>
    <w:p w14:paraId="6703274F">
      <w:pPr>
        <w:adjustRightInd w:val="0"/>
        <w:snapToGrid w:val="0"/>
        <w:spacing w:line="480" w:lineRule="exact"/>
        <w:ind w:firstLine="480"/>
        <w:rPr>
          <w:rFonts w:ascii="Times New Roman"/>
          <w:szCs w:val="24"/>
        </w:rPr>
      </w:pPr>
      <w:r>
        <w:rPr>
          <w:rFonts w:ascii="Times New Roman"/>
          <w:szCs w:val="24"/>
        </w:rPr>
        <w:t>泗阳县位于北温带南缘，属北亚热带季风过渡性气候，光照充足，雨量充沛，无霜期长，四季分明。全年平均日照 2168.3小时，年平均气温14.0℃；年平均降雪日数7~9 天，年平均降水天数102.5天，年平均降水量906.2毫米，年平均相对湿度77%；年平均雾日37.2天；冬季盛行偏北风，夏季盛行东南风，年均风速为3.5米/秒。</w:t>
      </w:r>
    </w:p>
    <w:p w14:paraId="33DBFA82">
      <w:pPr>
        <w:adjustRightInd w:val="0"/>
        <w:snapToGrid w:val="0"/>
        <w:spacing w:line="480" w:lineRule="exact"/>
        <w:ind w:firstLine="480"/>
        <w:rPr>
          <w:rFonts w:ascii="Times New Roman"/>
          <w:szCs w:val="24"/>
        </w:rPr>
      </w:pPr>
      <w:r>
        <w:rPr>
          <w:rFonts w:ascii="Times New Roman"/>
          <w:szCs w:val="24"/>
        </w:rPr>
        <w:t>泗阳县全年常风向为东风向，出现频率为9%；次常风向为东北偏东、东南、东向，出现频率为8%；强风向为西北偏北向，最大风速18米/秒；次强风向为东北偏北，最大风速17米/秒。历年大于17.0米/秒大风日数年平均为8.4天，最多年为22天。台风影响主要在7~10月份，年平均影响次数为2~3次。</w:t>
      </w:r>
    </w:p>
    <w:p w14:paraId="22D39303">
      <w:pPr>
        <w:autoSpaceDE w:val="0"/>
        <w:autoSpaceDN w:val="0"/>
        <w:adjustRightInd w:val="0"/>
        <w:snapToGrid w:val="0"/>
        <w:spacing w:line="480" w:lineRule="exact"/>
        <w:ind w:firstLine="482"/>
        <w:jc w:val="center"/>
        <w:rPr>
          <w:rFonts w:ascii="Times New Roman"/>
          <w:b/>
          <w:szCs w:val="24"/>
        </w:rPr>
      </w:pPr>
      <w:r>
        <w:rPr>
          <w:rFonts w:ascii="Times New Roman"/>
          <w:b/>
          <w:szCs w:val="24"/>
        </w:rPr>
        <w:t>表4.2-1 泗阳县气象要素统计表</w:t>
      </w:r>
    </w:p>
    <w:tbl>
      <w:tblPr>
        <w:tblStyle w:val="41"/>
        <w:tblW w:w="5000" w:type="pct"/>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030"/>
        <w:gridCol w:w="3052"/>
        <w:gridCol w:w="3206"/>
      </w:tblGrid>
      <w:tr w14:paraId="4BEDE5F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74" w:type="pct"/>
            <w:gridSpan w:val="2"/>
            <w:vAlign w:val="center"/>
          </w:tcPr>
          <w:p w14:paraId="0DE79B52">
            <w:pPr>
              <w:adjustRightInd w:val="0"/>
              <w:snapToGrid w:val="0"/>
              <w:spacing w:line="300" w:lineRule="exact"/>
              <w:jc w:val="center"/>
              <w:rPr>
                <w:rFonts w:ascii="Times New Roman" w:eastAsia="宋体"/>
                <w:bCs/>
                <w:sz w:val="21"/>
                <w:szCs w:val="21"/>
              </w:rPr>
            </w:pPr>
            <w:r>
              <w:rPr>
                <w:rFonts w:ascii="Times New Roman" w:eastAsia="宋体"/>
                <w:bCs/>
                <w:sz w:val="21"/>
                <w:szCs w:val="21"/>
              </w:rPr>
              <w:t>气象要素</w:t>
            </w:r>
          </w:p>
        </w:tc>
        <w:tc>
          <w:tcPr>
            <w:tcW w:w="1726" w:type="pct"/>
            <w:vAlign w:val="center"/>
          </w:tcPr>
          <w:p w14:paraId="05EAB003">
            <w:pPr>
              <w:adjustRightInd w:val="0"/>
              <w:snapToGrid w:val="0"/>
              <w:spacing w:line="300" w:lineRule="exact"/>
              <w:jc w:val="center"/>
              <w:rPr>
                <w:rFonts w:ascii="Times New Roman" w:eastAsia="宋体"/>
                <w:bCs/>
                <w:sz w:val="21"/>
                <w:szCs w:val="21"/>
              </w:rPr>
            </w:pPr>
            <w:r>
              <w:rPr>
                <w:rFonts w:ascii="Times New Roman" w:eastAsia="宋体"/>
                <w:bCs/>
                <w:sz w:val="21"/>
                <w:szCs w:val="21"/>
              </w:rPr>
              <w:t>数值及单位</w:t>
            </w:r>
          </w:p>
        </w:tc>
      </w:tr>
      <w:tr w14:paraId="5867071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31" w:type="pct"/>
            <w:vMerge w:val="restart"/>
            <w:vAlign w:val="center"/>
          </w:tcPr>
          <w:p w14:paraId="17F0D17B">
            <w:pPr>
              <w:adjustRightInd w:val="0"/>
              <w:snapToGrid w:val="0"/>
              <w:spacing w:line="300" w:lineRule="exact"/>
              <w:jc w:val="center"/>
              <w:rPr>
                <w:rFonts w:ascii="Times New Roman" w:eastAsia="宋体"/>
                <w:bCs/>
                <w:sz w:val="21"/>
                <w:szCs w:val="21"/>
              </w:rPr>
            </w:pPr>
            <w:r>
              <w:rPr>
                <w:rFonts w:ascii="Times New Roman" w:eastAsia="宋体"/>
                <w:bCs/>
                <w:sz w:val="21"/>
                <w:szCs w:val="21"/>
              </w:rPr>
              <w:t>气温</w:t>
            </w:r>
          </w:p>
        </w:tc>
        <w:tc>
          <w:tcPr>
            <w:tcW w:w="1642" w:type="pct"/>
            <w:vAlign w:val="center"/>
          </w:tcPr>
          <w:p w14:paraId="0B3D1D12">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年平均气温</w:t>
            </w:r>
          </w:p>
        </w:tc>
        <w:tc>
          <w:tcPr>
            <w:tcW w:w="1726" w:type="pct"/>
            <w:vAlign w:val="center"/>
          </w:tcPr>
          <w:p w14:paraId="434F281E">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14.1℃</w:t>
            </w:r>
          </w:p>
        </w:tc>
      </w:tr>
      <w:tr w14:paraId="319F3A2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31" w:type="pct"/>
            <w:vMerge w:val="continue"/>
            <w:vAlign w:val="center"/>
          </w:tcPr>
          <w:p w14:paraId="3434B418">
            <w:pPr>
              <w:adjustRightInd w:val="0"/>
              <w:snapToGrid w:val="0"/>
              <w:spacing w:line="300" w:lineRule="exact"/>
              <w:jc w:val="center"/>
              <w:rPr>
                <w:rFonts w:ascii="Times New Roman" w:eastAsia="宋体"/>
                <w:bCs/>
                <w:sz w:val="21"/>
                <w:szCs w:val="21"/>
              </w:rPr>
            </w:pPr>
          </w:p>
        </w:tc>
        <w:tc>
          <w:tcPr>
            <w:tcW w:w="1642" w:type="pct"/>
            <w:vAlign w:val="center"/>
          </w:tcPr>
          <w:p w14:paraId="2B966F9B">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年平均最高气温</w:t>
            </w:r>
          </w:p>
        </w:tc>
        <w:tc>
          <w:tcPr>
            <w:tcW w:w="1726" w:type="pct"/>
            <w:vAlign w:val="center"/>
          </w:tcPr>
          <w:p w14:paraId="3E456AB8">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26.8℃</w:t>
            </w:r>
          </w:p>
        </w:tc>
      </w:tr>
      <w:tr w14:paraId="02F3E21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31" w:type="pct"/>
            <w:vMerge w:val="continue"/>
            <w:vAlign w:val="center"/>
          </w:tcPr>
          <w:p w14:paraId="13808077">
            <w:pPr>
              <w:adjustRightInd w:val="0"/>
              <w:snapToGrid w:val="0"/>
              <w:spacing w:line="300" w:lineRule="exact"/>
              <w:jc w:val="center"/>
              <w:rPr>
                <w:rFonts w:ascii="Times New Roman" w:eastAsia="宋体"/>
                <w:bCs/>
                <w:sz w:val="21"/>
                <w:szCs w:val="21"/>
              </w:rPr>
            </w:pPr>
          </w:p>
        </w:tc>
        <w:tc>
          <w:tcPr>
            <w:tcW w:w="1642" w:type="pct"/>
            <w:vAlign w:val="center"/>
          </w:tcPr>
          <w:p w14:paraId="2C2F9738">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年平均最低气温</w:t>
            </w:r>
          </w:p>
        </w:tc>
        <w:tc>
          <w:tcPr>
            <w:tcW w:w="1726" w:type="pct"/>
            <w:vAlign w:val="center"/>
          </w:tcPr>
          <w:p w14:paraId="4C24D4F1">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-0.5℃</w:t>
            </w:r>
          </w:p>
        </w:tc>
      </w:tr>
      <w:tr w14:paraId="7D50FAE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31" w:type="pct"/>
            <w:vMerge w:val="continue"/>
            <w:vAlign w:val="center"/>
          </w:tcPr>
          <w:p w14:paraId="75DE8416">
            <w:pPr>
              <w:adjustRightInd w:val="0"/>
              <w:snapToGrid w:val="0"/>
              <w:spacing w:line="300" w:lineRule="exact"/>
              <w:jc w:val="center"/>
              <w:rPr>
                <w:rFonts w:ascii="Times New Roman" w:eastAsia="宋体"/>
                <w:bCs/>
                <w:sz w:val="21"/>
                <w:szCs w:val="21"/>
              </w:rPr>
            </w:pPr>
          </w:p>
        </w:tc>
        <w:tc>
          <w:tcPr>
            <w:tcW w:w="1642" w:type="pct"/>
            <w:vAlign w:val="center"/>
          </w:tcPr>
          <w:p w14:paraId="385C4B8E">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极端最低温度</w:t>
            </w:r>
          </w:p>
        </w:tc>
        <w:tc>
          <w:tcPr>
            <w:tcW w:w="1726" w:type="pct"/>
            <w:vAlign w:val="center"/>
          </w:tcPr>
          <w:p w14:paraId="5207F97D">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-23.4℃</w:t>
            </w:r>
          </w:p>
        </w:tc>
      </w:tr>
      <w:tr w14:paraId="20CCC83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31" w:type="pct"/>
            <w:vMerge w:val="continue"/>
            <w:vAlign w:val="center"/>
          </w:tcPr>
          <w:p w14:paraId="38ED0310">
            <w:pPr>
              <w:adjustRightInd w:val="0"/>
              <w:snapToGrid w:val="0"/>
              <w:spacing w:line="300" w:lineRule="exact"/>
              <w:jc w:val="center"/>
              <w:rPr>
                <w:rFonts w:ascii="Times New Roman" w:eastAsia="宋体"/>
                <w:bCs/>
                <w:sz w:val="21"/>
                <w:szCs w:val="21"/>
              </w:rPr>
            </w:pPr>
          </w:p>
        </w:tc>
        <w:tc>
          <w:tcPr>
            <w:tcW w:w="1642" w:type="pct"/>
            <w:vAlign w:val="center"/>
          </w:tcPr>
          <w:p w14:paraId="55FD3EE7">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极端最高温度</w:t>
            </w:r>
          </w:p>
        </w:tc>
        <w:tc>
          <w:tcPr>
            <w:tcW w:w="1726" w:type="pct"/>
            <w:vAlign w:val="center"/>
          </w:tcPr>
          <w:p w14:paraId="75D34FD3">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40℃</w:t>
            </w:r>
          </w:p>
        </w:tc>
      </w:tr>
      <w:tr w14:paraId="6929E8D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31" w:type="pct"/>
            <w:vMerge w:val="restart"/>
            <w:vAlign w:val="center"/>
          </w:tcPr>
          <w:p w14:paraId="3E60E71A">
            <w:pPr>
              <w:adjustRightInd w:val="0"/>
              <w:snapToGrid w:val="0"/>
              <w:spacing w:line="300" w:lineRule="exact"/>
              <w:jc w:val="center"/>
              <w:rPr>
                <w:rFonts w:ascii="Times New Roman" w:eastAsia="宋体"/>
                <w:bCs/>
                <w:sz w:val="21"/>
                <w:szCs w:val="21"/>
              </w:rPr>
            </w:pPr>
            <w:r>
              <w:rPr>
                <w:rFonts w:ascii="Times New Roman" w:eastAsia="宋体"/>
                <w:bCs/>
                <w:sz w:val="21"/>
                <w:szCs w:val="21"/>
              </w:rPr>
              <w:t>湿度</w:t>
            </w:r>
          </w:p>
        </w:tc>
        <w:tc>
          <w:tcPr>
            <w:tcW w:w="1642" w:type="pct"/>
            <w:vAlign w:val="center"/>
          </w:tcPr>
          <w:p w14:paraId="698555C3">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历年平均相对湿度</w:t>
            </w:r>
          </w:p>
        </w:tc>
        <w:tc>
          <w:tcPr>
            <w:tcW w:w="1726" w:type="pct"/>
            <w:vAlign w:val="center"/>
          </w:tcPr>
          <w:p w14:paraId="33904237">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74%</w:t>
            </w:r>
          </w:p>
        </w:tc>
      </w:tr>
      <w:tr w14:paraId="3712484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31" w:type="pct"/>
            <w:vMerge w:val="continue"/>
            <w:vAlign w:val="center"/>
          </w:tcPr>
          <w:p w14:paraId="38A08B92">
            <w:pPr>
              <w:adjustRightInd w:val="0"/>
              <w:snapToGrid w:val="0"/>
              <w:spacing w:line="300" w:lineRule="exact"/>
              <w:jc w:val="center"/>
              <w:rPr>
                <w:rFonts w:ascii="Times New Roman" w:eastAsia="宋体"/>
                <w:bCs/>
                <w:sz w:val="21"/>
                <w:szCs w:val="21"/>
              </w:rPr>
            </w:pPr>
          </w:p>
        </w:tc>
        <w:tc>
          <w:tcPr>
            <w:tcW w:w="1642" w:type="pct"/>
            <w:vAlign w:val="center"/>
          </w:tcPr>
          <w:p w14:paraId="4CC2D7ED">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最大相对湿度</w:t>
            </w:r>
          </w:p>
        </w:tc>
        <w:tc>
          <w:tcPr>
            <w:tcW w:w="1726" w:type="pct"/>
            <w:vAlign w:val="center"/>
          </w:tcPr>
          <w:p w14:paraId="684C2116">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89%</w:t>
            </w:r>
          </w:p>
        </w:tc>
      </w:tr>
      <w:tr w14:paraId="3369C61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31" w:type="pct"/>
            <w:vMerge w:val="continue"/>
            <w:vAlign w:val="center"/>
          </w:tcPr>
          <w:p w14:paraId="67A4006F">
            <w:pPr>
              <w:adjustRightInd w:val="0"/>
              <w:snapToGrid w:val="0"/>
              <w:spacing w:line="300" w:lineRule="exact"/>
              <w:jc w:val="center"/>
              <w:rPr>
                <w:rFonts w:ascii="Times New Roman" w:eastAsia="宋体"/>
                <w:bCs/>
                <w:sz w:val="21"/>
                <w:szCs w:val="21"/>
              </w:rPr>
            </w:pPr>
          </w:p>
        </w:tc>
        <w:tc>
          <w:tcPr>
            <w:tcW w:w="1642" w:type="pct"/>
            <w:vAlign w:val="center"/>
          </w:tcPr>
          <w:p w14:paraId="1E0DB70B">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最小相对湿度</w:t>
            </w:r>
          </w:p>
        </w:tc>
        <w:tc>
          <w:tcPr>
            <w:tcW w:w="1726" w:type="pct"/>
            <w:vAlign w:val="center"/>
          </w:tcPr>
          <w:p w14:paraId="5EBE2C3C">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49%</w:t>
            </w:r>
          </w:p>
        </w:tc>
      </w:tr>
      <w:tr w14:paraId="6A72F6A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31" w:type="pct"/>
            <w:vMerge w:val="restart"/>
            <w:vAlign w:val="center"/>
          </w:tcPr>
          <w:p w14:paraId="729B96AE">
            <w:pPr>
              <w:adjustRightInd w:val="0"/>
              <w:snapToGrid w:val="0"/>
              <w:spacing w:line="300" w:lineRule="exact"/>
              <w:jc w:val="center"/>
              <w:rPr>
                <w:rFonts w:ascii="Times New Roman" w:eastAsia="宋体"/>
                <w:bCs/>
                <w:sz w:val="21"/>
                <w:szCs w:val="21"/>
              </w:rPr>
            </w:pPr>
            <w:r>
              <w:rPr>
                <w:rFonts w:ascii="Times New Roman" w:eastAsia="宋体"/>
                <w:bCs/>
                <w:sz w:val="21"/>
                <w:szCs w:val="21"/>
              </w:rPr>
              <w:t>降水量</w:t>
            </w:r>
          </w:p>
        </w:tc>
        <w:tc>
          <w:tcPr>
            <w:tcW w:w="1642" w:type="pct"/>
            <w:vAlign w:val="center"/>
          </w:tcPr>
          <w:p w14:paraId="7D339132">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最大降雨量</w:t>
            </w:r>
          </w:p>
        </w:tc>
        <w:tc>
          <w:tcPr>
            <w:tcW w:w="1726" w:type="pct"/>
            <w:vAlign w:val="center"/>
          </w:tcPr>
          <w:p w14:paraId="26B5C4E0">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1647.1mm</w:t>
            </w:r>
          </w:p>
        </w:tc>
      </w:tr>
      <w:tr w14:paraId="17666EA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31" w:type="pct"/>
            <w:vMerge w:val="continue"/>
            <w:vAlign w:val="center"/>
          </w:tcPr>
          <w:p w14:paraId="3844CA87">
            <w:pPr>
              <w:adjustRightInd w:val="0"/>
              <w:snapToGrid w:val="0"/>
              <w:spacing w:line="300" w:lineRule="exact"/>
              <w:jc w:val="center"/>
              <w:rPr>
                <w:rFonts w:ascii="Times New Roman" w:eastAsia="宋体"/>
                <w:bCs/>
                <w:sz w:val="21"/>
                <w:szCs w:val="21"/>
              </w:rPr>
            </w:pPr>
          </w:p>
        </w:tc>
        <w:tc>
          <w:tcPr>
            <w:tcW w:w="1642" w:type="pct"/>
            <w:vAlign w:val="center"/>
          </w:tcPr>
          <w:p w14:paraId="431FE90E">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最小降雨量</w:t>
            </w:r>
          </w:p>
        </w:tc>
        <w:tc>
          <w:tcPr>
            <w:tcW w:w="1726" w:type="pct"/>
            <w:vAlign w:val="center"/>
          </w:tcPr>
          <w:p w14:paraId="40EA1E58">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573.9 mm</w:t>
            </w:r>
          </w:p>
        </w:tc>
      </w:tr>
      <w:tr w14:paraId="70C7010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31" w:type="pct"/>
            <w:vMerge w:val="continue"/>
            <w:vAlign w:val="center"/>
          </w:tcPr>
          <w:p w14:paraId="62DF8892">
            <w:pPr>
              <w:adjustRightInd w:val="0"/>
              <w:snapToGrid w:val="0"/>
              <w:spacing w:line="300" w:lineRule="exact"/>
              <w:jc w:val="center"/>
              <w:rPr>
                <w:rFonts w:ascii="Times New Roman" w:eastAsia="宋体"/>
                <w:bCs/>
                <w:sz w:val="21"/>
                <w:szCs w:val="21"/>
              </w:rPr>
            </w:pPr>
          </w:p>
        </w:tc>
        <w:tc>
          <w:tcPr>
            <w:tcW w:w="1642" w:type="pct"/>
            <w:vAlign w:val="center"/>
          </w:tcPr>
          <w:p w14:paraId="13E4EFE7">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多年平均降雨量</w:t>
            </w:r>
          </w:p>
        </w:tc>
        <w:tc>
          <w:tcPr>
            <w:tcW w:w="1726" w:type="pct"/>
            <w:vAlign w:val="center"/>
          </w:tcPr>
          <w:p w14:paraId="30EC6453">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900.6 mm</w:t>
            </w:r>
          </w:p>
        </w:tc>
      </w:tr>
      <w:tr w14:paraId="5CD73B6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31" w:type="pct"/>
            <w:vAlign w:val="center"/>
          </w:tcPr>
          <w:p w14:paraId="1F82884F">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霜</w:t>
            </w:r>
          </w:p>
        </w:tc>
        <w:tc>
          <w:tcPr>
            <w:tcW w:w="1642" w:type="pct"/>
            <w:vAlign w:val="center"/>
          </w:tcPr>
          <w:p w14:paraId="2019E62C">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无霜期</w:t>
            </w:r>
          </w:p>
        </w:tc>
        <w:tc>
          <w:tcPr>
            <w:tcW w:w="1726" w:type="pct"/>
            <w:vAlign w:val="center"/>
          </w:tcPr>
          <w:p w14:paraId="7FA3D40E">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208 天</w:t>
            </w:r>
          </w:p>
        </w:tc>
      </w:tr>
      <w:tr w14:paraId="2106A3D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31" w:type="pct"/>
            <w:vAlign w:val="center"/>
          </w:tcPr>
          <w:p w14:paraId="55A16F81">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日照总时</w:t>
            </w:r>
          </w:p>
        </w:tc>
        <w:tc>
          <w:tcPr>
            <w:tcW w:w="1642" w:type="pct"/>
            <w:vAlign w:val="center"/>
          </w:tcPr>
          <w:p w14:paraId="7303E4BA">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多年平均数日照总时</w:t>
            </w:r>
          </w:p>
        </w:tc>
        <w:tc>
          <w:tcPr>
            <w:tcW w:w="1726" w:type="pct"/>
            <w:vAlign w:val="center"/>
          </w:tcPr>
          <w:p w14:paraId="1E30D723">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2291.6h</w:t>
            </w:r>
          </w:p>
        </w:tc>
      </w:tr>
      <w:tr w14:paraId="3E191BE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31" w:type="pct"/>
            <w:vMerge w:val="restart"/>
            <w:vAlign w:val="center"/>
          </w:tcPr>
          <w:p w14:paraId="1790A990">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风速</w:t>
            </w:r>
          </w:p>
        </w:tc>
        <w:tc>
          <w:tcPr>
            <w:tcW w:w="1642" w:type="pct"/>
            <w:vAlign w:val="center"/>
          </w:tcPr>
          <w:p w14:paraId="5A32FFEB">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平均风速</w:t>
            </w:r>
          </w:p>
        </w:tc>
        <w:tc>
          <w:tcPr>
            <w:tcW w:w="1726" w:type="pct"/>
            <w:vAlign w:val="center"/>
          </w:tcPr>
          <w:p w14:paraId="689C5A1A">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2.9m/s</w:t>
            </w:r>
          </w:p>
        </w:tc>
      </w:tr>
      <w:tr w14:paraId="6CFF477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31" w:type="pct"/>
            <w:vMerge w:val="continue"/>
            <w:vAlign w:val="center"/>
          </w:tcPr>
          <w:p w14:paraId="5F2DF466">
            <w:pPr>
              <w:adjustRightInd w:val="0"/>
              <w:snapToGrid w:val="0"/>
              <w:spacing w:line="300" w:lineRule="exact"/>
              <w:jc w:val="center"/>
              <w:rPr>
                <w:rFonts w:ascii="Times New Roman" w:eastAsia="宋体"/>
                <w:bCs/>
                <w:sz w:val="21"/>
                <w:szCs w:val="21"/>
              </w:rPr>
            </w:pPr>
          </w:p>
        </w:tc>
        <w:tc>
          <w:tcPr>
            <w:tcW w:w="1642" w:type="pct"/>
            <w:vAlign w:val="center"/>
          </w:tcPr>
          <w:p w14:paraId="1C66F3C8">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最大风速</w:t>
            </w:r>
          </w:p>
        </w:tc>
        <w:tc>
          <w:tcPr>
            <w:tcW w:w="1726" w:type="pct"/>
            <w:vAlign w:val="center"/>
          </w:tcPr>
          <w:p w14:paraId="30D99C99">
            <w:pPr>
              <w:kinsoku w:val="0"/>
              <w:overflowPunct w:val="0"/>
              <w:adjustRightInd w:val="0"/>
              <w:snapToGrid w:val="0"/>
              <w:spacing w:line="300" w:lineRule="exact"/>
              <w:jc w:val="center"/>
              <w:rPr>
                <w:rFonts w:ascii="Times New Roman" w:eastAsia="宋体"/>
                <w:bCs/>
                <w:sz w:val="21"/>
                <w:szCs w:val="21"/>
              </w:rPr>
            </w:pPr>
            <w:r>
              <w:rPr>
                <w:rFonts w:ascii="Times New Roman" w:eastAsia="宋体"/>
                <w:bCs/>
                <w:sz w:val="21"/>
                <w:szCs w:val="21"/>
              </w:rPr>
              <w:t>7.2m/s</w:t>
            </w:r>
          </w:p>
        </w:tc>
      </w:tr>
    </w:tbl>
    <w:p w14:paraId="15B97ECF">
      <w:pPr>
        <w:pStyle w:val="100"/>
        <w:spacing w:before="163" w:beforeLines="50" w:line="240" w:lineRule="auto"/>
        <w:ind w:firstLine="0" w:firstLineChars="0"/>
        <w:rPr>
          <w:rFonts w:eastAsia="宋体"/>
          <w:b w:val="0"/>
          <w:sz w:val="20"/>
        </w:rPr>
      </w:pPr>
      <w:r>
        <w:drawing>
          <wp:inline distT="0" distB="0" distL="114300" distR="114300">
            <wp:extent cx="1145540" cy="1130935"/>
            <wp:effectExtent l="0" t="0" r="16510" b="12065"/>
            <wp:docPr id="1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4"/>
                    <pic:cNvPicPr>
                      <a:picLocks noChangeAspect="1"/>
                    </pic:cNvPicPr>
                  </pic:nvPicPr>
                  <pic:blipFill>
                    <a:blip r:embed="rId15"/>
                    <a:stretch>
                      <a:fillRect/>
                    </a:stretch>
                  </pic:blipFill>
                  <pic:spPr>
                    <a:xfrm>
                      <a:off x="0" y="0"/>
                      <a:ext cx="1145540" cy="1130935"/>
                    </a:xfrm>
                    <a:prstGeom prst="rect">
                      <a:avLst/>
                    </a:prstGeom>
                    <a:noFill/>
                    <a:ln>
                      <a:noFill/>
                    </a:ln>
                  </pic:spPr>
                </pic:pic>
              </a:graphicData>
            </a:graphic>
          </wp:inline>
        </w:drawing>
      </w:r>
    </w:p>
    <w:p w14:paraId="52665128">
      <w:pPr>
        <w:pStyle w:val="100"/>
        <w:tabs>
          <w:tab w:val="center" w:pos="4874"/>
        </w:tabs>
        <w:spacing w:line="240" w:lineRule="auto"/>
        <w:ind w:left="-2" w:firstLine="562"/>
        <w:jc w:val="left"/>
        <w:rPr>
          <w:rFonts w:eastAsia="宋体"/>
          <w:bCs/>
          <w:sz w:val="24"/>
          <w:szCs w:val="24"/>
        </w:rPr>
      </w:pPr>
      <w:r>
        <w:rPr>
          <w:rFonts w:eastAsia="宋体"/>
          <w:szCs w:val="18"/>
        </w:rPr>
        <w:tab/>
      </w:r>
      <w:r>
        <w:rPr>
          <w:rFonts w:eastAsia="宋体"/>
          <w:bCs/>
          <w:sz w:val="24"/>
          <w:szCs w:val="24"/>
        </w:rPr>
        <w:t>图4.2-1全年风玫瑰图</w:t>
      </w:r>
    </w:p>
    <w:p w14:paraId="0A42708B">
      <w:pPr>
        <w:pStyle w:val="7"/>
        <w:spacing w:line="480" w:lineRule="exact"/>
      </w:pPr>
      <w:r>
        <w:rPr>
          <w:rFonts w:hint="eastAsia"/>
        </w:rPr>
        <w:t>4</w:t>
      </w:r>
      <w:r>
        <w:t>.</w:t>
      </w:r>
      <w:r>
        <w:rPr>
          <w:rFonts w:hint="eastAsia"/>
        </w:rPr>
        <w:t>2.3水系及水文特征</w:t>
      </w:r>
    </w:p>
    <w:p w14:paraId="04D7E1D3">
      <w:pPr>
        <w:pStyle w:val="82"/>
        <w:snapToGrid/>
        <w:spacing w:line="480" w:lineRule="exact"/>
        <w:rPr>
          <w:color w:val="auto"/>
        </w:rPr>
      </w:pPr>
      <w:r>
        <w:rPr>
          <w:color w:val="auto"/>
        </w:rPr>
        <w:t>泗阳境内自然河流以古黄河滩地为分水岭，以北属沂河、沭河、泗水水系，河流自西向东流入黄海。以南属淮河水系，河流自北向南流入洪泽湖。泗阳县河流纵横，水网稠密，有内河和流域性大小河道37条，内河有爱东河、高松河、成子河、柴塘河等。流域性河流有京杭运河、六塘河等。全县各河流除京杭大运河大量通航外，六塘河、淮泗河等河流只有部分通航，其余皆为排灌用河。项目主要河流简介如下：</w:t>
      </w:r>
    </w:p>
    <w:p w14:paraId="3CEC631C">
      <w:pPr>
        <w:pStyle w:val="82"/>
        <w:snapToGrid/>
        <w:spacing w:line="480" w:lineRule="exact"/>
        <w:rPr>
          <w:color w:val="auto"/>
        </w:rPr>
      </w:pPr>
      <w:r>
        <w:rPr>
          <w:color w:val="auto"/>
        </w:rPr>
        <w:t>（1）京杭大运河</w:t>
      </w:r>
    </w:p>
    <w:p w14:paraId="35AB110D">
      <w:pPr>
        <w:pStyle w:val="82"/>
        <w:snapToGrid/>
        <w:spacing w:line="480" w:lineRule="exact"/>
        <w:rPr>
          <w:color w:val="auto"/>
        </w:rPr>
      </w:pPr>
      <w:r>
        <w:rPr>
          <w:color w:val="auto"/>
        </w:rPr>
        <w:t>京杭大运河流经临河、史集、城厢、众兴、泗阳农场、来安、李口、新袁等乡镇场，从新袁镇出境，在县域长50km，是泗阳航运、灌溉及南水北调重要通道。南水北调工程实施后，京杭运河水流方向改为由东南向西北流淌。设计流量1000 m</w:t>
      </w:r>
      <w:r>
        <w:rPr>
          <w:color w:val="auto"/>
          <w:vertAlign w:val="superscript"/>
        </w:rPr>
        <w:t>3</w:t>
      </w:r>
      <w:r>
        <w:rPr>
          <w:color w:val="auto"/>
        </w:rPr>
        <w:t>/s，底宽60-70m，枯水位14.5m，正常水位17m。</w:t>
      </w:r>
    </w:p>
    <w:p w14:paraId="724BDABE">
      <w:pPr>
        <w:pStyle w:val="82"/>
        <w:snapToGrid/>
        <w:spacing w:line="480" w:lineRule="exact"/>
        <w:rPr>
          <w:color w:val="auto"/>
        </w:rPr>
      </w:pPr>
      <w:r>
        <w:rPr>
          <w:color w:val="auto"/>
        </w:rPr>
        <w:t>（2）六塘河</w:t>
      </w:r>
    </w:p>
    <w:p w14:paraId="148490F6">
      <w:pPr>
        <w:pStyle w:val="82"/>
        <w:snapToGrid/>
        <w:spacing w:line="480" w:lineRule="exact"/>
        <w:rPr>
          <w:color w:val="auto"/>
        </w:rPr>
      </w:pPr>
      <w:r>
        <w:rPr>
          <w:color w:val="auto"/>
        </w:rPr>
        <w:t>六塘河源于骆马湖，从三庄乡入境，呈西北东南流向。经史集转向档流，经南刘集、桃园果园转向东北，经八集、王集、魏圩、庄圩入淮阴县境，在县境内流向呈向南凸出的弧形，县境河段长35km。清康熙年间开凿，为农田灌溉、排洪、航运河道。六塘河是众兴镇的主要纳污河流，河宽约50m，底宽30m，正常水位8.5—9.0m，最低水位7.0m，警戒水位11.5m。坡度1</w:t>
      </w:r>
      <w:r>
        <w:rPr>
          <w:rFonts w:hint="eastAsia"/>
          <w:color w:val="auto"/>
        </w:rPr>
        <w:t>：</w:t>
      </w:r>
      <w:r>
        <w:rPr>
          <w:color w:val="auto"/>
        </w:rPr>
        <w:t>3，水自西向东北流。设计流量300m</w:t>
      </w:r>
      <w:r>
        <w:rPr>
          <w:color w:val="auto"/>
          <w:vertAlign w:val="superscript"/>
        </w:rPr>
        <w:t>3</w:t>
      </w:r>
      <w:r>
        <w:rPr>
          <w:color w:val="auto"/>
        </w:rPr>
        <w:t>/s，枯水期平均流量约6m</w:t>
      </w:r>
      <w:r>
        <w:rPr>
          <w:color w:val="auto"/>
          <w:vertAlign w:val="superscript"/>
        </w:rPr>
        <w:t>3</w:t>
      </w:r>
      <w:r>
        <w:rPr>
          <w:color w:val="auto"/>
        </w:rPr>
        <w:t>/s。</w:t>
      </w:r>
    </w:p>
    <w:p w14:paraId="477DDD88">
      <w:pPr>
        <w:pStyle w:val="82"/>
        <w:snapToGrid/>
        <w:spacing w:line="480" w:lineRule="exact"/>
        <w:rPr>
          <w:color w:val="auto"/>
        </w:rPr>
      </w:pPr>
      <w:r>
        <w:rPr>
          <w:color w:val="auto"/>
        </w:rPr>
        <w:t>六塘河源于骆马湖，从宿迁宿豫县洋河滩闸—泗阳县六塘河地涵（与淮沭河交界）为总六塘河，全长57.6km，水体功能是工业、农业。</w:t>
      </w:r>
    </w:p>
    <w:p w14:paraId="0414DD1E">
      <w:pPr>
        <w:pStyle w:val="82"/>
        <w:snapToGrid/>
        <w:spacing w:line="480" w:lineRule="exact"/>
        <w:rPr>
          <w:color w:val="auto"/>
        </w:rPr>
      </w:pPr>
      <w:r>
        <w:rPr>
          <w:color w:val="auto"/>
        </w:rPr>
        <w:t>与淮沭河汇合后分为两支，一支为北六塘河，一支为南六塘河。北六塘河淮阴钱集闸—淮安市淮阴区王行段，全长43.2km，水体功能是工业、农业；淮阴区王行—灌南县北六塘河闸段，全长6.8km，水体功能是渔业、工业、农业。南六塘河淮阴区盐河堤下—涟水县高沟镇新闸村段，全长56km，水体功能是农业；涟水县高沟镇新闸村灌南县安圩段，全长13.0km，水体功能是饮用、农业。</w:t>
      </w:r>
    </w:p>
    <w:p w14:paraId="23276894">
      <w:pPr>
        <w:pStyle w:val="82"/>
        <w:snapToGrid/>
        <w:spacing w:line="480" w:lineRule="exact"/>
        <w:rPr>
          <w:color w:val="auto"/>
        </w:rPr>
      </w:pPr>
      <w:r>
        <w:rPr>
          <w:color w:val="auto"/>
        </w:rPr>
        <w:t>（3）小黄河</w:t>
      </w:r>
    </w:p>
    <w:p w14:paraId="7CEB5ED5">
      <w:pPr>
        <w:pStyle w:val="82"/>
        <w:snapToGrid/>
        <w:spacing w:line="480" w:lineRule="exact"/>
        <w:rPr>
          <w:color w:val="auto"/>
        </w:rPr>
      </w:pPr>
      <w:r>
        <w:rPr>
          <w:color w:val="auto"/>
        </w:rPr>
        <w:t>该河原系黄河北岸杨工决口冲成。南自史集乡姜集村，北入六塘河。全长7.6公里，排涝面积25平方公里。每遇大雨，两岸洼地受涝受渍。1981年冬整治，1982年春完成，共做土方71万立方米，共建中沟跌水11处，大沟跌水1座。自此，排水通畅，亦可灌溉，民受其益。河上建公路桥1座、生产桥4座、跌水3处、电灌站1座，装机1台套、55千瓦，投资共30万元。</w:t>
      </w:r>
    </w:p>
    <w:p w14:paraId="1858F6FB">
      <w:pPr>
        <w:pStyle w:val="82"/>
        <w:snapToGrid/>
        <w:spacing w:line="480" w:lineRule="exact"/>
        <w:rPr>
          <w:color w:val="auto"/>
        </w:rPr>
      </w:pPr>
      <w:r>
        <w:rPr>
          <w:color w:val="auto"/>
        </w:rPr>
        <w:t>（4）泗塘河</w:t>
      </w:r>
    </w:p>
    <w:p w14:paraId="73C04885">
      <w:pPr>
        <w:pStyle w:val="82"/>
        <w:snapToGrid/>
        <w:spacing w:line="480" w:lineRule="exact"/>
        <w:rPr>
          <w:color w:val="auto"/>
        </w:rPr>
      </w:pPr>
      <w:r>
        <w:rPr>
          <w:color w:val="auto"/>
        </w:rPr>
        <w:t>泗塘河总长11.4km，河面宽约30m，底宽4-15m，坡度1:3，主要功能为排涝，排涝面积40km</w:t>
      </w:r>
      <w:r>
        <w:rPr>
          <w:color w:val="auto"/>
          <w:vertAlign w:val="superscript"/>
        </w:rPr>
        <w:t>2</w:t>
      </w:r>
      <w:r>
        <w:rPr>
          <w:color w:val="auto"/>
        </w:rPr>
        <w:t>，排涝上游水位11.33m，下游水位9.9m，警戒水位11.5m，最低水位8.0m。设计流量64m</w:t>
      </w:r>
      <w:r>
        <w:rPr>
          <w:color w:val="auto"/>
          <w:vertAlign w:val="superscript"/>
        </w:rPr>
        <w:t>3</w:t>
      </w:r>
      <w:r>
        <w:rPr>
          <w:color w:val="auto"/>
        </w:rPr>
        <w:t>/s。河上有闸门控制，闸门靠近六塘河。闸门的功能为挡洪，即阻拦六塘河的洪水流入泗塘河。同时闸门处的泵站便于排出泗塘河中的雨水。该闸门在六塘河发生洪水且高于高水位时关闭，平时闸门开放。泗塘河除雨水外基本无来水。</w:t>
      </w:r>
    </w:p>
    <w:p w14:paraId="50627E63">
      <w:pPr>
        <w:pStyle w:val="82"/>
        <w:snapToGrid/>
        <w:spacing w:line="480" w:lineRule="exact"/>
        <w:rPr>
          <w:color w:val="auto"/>
        </w:rPr>
      </w:pPr>
      <w:r>
        <w:rPr>
          <w:color w:val="auto"/>
        </w:rPr>
        <w:t>（5）</w:t>
      </w:r>
      <w:r>
        <w:rPr>
          <w:rFonts w:hint="eastAsia"/>
          <w:color w:val="auto"/>
        </w:rPr>
        <w:t>古</w:t>
      </w:r>
      <w:r>
        <w:rPr>
          <w:color w:val="auto"/>
        </w:rPr>
        <w:t>黄河</w:t>
      </w:r>
    </w:p>
    <w:p w14:paraId="405814C7">
      <w:pPr>
        <w:spacing w:line="480" w:lineRule="exact"/>
        <w:ind w:firstLine="480" w:firstLineChars="200"/>
        <w:rPr>
          <w:rFonts w:ascii="Times New Roman"/>
          <w:szCs w:val="24"/>
        </w:rPr>
      </w:pPr>
      <w:r>
        <w:rPr>
          <w:rFonts w:ascii="Times New Roman"/>
          <w:szCs w:val="24"/>
        </w:rPr>
        <w:t>古黄河是指现在淮河流域北部，自河南省兰考北朝东南方向，过民权县北，安徽省砀山县北，江苏省徐州市北，经宿迁市南，淮安市北，再折向东北方向，过涟水县南，滨海县北，由大淤尖村入黄海（有一个古黄河口）的一条黄河故道，长496公里，堤内沙滩地面积1316平方公里，约国土面积的万分之一点三八。黄河故道，是黄河从公元1128年至1855年侵泗夺淮720余年间形成的地上悬河。宿迁市境内的黄河故道西起宿豫区皂河镇，东至泗阳县新袁镇，全长约121.36km，为一狭长高亢区域，且蜿蜒曲折，宽窄不一，河宽一般1500m至2000m，最宽达4000m，最窄处800m。地势西北高，东南低。宿豫区朱海附近滩地高程在28.0m左右，泗阳县杨大滩附近滩地高程在18.6m左右。沿线河道自然地形比降1/4000～1/1000。两堤之间滩地与泓底的高差3～6m，滩地自然比降1/15～1/30。中泓在两堤间左右摇摆，多处逼近堤脚，河岸陡立，是历史上的险工险段。流域内大部分为粉沙细土，遇风起尘，遇水流失，少部分淤质粘土成段分布。全线土层深厚，土壤自然肥力较差。古黄河泗阳段就是指经过泗阳县境内的全长48公里的黄河故道。</w:t>
      </w:r>
    </w:p>
    <w:p w14:paraId="360D53CB">
      <w:pPr>
        <w:pStyle w:val="82"/>
        <w:snapToGrid/>
        <w:spacing w:line="480" w:lineRule="exact"/>
        <w:rPr>
          <w:color w:val="auto"/>
        </w:rPr>
      </w:pPr>
      <w:r>
        <w:rPr>
          <w:color w:val="auto"/>
        </w:rPr>
        <w:t>（6）淮泗河</w:t>
      </w:r>
    </w:p>
    <w:p w14:paraId="477CE4D3">
      <w:pPr>
        <w:pStyle w:val="82"/>
        <w:snapToGrid/>
        <w:spacing w:line="480" w:lineRule="exact"/>
        <w:rPr>
          <w:color w:val="auto"/>
        </w:rPr>
      </w:pPr>
      <w:r>
        <w:rPr>
          <w:color w:val="auto"/>
        </w:rPr>
        <w:t>淮泗河南起京杭大运河左堤北侧（排水方向），北至六塘河，全长22km，流域面积128km</w:t>
      </w:r>
      <w:r>
        <w:rPr>
          <w:color w:val="auto"/>
          <w:vertAlign w:val="superscript"/>
        </w:rPr>
        <w:t>2</w:t>
      </w:r>
      <w:r>
        <w:rPr>
          <w:color w:val="auto"/>
        </w:rPr>
        <w:t>，是泗阳县中片地区主要排水河道之一。</w:t>
      </w:r>
    </w:p>
    <w:p w14:paraId="3BA46B81">
      <w:pPr>
        <w:pStyle w:val="82"/>
        <w:numPr>
          <w:ilvl w:val="0"/>
          <w:numId w:val="6"/>
        </w:numPr>
        <w:snapToGrid/>
        <w:spacing w:line="480" w:lineRule="exact"/>
        <w:rPr>
          <w:color w:val="auto"/>
        </w:rPr>
      </w:pPr>
      <w:r>
        <w:rPr>
          <w:rFonts w:hint="eastAsia"/>
          <w:color w:val="auto"/>
        </w:rPr>
        <w:t>颜倪河</w:t>
      </w:r>
    </w:p>
    <w:p w14:paraId="109E36FE">
      <w:pPr>
        <w:pStyle w:val="82"/>
        <w:snapToGrid/>
        <w:spacing w:line="480" w:lineRule="exact"/>
        <w:rPr>
          <w:color w:val="auto"/>
        </w:rPr>
      </w:pPr>
      <w:r>
        <w:rPr>
          <w:rFonts w:hint="eastAsia"/>
          <w:color w:val="auto"/>
        </w:rPr>
        <w:t>颜倪河原系黄河决口，冲成之洼地。晚清至明国年间，无人过问。水大似河，水落是泓，沿泓水患连年。建国后为解除水患，于1995年11月26日至12月7日进行疏浚。南起南刘集乡花锦村，北至大涧，全长21.6公里。当时动员农工4220人，完成土方21.9万立方米。时隔三年淤塞。1985年冬，动员爱园，张家圩、南刘集、王集等公社青壮年妇女近万人疏浚。</w:t>
      </w:r>
    </w:p>
    <w:p w14:paraId="5546922F">
      <w:pPr>
        <w:pStyle w:val="82"/>
        <w:snapToGrid/>
        <w:spacing w:line="480" w:lineRule="exact"/>
        <w:rPr>
          <w:color w:val="auto"/>
        </w:rPr>
      </w:pPr>
      <w:r>
        <w:rPr>
          <w:color w:val="auto"/>
        </w:rPr>
        <w:t>（</w:t>
      </w:r>
      <w:r>
        <w:rPr>
          <w:rFonts w:hint="eastAsia"/>
          <w:color w:val="auto"/>
        </w:rPr>
        <w:t>8</w:t>
      </w:r>
      <w:r>
        <w:rPr>
          <w:color w:val="auto"/>
        </w:rPr>
        <w:t>）南水北调东线工程（泗阳段）简介</w:t>
      </w:r>
    </w:p>
    <w:p w14:paraId="13ED9415">
      <w:pPr>
        <w:pStyle w:val="82"/>
        <w:snapToGrid/>
        <w:spacing w:line="480" w:lineRule="exact"/>
        <w:rPr>
          <w:color w:val="auto"/>
        </w:rPr>
      </w:pPr>
      <w:r>
        <w:rPr>
          <w:color w:val="auto"/>
        </w:rPr>
        <w:t>从长江下游引水，基本沿京杭运河逐级提水北送，向黄淮海平原东部供水，终点天津。</w:t>
      </w:r>
    </w:p>
    <w:p w14:paraId="66384D2C">
      <w:pPr>
        <w:pStyle w:val="82"/>
        <w:snapToGrid/>
        <w:spacing w:line="480" w:lineRule="exact"/>
        <w:rPr>
          <w:color w:val="auto"/>
        </w:rPr>
      </w:pPr>
      <w:r>
        <w:rPr>
          <w:color w:val="auto"/>
        </w:rPr>
        <w:t>南水北调东线工程是在现有的江苏省江水北调工程、京杭运河航道工程和治淮工程的基础上，结合治淮计划兴建一些有关工程规划布置的。东线主体工程由输水工程、蓄水工程、供电工程三部分组成。</w:t>
      </w:r>
    </w:p>
    <w:p w14:paraId="6CB140D1">
      <w:pPr>
        <w:pStyle w:val="82"/>
        <w:snapToGrid/>
        <w:spacing w:line="480" w:lineRule="exact"/>
        <w:rPr>
          <w:color w:val="auto"/>
        </w:rPr>
      </w:pPr>
      <w:r>
        <w:rPr>
          <w:color w:val="auto"/>
        </w:rPr>
        <w:t>京杭运河为输水主干线，部分输水河段增设分干线，输水规模见下表</w:t>
      </w:r>
      <w:r>
        <w:rPr>
          <w:rFonts w:hint="eastAsia"/>
          <w:color w:val="auto"/>
        </w:rPr>
        <w:t>4</w:t>
      </w:r>
      <w:r>
        <w:rPr>
          <w:color w:val="auto"/>
        </w:rPr>
        <w:t>.</w:t>
      </w:r>
      <w:r>
        <w:rPr>
          <w:rFonts w:hint="eastAsia"/>
          <w:color w:val="auto"/>
        </w:rPr>
        <w:t>2</w:t>
      </w:r>
      <w:r>
        <w:rPr>
          <w:color w:val="auto"/>
        </w:rPr>
        <w:t>-2，其中涉及泗阳就是从洪泽湖经主干线中运河输水至骆马湖：</w:t>
      </w:r>
    </w:p>
    <w:p w14:paraId="1EEE2FA3">
      <w:pPr>
        <w:pStyle w:val="83"/>
        <w:snapToGrid/>
        <w:spacing w:line="480" w:lineRule="exact"/>
        <w:rPr>
          <w:rFonts w:hint="default"/>
          <w:szCs w:val="24"/>
        </w:rPr>
      </w:pPr>
      <w:r>
        <w:rPr>
          <w:szCs w:val="24"/>
        </w:rPr>
        <w:t>表4.2-2  南水北调输水规模表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532"/>
        <w:gridCol w:w="998"/>
        <w:gridCol w:w="1469"/>
        <w:gridCol w:w="1524"/>
        <w:gridCol w:w="972"/>
        <w:gridCol w:w="1538"/>
        <w:gridCol w:w="1153"/>
      </w:tblGrid>
      <w:tr w14:paraId="60636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31" w:type="dxa"/>
            <w:vMerge w:val="restart"/>
            <w:vAlign w:val="center"/>
          </w:tcPr>
          <w:p w14:paraId="3845A4DF">
            <w:pPr>
              <w:pStyle w:val="84"/>
              <w:spacing w:line="300" w:lineRule="exact"/>
              <w:rPr>
                <w:b w:val="0"/>
                <w:bCs w:val="0"/>
                <w:color w:val="auto"/>
              </w:rPr>
            </w:pPr>
            <w:r>
              <w:rPr>
                <w:b w:val="0"/>
                <w:bCs w:val="0"/>
                <w:color w:val="auto"/>
              </w:rPr>
              <w:t>河段</w:t>
            </w:r>
          </w:p>
        </w:tc>
        <w:tc>
          <w:tcPr>
            <w:tcW w:w="3990" w:type="dxa"/>
            <w:gridSpan w:val="3"/>
            <w:vAlign w:val="center"/>
          </w:tcPr>
          <w:p w14:paraId="6D17FA78">
            <w:pPr>
              <w:pStyle w:val="84"/>
              <w:spacing w:line="300" w:lineRule="exact"/>
              <w:rPr>
                <w:b w:val="0"/>
                <w:bCs w:val="0"/>
                <w:color w:val="auto"/>
              </w:rPr>
            </w:pPr>
            <w:r>
              <w:rPr>
                <w:b w:val="0"/>
                <w:bCs w:val="0"/>
                <w:color w:val="auto"/>
              </w:rPr>
              <w:t>总体规划</w:t>
            </w:r>
          </w:p>
        </w:tc>
        <w:tc>
          <w:tcPr>
            <w:tcW w:w="3663" w:type="dxa"/>
            <w:gridSpan w:val="3"/>
            <w:vAlign w:val="center"/>
          </w:tcPr>
          <w:p w14:paraId="317A4EA2">
            <w:pPr>
              <w:pStyle w:val="84"/>
              <w:spacing w:line="300" w:lineRule="exact"/>
              <w:rPr>
                <w:b w:val="0"/>
                <w:bCs w:val="0"/>
                <w:color w:val="auto"/>
              </w:rPr>
            </w:pPr>
            <w:r>
              <w:rPr>
                <w:b w:val="0"/>
                <w:bCs w:val="0"/>
                <w:color w:val="auto"/>
              </w:rPr>
              <w:t>第一期工程</w:t>
            </w:r>
          </w:p>
        </w:tc>
      </w:tr>
      <w:tr w14:paraId="2C753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31" w:type="dxa"/>
            <w:vMerge w:val="continue"/>
            <w:vAlign w:val="center"/>
          </w:tcPr>
          <w:p w14:paraId="2DE3A2CC">
            <w:pPr>
              <w:pStyle w:val="84"/>
              <w:spacing w:line="300" w:lineRule="exact"/>
              <w:rPr>
                <w:b w:val="0"/>
                <w:bCs w:val="0"/>
                <w:color w:val="auto"/>
              </w:rPr>
            </w:pPr>
          </w:p>
        </w:tc>
        <w:tc>
          <w:tcPr>
            <w:tcW w:w="997" w:type="dxa"/>
            <w:vAlign w:val="center"/>
          </w:tcPr>
          <w:p w14:paraId="332375EC">
            <w:pPr>
              <w:pStyle w:val="84"/>
              <w:spacing w:line="300" w:lineRule="exact"/>
              <w:rPr>
                <w:b w:val="0"/>
                <w:bCs w:val="0"/>
                <w:color w:val="auto"/>
              </w:rPr>
            </w:pPr>
            <w:r>
              <w:rPr>
                <w:b w:val="0"/>
                <w:bCs w:val="0"/>
                <w:color w:val="auto"/>
              </w:rPr>
              <w:t>规模（m</w:t>
            </w:r>
            <w:r>
              <w:rPr>
                <w:b w:val="0"/>
                <w:bCs w:val="0"/>
                <w:color w:val="auto"/>
                <w:vertAlign w:val="superscript"/>
              </w:rPr>
              <w:t>3</w:t>
            </w:r>
            <w:r>
              <w:rPr>
                <w:b w:val="0"/>
                <w:bCs w:val="0"/>
                <w:color w:val="auto"/>
              </w:rPr>
              <w:t>/s）</w:t>
            </w:r>
          </w:p>
        </w:tc>
        <w:tc>
          <w:tcPr>
            <w:tcW w:w="1469" w:type="dxa"/>
            <w:vAlign w:val="center"/>
          </w:tcPr>
          <w:p w14:paraId="73B8BEAE">
            <w:pPr>
              <w:pStyle w:val="84"/>
              <w:spacing w:line="300" w:lineRule="exact"/>
              <w:rPr>
                <w:b w:val="0"/>
                <w:bCs w:val="0"/>
                <w:color w:val="auto"/>
              </w:rPr>
            </w:pPr>
            <w:r>
              <w:rPr>
                <w:b w:val="0"/>
                <w:bCs w:val="0"/>
                <w:color w:val="auto"/>
              </w:rPr>
              <w:t>主干线</w:t>
            </w:r>
          </w:p>
        </w:tc>
        <w:tc>
          <w:tcPr>
            <w:tcW w:w="1524" w:type="dxa"/>
            <w:vAlign w:val="center"/>
          </w:tcPr>
          <w:p w14:paraId="475A8626">
            <w:pPr>
              <w:pStyle w:val="84"/>
              <w:spacing w:line="300" w:lineRule="exact"/>
              <w:rPr>
                <w:b w:val="0"/>
                <w:bCs w:val="0"/>
                <w:color w:val="auto"/>
              </w:rPr>
            </w:pPr>
            <w:r>
              <w:rPr>
                <w:b w:val="0"/>
                <w:bCs w:val="0"/>
                <w:color w:val="auto"/>
              </w:rPr>
              <w:t>分干线</w:t>
            </w:r>
          </w:p>
        </w:tc>
        <w:tc>
          <w:tcPr>
            <w:tcW w:w="972" w:type="dxa"/>
            <w:vAlign w:val="center"/>
          </w:tcPr>
          <w:p w14:paraId="64EF85DD">
            <w:pPr>
              <w:pStyle w:val="84"/>
              <w:spacing w:line="300" w:lineRule="exact"/>
              <w:rPr>
                <w:b w:val="0"/>
                <w:bCs w:val="0"/>
                <w:color w:val="auto"/>
              </w:rPr>
            </w:pPr>
            <w:r>
              <w:rPr>
                <w:b w:val="0"/>
                <w:bCs w:val="0"/>
                <w:color w:val="auto"/>
              </w:rPr>
              <w:t>规模（m</w:t>
            </w:r>
            <w:r>
              <w:rPr>
                <w:b w:val="0"/>
                <w:bCs w:val="0"/>
                <w:color w:val="auto"/>
                <w:vertAlign w:val="superscript"/>
              </w:rPr>
              <w:t>3</w:t>
            </w:r>
            <w:r>
              <w:rPr>
                <w:b w:val="0"/>
                <w:bCs w:val="0"/>
                <w:color w:val="auto"/>
              </w:rPr>
              <w:t>/s）</w:t>
            </w:r>
          </w:p>
        </w:tc>
        <w:tc>
          <w:tcPr>
            <w:tcW w:w="1538" w:type="dxa"/>
            <w:vAlign w:val="center"/>
          </w:tcPr>
          <w:p w14:paraId="0128903A">
            <w:pPr>
              <w:pStyle w:val="84"/>
              <w:spacing w:line="300" w:lineRule="exact"/>
              <w:rPr>
                <w:b w:val="0"/>
                <w:bCs w:val="0"/>
                <w:color w:val="auto"/>
              </w:rPr>
            </w:pPr>
            <w:r>
              <w:rPr>
                <w:b w:val="0"/>
                <w:bCs w:val="0"/>
                <w:color w:val="auto"/>
              </w:rPr>
              <w:t>主干线</w:t>
            </w:r>
          </w:p>
        </w:tc>
        <w:tc>
          <w:tcPr>
            <w:tcW w:w="1153" w:type="dxa"/>
            <w:vAlign w:val="center"/>
          </w:tcPr>
          <w:p w14:paraId="24846413">
            <w:pPr>
              <w:pStyle w:val="84"/>
              <w:spacing w:line="300" w:lineRule="exact"/>
              <w:rPr>
                <w:b w:val="0"/>
                <w:bCs w:val="0"/>
                <w:color w:val="auto"/>
              </w:rPr>
            </w:pPr>
            <w:r>
              <w:rPr>
                <w:b w:val="0"/>
                <w:bCs w:val="0"/>
                <w:color w:val="auto"/>
              </w:rPr>
              <w:t>分干线</w:t>
            </w:r>
          </w:p>
        </w:tc>
      </w:tr>
      <w:tr w14:paraId="12B50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31" w:type="dxa"/>
            <w:vAlign w:val="center"/>
          </w:tcPr>
          <w:p w14:paraId="24F19F27">
            <w:pPr>
              <w:pStyle w:val="85"/>
              <w:spacing w:line="300" w:lineRule="exact"/>
              <w:rPr>
                <w:rFonts w:hint="default"/>
                <w:color w:val="auto"/>
              </w:rPr>
            </w:pPr>
            <w:r>
              <w:rPr>
                <w:color w:val="auto"/>
              </w:rPr>
              <w:t>长江~洪泽湖</w:t>
            </w:r>
          </w:p>
        </w:tc>
        <w:tc>
          <w:tcPr>
            <w:tcW w:w="997" w:type="dxa"/>
            <w:vAlign w:val="center"/>
          </w:tcPr>
          <w:p w14:paraId="1C6431D5">
            <w:pPr>
              <w:pStyle w:val="85"/>
              <w:spacing w:line="300" w:lineRule="exact"/>
              <w:rPr>
                <w:rFonts w:hint="default"/>
                <w:color w:val="auto"/>
              </w:rPr>
            </w:pPr>
            <w:r>
              <w:rPr>
                <w:color w:val="auto"/>
              </w:rPr>
              <w:t>1000</w:t>
            </w:r>
          </w:p>
        </w:tc>
        <w:tc>
          <w:tcPr>
            <w:tcW w:w="1469" w:type="dxa"/>
            <w:vAlign w:val="center"/>
          </w:tcPr>
          <w:p w14:paraId="3A0FD7A9">
            <w:pPr>
              <w:pStyle w:val="85"/>
              <w:spacing w:line="300" w:lineRule="exact"/>
              <w:rPr>
                <w:rFonts w:hint="default"/>
                <w:color w:val="auto"/>
              </w:rPr>
            </w:pPr>
            <w:r>
              <w:rPr>
                <w:color w:val="auto"/>
              </w:rPr>
              <w:t>里运河400</w:t>
            </w:r>
          </w:p>
        </w:tc>
        <w:tc>
          <w:tcPr>
            <w:tcW w:w="1524" w:type="dxa"/>
            <w:vAlign w:val="center"/>
          </w:tcPr>
          <w:p w14:paraId="49148B78">
            <w:pPr>
              <w:pStyle w:val="85"/>
              <w:spacing w:line="300" w:lineRule="exact"/>
              <w:rPr>
                <w:rFonts w:hint="default"/>
                <w:color w:val="auto"/>
              </w:rPr>
            </w:pPr>
            <w:r>
              <w:rPr>
                <w:color w:val="auto"/>
              </w:rPr>
              <w:t>1.运东线200</w:t>
            </w:r>
          </w:p>
          <w:p w14:paraId="5FADCA01">
            <w:pPr>
              <w:pStyle w:val="85"/>
              <w:spacing w:line="300" w:lineRule="exact"/>
              <w:rPr>
                <w:rFonts w:hint="default"/>
                <w:color w:val="auto"/>
              </w:rPr>
            </w:pPr>
            <w:r>
              <w:rPr>
                <w:color w:val="auto"/>
              </w:rPr>
              <w:t>2.运西线400</w:t>
            </w:r>
          </w:p>
        </w:tc>
        <w:tc>
          <w:tcPr>
            <w:tcW w:w="972" w:type="dxa"/>
            <w:vAlign w:val="center"/>
          </w:tcPr>
          <w:p w14:paraId="395AD4A9">
            <w:pPr>
              <w:pStyle w:val="85"/>
              <w:spacing w:line="300" w:lineRule="exact"/>
              <w:rPr>
                <w:rFonts w:hint="default"/>
                <w:color w:val="auto"/>
              </w:rPr>
            </w:pPr>
            <w:r>
              <w:rPr>
                <w:color w:val="auto"/>
              </w:rPr>
              <w:t>600~525</w:t>
            </w:r>
          </w:p>
        </w:tc>
        <w:tc>
          <w:tcPr>
            <w:tcW w:w="1538" w:type="dxa"/>
            <w:vAlign w:val="center"/>
          </w:tcPr>
          <w:p w14:paraId="0D436101">
            <w:pPr>
              <w:pStyle w:val="85"/>
              <w:spacing w:line="300" w:lineRule="exact"/>
              <w:rPr>
                <w:rFonts w:hint="default"/>
                <w:color w:val="auto"/>
              </w:rPr>
            </w:pPr>
            <w:r>
              <w:rPr>
                <w:color w:val="auto"/>
              </w:rPr>
              <w:t>里运河400</w:t>
            </w:r>
          </w:p>
        </w:tc>
        <w:tc>
          <w:tcPr>
            <w:tcW w:w="1153" w:type="dxa"/>
            <w:vAlign w:val="center"/>
          </w:tcPr>
          <w:p w14:paraId="05DB5493">
            <w:pPr>
              <w:pStyle w:val="85"/>
              <w:spacing w:line="300" w:lineRule="exact"/>
              <w:rPr>
                <w:rFonts w:hint="default"/>
                <w:color w:val="auto"/>
              </w:rPr>
            </w:pPr>
            <w:r>
              <w:rPr>
                <w:color w:val="auto"/>
              </w:rPr>
              <w:t>运东线200</w:t>
            </w:r>
          </w:p>
        </w:tc>
      </w:tr>
      <w:tr w14:paraId="61CB6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31" w:type="dxa"/>
            <w:vAlign w:val="center"/>
          </w:tcPr>
          <w:p w14:paraId="0E452499">
            <w:pPr>
              <w:pStyle w:val="85"/>
              <w:spacing w:line="300" w:lineRule="exact"/>
              <w:rPr>
                <w:rFonts w:hint="default"/>
                <w:color w:val="auto"/>
              </w:rPr>
            </w:pPr>
            <w:r>
              <w:rPr>
                <w:color w:val="auto"/>
              </w:rPr>
              <w:t>洪泽湖~骆马湖</w:t>
            </w:r>
          </w:p>
        </w:tc>
        <w:tc>
          <w:tcPr>
            <w:tcW w:w="997" w:type="dxa"/>
            <w:vAlign w:val="center"/>
          </w:tcPr>
          <w:p w14:paraId="7C52C7B6">
            <w:pPr>
              <w:pStyle w:val="85"/>
              <w:spacing w:line="300" w:lineRule="exact"/>
              <w:rPr>
                <w:rFonts w:hint="default"/>
                <w:color w:val="auto"/>
              </w:rPr>
            </w:pPr>
            <w:r>
              <w:rPr>
                <w:color w:val="auto"/>
              </w:rPr>
              <w:t>850~750</w:t>
            </w:r>
          </w:p>
        </w:tc>
        <w:tc>
          <w:tcPr>
            <w:tcW w:w="1469" w:type="dxa"/>
            <w:vAlign w:val="center"/>
          </w:tcPr>
          <w:p w14:paraId="4AADE9B6">
            <w:pPr>
              <w:pStyle w:val="85"/>
              <w:spacing w:line="300" w:lineRule="exact"/>
              <w:rPr>
                <w:rFonts w:hint="default"/>
                <w:color w:val="auto"/>
              </w:rPr>
            </w:pPr>
            <w:r>
              <w:rPr>
                <w:color w:val="auto"/>
              </w:rPr>
              <w:t>中运河630-580</w:t>
            </w:r>
          </w:p>
        </w:tc>
        <w:tc>
          <w:tcPr>
            <w:tcW w:w="1524" w:type="dxa"/>
            <w:vAlign w:val="center"/>
          </w:tcPr>
          <w:p w14:paraId="58B114C0">
            <w:pPr>
              <w:pStyle w:val="85"/>
              <w:spacing w:line="300" w:lineRule="exact"/>
              <w:rPr>
                <w:rFonts w:hint="default"/>
                <w:color w:val="auto"/>
              </w:rPr>
            </w:pPr>
            <w:r>
              <w:rPr>
                <w:color w:val="auto"/>
              </w:rPr>
              <w:t>徐洪河220-170</w:t>
            </w:r>
          </w:p>
        </w:tc>
        <w:tc>
          <w:tcPr>
            <w:tcW w:w="972" w:type="dxa"/>
            <w:vAlign w:val="center"/>
          </w:tcPr>
          <w:p w14:paraId="41E12E30">
            <w:pPr>
              <w:pStyle w:val="85"/>
              <w:spacing w:line="300" w:lineRule="exact"/>
              <w:rPr>
                <w:rFonts w:hint="default"/>
                <w:color w:val="auto"/>
              </w:rPr>
            </w:pPr>
            <w:r>
              <w:rPr>
                <w:color w:val="auto"/>
              </w:rPr>
              <w:t>450~375</w:t>
            </w:r>
          </w:p>
        </w:tc>
        <w:tc>
          <w:tcPr>
            <w:tcW w:w="1538" w:type="dxa"/>
            <w:vAlign w:val="center"/>
          </w:tcPr>
          <w:p w14:paraId="4B58E170">
            <w:pPr>
              <w:pStyle w:val="85"/>
              <w:spacing w:line="300" w:lineRule="exact"/>
              <w:rPr>
                <w:rFonts w:hint="default"/>
                <w:color w:val="auto"/>
              </w:rPr>
            </w:pPr>
            <w:r>
              <w:rPr>
                <w:color w:val="auto"/>
              </w:rPr>
              <w:t>中运河230-200</w:t>
            </w:r>
          </w:p>
        </w:tc>
        <w:tc>
          <w:tcPr>
            <w:tcW w:w="1153" w:type="dxa"/>
            <w:vAlign w:val="center"/>
          </w:tcPr>
          <w:p w14:paraId="71419A4E">
            <w:pPr>
              <w:pStyle w:val="85"/>
              <w:spacing w:line="300" w:lineRule="exact"/>
              <w:rPr>
                <w:rFonts w:hint="default"/>
                <w:color w:val="auto"/>
              </w:rPr>
            </w:pPr>
            <w:r>
              <w:rPr>
                <w:color w:val="auto"/>
              </w:rPr>
              <w:t>徐洪河220-175</w:t>
            </w:r>
          </w:p>
        </w:tc>
      </w:tr>
      <w:tr w14:paraId="72D03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31" w:type="dxa"/>
            <w:vAlign w:val="center"/>
          </w:tcPr>
          <w:p w14:paraId="3BFDD3BD">
            <w:pPr>
              <w:pStyle w:val="85"/>
              <w:spacing w:line="300" w:lineRule="exact"/>
              <w:rPr>
                <w:rFonts w:hint="default"/>
                <w:color w:val="auto"/>
              </w:rPr>
            </w:pPr>
            <w:r>
              <w:rPr>
                <w:color w:val="auto"/>
              </w:rPr>
              <w:t>骆马湖~南四湖</w:t>
            </w:r>
          </w:p>
        </w:tc>
        <w:tc>
          <w:tcPr>
            <w:tcW w:w="997" w:type="dxa"/>
            <w:vAlign w:val="center"/>
          </w:tcPr>
          <w:p w14:paraId="288D57F9">
            <w:pPr>
              <w:pStyle w:val="85"/>
              <w:spacing w:line="300" w:lineRule="exact"/>
              <w:rPr>
                <w:rFonts w:hint="default"/>
                <w:color w:val="auto"/>
              </w:rPr>
            </w:pPr>
            <w:r>
              <w:rPr>
                <w:color w:val="auto"/>
              </w:rPr>
              <w:t>700~600</w:t>
            </w:r>
          </w:p>
        </w:tc>
        <w:tc>
          <w:tcPr>
            <w:tcW w:w="1469" w:type="dxa"/>
            <w:vAlign w:val="center"/>
          </w:tcPr>
          <w:p w14:paraId="7E1FE3E2">
            <w:pPr>
              <w:pStyle w:val="85"/>
              <w:spacing w:line="300" w:lineRule="exact"/>
              <w:rPr>
                <w:rFonts w:hint="default"/>
                <w:color w:val="auto"/>
              </w:rPr>
            </w:pPr>
            <w:r>
              <w:rPr>
                <w:color w:val="auto"/>
              </w:rPr>
              <w:t>中运河、韩庄运河400</w:t>
            </w:r>
          </w:p>
        </w:tc>
        <w:tc>
          <w:tcPr>
            <w:tcW w:w="1524" w:type="dxa"/>
            <w:vAlign w:val="center"/>
          </w:tcPr>
          <w:p w14:paraId="50440AF0">
            <w:pPr>
              <w:pStyle w:val="85"/>
              <w:spacing w:line="300" w:lineRule="exact"/>
              <w:rPr>
                <w:rFonts w:hint="default"/>
                <w:color w:val="auto"/>
              </w:rPr>
            </w:pPr>
            <w:r>
              <w:rPr>
                <w:color w:val="auto"/>
              </w:rPr>
              <w:t>1.不牢河200</w:t>
            </w:r>
            <w:r>
              <w:rPr>
                <w:color w:val="auto"/>
              </w:rPr>
              <w:br w:type="textWrapping"/>
            </w:r>
            <w:r>
              <w:rPr>
                <w:color w:val="auto"/>
              </w:rPr>
              <w:t>2.房亭河l00</w:t>
            </w:r>
          </w:p>
        </w:tc>
        <w:tc>
          <w:tcPr>
            <w:tcW w:w="972" w:type="dxa"/>
            <w:vAlign w:val="center"/>
          </w:tcPr>
          <w:p w14:paraId="7B7D3B8D">
            <w:pPr>
              <w:pStyle w:val="85"/>
              <w:spacing w:line="300" w:lineRule="exact"/>
              <w:rPr>
                <w:rFonts w:hint="default"/>
                <w:color w:val="auto"/>
              </w:rPr>
            </w:pPr>
            <w:r>
              <w:rPr>
                <w:color w:val="auto"/>
              </w:rPr>
              <w:t>350~300</w:t>
            </w:r>
          </w:p>
        </w:tc>
        <w:tc>
          <w:tcPr>
            <w:tcW w:w="1538" w:type="dxa"/>
            <w:vAlign w:val="center"/>
          </w:tcPr>
          <w:p w14:paraId="6A87ED93">
            <w:pPr>
              <w:pStyle w:val="85"/>
              <w:spacing w:line="300" w:lineRule="exact"/>
              <w:rPr>
                <w:rFonts w:hint="default"/>
                <w:color w:val="auto"/>
              </w:rPr>
            </w:pPr>
            <w:r>
              <w:rPr>
                <w:color w:val="auto"/>
              </w:rPr>
              <w:t>中运河、韩庄运河150</w:t>
            </w:r>
          </w:p>
        </w:tc>
        <w:tc>
          <w:tcPr>
            <w:tcW w:w="1153" w:type="dxa"/>
            <w:vAlign w:val="center"/>
          </w:tcPr>
          <w:p w14:paraId="06C71795">
            <w:pPr>
              <w:pStyle w:val="85"/>
              <w:spacing w:line="300" w:lineRule="exact"/>
              <w:rPr>
                <w:rFonts w:hint="default"/>
                <w:color w:val="auto"/>
              </w:rPr>
            </w:pPr>
            <w:r>
              <w:rPr>
                <w:color w:val="auto"/>
              </w:rPr>
              <w:t>不牢河200-150</w:t>
            </w:r>
          </w:p>
        </w:tc>
      </w:tr>
      <w:tr w14:paraId="78C14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31" w:type="dxa"/>
            <w:vAlign w:val="center"/>
          </w:tcPr>
          <w:p w14:paraId="3A8E049C">
            <w:pPr>
              <w:pStyle w:val="85"/>
              <w:spacing w:line="300" w:lineRule="exact"/>
              <w:rPr>
                <w:rFonts w:hint="default"/>
                <w:color w:val="auto"/>
              </w:rPr>
            </w:pPr>
            <w:r>
              <w:rPr>
                <w:color w:val="auto"/>
              </w:rPr>
              <w:t>南四湖</w:t>
            </w:r>
          </w:p>
        </w:tc>
        <w:tc>
          <w:tcPr>
            <w:tcW w:w="997" w:type="dxa"/>
            <w:vAlign w:val="center"/>
          </w:tcPr>
          <w:p w14:paraId="40632341">
            <w:pPr>
              <w:pStyle w:val="85"/>
              <w:spacing w:line="300" w:lineRule="exact"/>
              <w:rPr>
                <w:rFonts w:hint="default"/>
                <w:color w:val="auto"/>
              </w:rPr>
            </w:pPr>
            <w:r>
              <w:rPr>
                <w:color w:val="auto"/>
              </w:rPr>
              <w:t>600~500</w:t>
            </w:r>
          </w:p>
        </w:tc>
        <w:tc>
          <w:tcPr>
            <w:tcW w:w="1469" w:type="dxa"/>
            <w:vAlign w:val="center"/>
          </w:tcPr>
          <w:p w14:paraId="11F3DFEF">
            <w:pPr>
              <w:pStyle w:val="85"/>
              <w:spacing w:line="300" w:lineRule="exact"/>
              <w:rPr>
                <w:rFonts w:hint="default"/>
                <w:color w:val="auto"/>
              </w:rPr>
            </w:pPr>
            <w:r>
              <w:rPr>
                <w:color w:val="auto"/>
              </w:rPr>
              <w:t>湖区</w:t>
            </w:r>
          </w:p>
        </w:tc>
        <w:tc>
          <w:tcPr>
            <w:tcW w:w="1524" w:type="dxa"/>
            <w:vAlign w:val="center"/>
          </w:tcPr>
          <w:p w14:paraId="7E3324A2">
            <w:pPr>
              <w:pStyle w:val="85"/>
              <w:spacing w:line="300" w:lineRule="exact"/>
              <w:rPr>
                <w:rFonts w:hint="default"/>
                <w:color w:val="auto"/>
              </w:rPr>
            </w:pPr>
            <w:r>
              <w:rPr>
                <w:color w:val="auto"/>
              </w:rPr>
              <w:t>/</w:t>
            </w:r>
          </w:p>
        </w:tc>
        <w:tc>
          <w:tcPr>
            <w:tcW w:w="972" w:type="dxa"/>
            <w:vAlign w:val="center"/>
          </w:tcPr>
          <w:p w14:paraId="35CA50CA">
            <w:pPr>
              <w:pStyle w:val="85"/>
              <w:spacing w:line="300" w:lineRule="exact"/>
              <w:rPr>
                <w:rFonts w:hint="default"/>
                <w:color w:val="auto"/>
              </w:rPr>
            </w:pPr>
            <w:r>
              <w:rPr>
                <w:color w:val="auto"/>
              </w:rPr>
              <w:t>300~220</w:t>
            </w:r>
          </w:p>
        </w:tc>
        <w:tc>
          <w:tcPr>
            <w:tcW w:w="1538" w:type="dxa"/>
            <w:vAlign w:val="center"/>
          </w:tcPr>
          <w:p w14:paraId="64BE1EE4">
            <w:pPr>
              <w:pStyle w:val="85"/>
              <w:spacing w:line="300" w:lineRule="exact"/>
              <w:rPr>
                <w:rFonts w:hint="default"/>
                <w:color w:val="auto"/>
              </w:rPr>
            </w:pPr>
            <w:r>
              <w:rPr>
                <w:color w:val="auto"/>
              </w:rPr>
              <w:t>湖区</w:t>
            </w:r>
          </w:p>
        </w:tc>
        <w:tc>
          <w:tcPr>
            <w:tcW w:w="1153" w:type="dxa"/>
            <w:vAlign w:val="center"/>
          </w:tcPr>
          <w:p w14:paraId="166CA9ED">
            <w:pPr>
              <w:pStyle w:val="85"/>
              <w:spacing w:line="300" w:lineRule="exact"/>
              <w:rPr>
                <w:rFonts w:hint="default"/>
                <w:color w:val="auto"/>
              </w:rPr>
            </w:pPr>
            <w:r>
              <w:rPr>
                <w:color w:val="auto"/>
              </w:rPr>
              <w:t>/</w:t>
            </w:r>
          </w:p>
        </w:tc>
      </w:tr>
      <w:tr w14:paraId="481516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31" w:type="dxa"/>
            <w:vAlign w:val="center"/>
          </w:tcPr>
          <w:p w14:paraId="5E3B9F9D">
            <w:pPr>
              <w:pStyle w:val="85"/>
              <w:spacing w:line="300" w:lineRule="exact"/>
              <w:rPr>
                <w:rFonts w:hint="default"/>
                <w:color w:val="auto"/>
              </w:rPr>
            </w:pPr>
            <w:r>
              <w:rPr>
                <w:color w:val="auto"/>
              </w:rPr>
              <w:t>南四湖~东平湖</w:t>
            </w:r>
          </w:p>
        </w:tc>
        <w:tc>
          <w:tcPr>
            <w:tcW w:w="997" w:type="dxa"/>
            <w:vAlign w:val="center"/>
          </w:tcPr>
          <w:p w14:paraId="508FFEB4">
            <w:pPr>
              <w:pStyle w:val="85"/>
              <w:spacing w:line="300" w:lineRule="exact"/>
              <w:rPr>
                <w:rFonts w:hint="default"/>
                <w:color w:val="auto"/>
              </w:rPr>
            </w:pPr>
            <w:r>
              <w:rPr>
                <w:color w:val="auto"/>
              </w:rPr>
              <w:t>500~450</w:t>
            </w:r>
          </w:p>
        </w:tc>
        <w:tc>
          <w:tcPr>
            <w:tcW w:w="1469" w:type="dxa"/>
            <w:vAlign w:val="center"/>
          </w:tcPr>
          <w:p w14:paraId="37BFA539">
            <w:pPr>
              <w:pStyle w:val="85"/>
              <w:spacing w:line="300" w:lineRule="exact"/>
              <w:rPr>
                <w:rFonts w:hint="default"/>
                <w:color w:val="auto"/>
              </w:rPr>
            </w:pPr>
            <w:r>
              <w:rPr>
                <w:color w:val="auto"/>
              </w:rPr>
              <w:t>梁济运河 柳长河</w:t>
            </w:r>
          </w:p>
        </w:tc>
        <w:tc>
          <w:tcPr>
            <w:tcW w:w="1524" w:type="dxa"/>
            <w:vAlign w:val="center"/>
          </w:tcPr>
          <w:p w14:paraId="6F549CEF">
            <w:pPr>
              <w:pStyle w:val="85"/>
              <w:spacing w:line="300" w:lineRule="exact"/>
              <w:rPr>
                <w:rFonts w:hint="default"/>
                <w:color w:val="auto"/>
              </w:rPr>
            </w:pPr>
            <w:r>
              <w:rPr>
                <w:color w:val="auto"/>
              </w:rPr>
              <w:t>/</w:t>
            </w:r>
          </w:p>
        </w:tc>
        <w:tc>
          <w:tcPr>
            <w:tcW w:w="972" w:type="dxa"/>
            <w:vAlign w:val="center"/>
          </w:tcPr>
          <w:p w14:paraId="21DD4851">
            <w:pPr>
              <w:pStyle w:val="85"/>
              <w:spacing w:line="300" w:lineRule="exact"/>
              <w:rPr>
                <w:rFonts w:hint="default"/>
                <w:color w:val="auto"/>
              </w:rPr>
            </w:pPr>
            <w:r>
              <w:rPr>
                <w:color w:val="auto"/>
              </w:rPr>
              <w:t>220~200</w:t>
            </w:r>
          </w:p>
        </w:tc>
        <w:tc>
          <w:tcPr>
            <w:tcW w:w="1538" w:type="dxa"/>
            <w:vAlign w:val="center"/>
          </w:tcPr>
          <w:p w14:paraId="51DDCA23">
            <w:pPr>
              <w:pStyle w:val="85"/>
              <w:spacing w:line="300" w:lineRule="exact"/>
              <w:rPr>
                <w:rFonts w:hint="default"/>
                <w:color w:val="auto"/>
              </w:rPr>
            </w:pPr>
            <w:r>
              <w:rPr>
                <w:color w:val="auto"/>
              </w:rPr>
              <w:t>梁济运河 柳长河</w:t>
            </w:r>
          </w:p>
        </w:tc>
        <w:tc>
          <w:tcPr>
            <w:tcW w:w="1153" w:type="dxa"/>
            <w:vAlign w:val="center"/>
          </w:tcPr>
          <w:p w14:paraId="5787B137">
            <w:pPr>
              <w:pStyle w:val="85"/>
              <w:spacing w:line="300" w:lineRule="exact"/>
              <w:rPr>
                <w:rFonts w:hint="default"/>
                <w:color w:val="auto"/>
              </w:rPr>
            </w:pPr>
            <w:r>
              <w:rPr>
                <w:color w:val="auto"/>
              </w:rPr>
              <w:t>/</w:t>
            </w:r>
          </w:p>
        </w:tc>
      </w:tr>
      <w:tr w14:paraId="4DB76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31" w:type="dxa"/>
            <w:vAlign w:val="center"/>
          </w:tcPr>
          <w:p w14:paraId="1BC7391E">
            <w:pPr>
              <w:pStyle w:val="85"/>
              <w:spacing w:line="300" w:lineRule="exact"/>
              <w:rPr>
                <w:rFonts w:hint="default"/>
                <w:color w:val="auto"/>
              </w:rPr>
            </w:pPr>
            <w:r>
              <w:rPr>
                <w:color w:val="auto"/>
              </w:rPr>
              <w:t>黄河北岸~卫运河</w:t>
            </w:r>
          </w:p>
        </w:tc>
        <w:tc>
          <w:tcPr>
            <w:tcW w:w="997" w:type="dxa"/>
            <w:vAlign w:val="center"/>
          </w:tcPr>
          <w:p w14:paraId="1A1B4F01">
            <w:pPr>
              <w:pStyle w:val="85"/>
              <w:spacing w:line="300" w:lineRule="exact"/>
              <w:rPr>
                <w:rFonts w:hint="default"/>
                <w:color w:val="auto"/>
              </w:rPr>
            </w:pPr>
            <w:r>
              <w:rPr>
                <w:color w:val="auto"/>
              </w:rPr>
              <w:t>400</w:t>
            </w:r>
          </w:p>
        </w:tc>
        <w:tc>
          <w:tcPr>
            <w:tcW w:w="1469" w:type="dxa"/>
            <w:vAlign w:val="center"/>
          </w:tcPr>
          <w:p w14:paraId="56F27A4C">
            <w:pPr>
              <w:pStyle w:val="85"/>
              <w:spacing w:line="300" w:lineRule="exact"/>
              <w:rPr>
                <w:rFonts w:hint="default"/>
                <w:color w:val="auto"/>
              </w:rPr>
            </w:pPr>
            <w:r>
              <w:rPr>
                <w:color w:val="auto"/>
              </w:rPr>
              <w:t>位临运河 卫运河</w:t>
            </w:r>
          </w:p>
        </w:tc>
        <w:tc>
          <w:tcPr>
            <w:tcW w:w="1524" w:type="dxa"/>
            <w:vAlign w:val="center"/>
          </w:tcPr>
          <w:p w14:paraId="40F0FD81">
            <w:pPr>
              <w:pStyle w:val="85"/>
              <w:spacing w:line="300" w:lineRule="exact"/>
              <w:rPr>
                <w:rFonts w:hint="default"/>
                <w:color w:val="auto"/>
              </w:rPr>
            </w:pPr>
            <w:r>
              <w:rPr>
                <w:color w:val="auto"/>
              </w:rPr>
              <w:t>/</w:t>
            </w:r>
          </w:p>
        </w:tc>
        <w:tc>
          <w:tcPr>
            <w:tcW w:w="972" w:type="dxa"/>
            <w:vAlign w:val="center"/>
          </w:tcPr>
          <w:p w14:paraId="3705A043">
            <w:pPr>
              <w:pStyle w:val="85"/>
              <w:spacing w:line="300" w:lineRule="exact"/>
              <w:rPr>
                <w:rFonts w:hint="default"/>
                <w:color w:val="auto"/>
              </w:rPr>
            </w:pPr>
            <w:r>
              <w:rPr>
                <w:color w:val="auto"/>
              </w:rPr>
              <w:t>200</w:t>
            </w:r>
          </w:p>
        </w:tc>
        <w:tc>
          <w:tcPr>
            <w:tcW w:w="1538" w:type="dxa"/>
            <w:vAlign w:val="center"/>
          </w:tcPr>
          <w:p w14:paraId="41BE0A27">
            <w:pPr>
              <w:pStyle w:val="85"/>
              <w:spacing w:line="300" w:lineRule="exact"/>
              <w:rPr>
                <w:rFonts w:hint="default"/>
                <w:color w:val="auto"/>
              </w:rPr>
            </w:pPr>
            <w:r>
              <w:rPr>
                <w:color w:val="auto"/>
              </w:rPr>
              <w:t>位临运河 卫运河</w:t>
            </w:r>
          </w:p>
        </w:tc>
        <w:tc>
          <w:tcPr>
            <w:tcW w:w="1153" w:type="dxa"/>
            <w:vAlign w:val="center"/>
          </w:tcPr>
          <w:p w14:paraId="515015DB">
            <w:pPr>
              <w:pStyle w:val="85"/>
              <w:spacing w:line="300" w:lineRule="exact"/>
              <w:rPr>
                <w:rFonts w:hint="default"/>
                <w:color w:val="auto"/>
              </w:rPr>
            </w:pPr>
            <w:r>
              <w:rPr>
                <w:color w:val="auto"/>
              </w:rPr>
              <w:t>/</w:t>
            </w:r>
          </w:p>
        </w:tc>
      </w:tr>
      <w:tr w14:paraId="38686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31" w:type="dxa"/>
            <w:vAlign w:val="center"/>
          </w:tcPr>
          <w:p w14:paraId="7F19B0AA">
            <w:pPr>
              <w:pStyle w:val="85"/>
              <w:spacing w:line="300" w:lineRule="exact"/>
              <w:rPr>
                <w:rFonts w:hint="default"/>
                <w:color w:val="auto"/>
              </w:rPr>
            </w:pPr>
            <w:r>
              <w:rPr>
                <w:color w:val="auto"/>
              </w:rPr>
              <w:t>四女寺~天津</w:t>
            </w:r>
          </w:p>
        </w:tc>
        <w:tc>
          <w:tcPr>
            <w:tcW w:w="997" w:type="dxa"/>
            <w:vAlign w:val="center"/>
          </w:tcPr>
          <w:p w14:paraId="62B518F8">
            <w:pPr>
              <w:pStyle w:val="85"/>
              <w:spacing w:line="300" w:lineRule="exact"/>
              <w:rPr>
                <w:rFonts w:hint="default"/>
                <w:color w:val="auto"/>
              </w:rPr>
            </w:pPr>
            <w:r>
              <w:rPr>
                <w:color w:val="auto"/>
              </w:rPr>
              <w:t>400~180</w:t>
            </w:r>
          </w:p>
        </w:tc>
        <w:tc>
          <w:tcPr>
            <w:tcW w:w="1469" w:type="dxa"/>
            <w:vAlign w:val="center"/>
          </w:tcPr>
          <w:p w14:paraId="5EDBCE8F">
            <w:pPr>
              <w:pStyle w:val="85"/>
              <w:spacing w:line="300" w:lineRule="exact"/>
              <w:rPr>
                <w:rFonts w:hint="default"/>
                <w:color w:val="auto"/>
              </w:rPr>
            </w:pPr>
            <w:r>
              <w:rPr>
                <w:color w:val="auto"/>
              </w:rPr>
              <w:t>南运河</w:t>
            </w:r>
          </w:p>
          <w:p w14:paraId="4E02CEA1">
            <w:pPr>
              <w:pStyle w:val="85"/>
              <w:spacing w:line="300" w:lineRule="exact"/>
              <w:rPr>
                <w:rFonts w:hint="default"/>
                <w:color w:val="auto"/>
              </w:rPr>
            </w:pPr>
            <w:r>
              <w:rPr>
                <w:color w:val="auto"/>
              </w:rPr>
              <w:t>马厂减河</w:t>
            </w:r>
          </w:p>
        </w:tc>
        <w:tc>
          <w:tcPr>
            <w:tcW w:w="1524" w:type="dxa"/>
            <w:vAlign w:val="center"/>
          </w:tcPr>
          <w:p w14:paraId="60CC3F83">
            <w:pPr>
              <w:pStyle w:val="85"/>
              <w:spacing w:line="300" w:lineRule="exact"/>
              <w:rPr>
                <w:rFonts w:hint="default"/>
                <w:color w:val="auto"/>
              </w:rPr>
            </w:pPr>
            <w:r>
              <w:rPr>
                <w:color w:val="auto"/>
              </w:rPr>
              <w:t>捷北渠</w:t>
            </w:r>
          </w:p>
        </w:tc>
        <w:tc>
          <w:tcPr>
            <w:tcW w:w="972" w:type="dxa"/>
            <w:vAlign w:val="center"/>
          </w:tcPr>
          <w:p w14:paraId="22D6EB9D">
            <w:pPr>
              <w:pStyle w:val="85"/>
              <w:spacing w:line="300" w:lineRule="exact"/>
              <w:rPr>
                <w:rFonts w:hint="default"/>
                <w:color w:val="auto"/>
              </w:rPr>
            </w:pPr>
            <w:r>
              <w:rPr>
                <w:color w:val="auto"/>
              </w:rPr>
              <w:t>200~100</w:t>
            </w:r>
          </w:p>
        </w:tc>
        <w:tc>
          <w:tcPr>
            <w:tcW w:w="1538" w:type="dxa"/>
            <w:vAlign w:val="center"/>
          </w:tcPr>
          <w:p w14:paraId="7B8BAEA6">
            <w:pPr>
              <w:pStyle w:val="85"/>
              <w:spacing w:line="300" w:lineRule="exact"/>
              <w:rPr>
                <w:rFonts w:hint="default"/>
                <w:color w:val="auto"/>
              </w:rPr>
            </w:pPr>
            <w:r>
              <w:rPr>
                <w:color w:val="auto"/>
              </w:rPr>
              <w:t>南运河</w:t>
            </w:r>
          </w:p>
          <w:p w14:paraId="3C7CFF3F">
            <w:pPr>
              <w:pStyle w:val="85"/>
              <w:spacing w:line="300" w:lineRule="exact"/>
              <w:rPr>
                <w:rFonts w:hint="default"/>
                <w:color w:val="auto"/>
              </w:rPr>
            </w:pPr>
            <w:r>
              <w:rPr>
                <w:color w:val="auto"/>
              </w:rPr>
              <w:t>马厂减河</w:t>
            </w:r>
          </w:p>
        </w:tc>
        <w:tc>
          <w:tcPr>
            <w:tcW w:w="1153" w:type="dxa"/>
            <w:vAlign w:val="center"/>
          </w:tcPr>
          <w:p w14:paraId="60D234CB">
            <w:pPr>
              <w:pStyle w:val="85"/>
              <w:spacing w:line="300" w:lineRule="exact"/>
              <w:rPr>
                <w:rFonts w:hint="default"/>
                <w:color w:val="auto"/>
              </w:rPr>
            </w:pPr>
            <w:r>
              <w:rPr>
                <w:color w:val="auto"/>
              </w:rPr>
              <w:t>/</w:t>
            </w:r>
          </w:p>
        </w:tc>
      </w:tr>
    </w:tbl>
    <w:p w14:paraId="01763498">
      <w:pPr>
        <w:pStyle w:val="82"/>
        <w:spacing w:line="480" w:lineRule="exact"/>
        <w:rPr>
          <w:color w:val="auto"/>
        </w:rPr>
      </w:pPr>
      <w:r>
        <w:rPr>
          <w:color w:val="auto"/>
        </w:rPr>
        <w:t>东线的地形以黄河为脊背向南北倾斜，引水口比黄河处地面低40余米。长江调水到黄河南岸需设13个梯级抽水泵站，总扬程65m，穿过黄河可自流到天津。黄河以南除南四湖内上、下级湖之间设一个梯级，其余各河段上设三个梯级。黄河以南输水干线上设泵站30处；主干线上13处，分干线上17处，设计抽水能力累计共10200m</w:t>
      </w:r>
      <w:r>
        <w:rPr>
          <w:color w:val="auto"/>
          <w:vertAlign w:val="superscript"/>
        </w:rPr>
        <w:t>3</w:t>
      </w:r>
      <w:r>
        <w:rPr>
          <w:color w:val="auto"/>
        </w:rPr>
        <w:t>/s，装机容量101.77万kW，其中可利用现有泵站7处，设计抽水能力1100m</w:t>
      </w:r>
      <w:r>
        <w:rPr>
          <w:color w:val="auto"/>
          <w:vertAlign w:val="superscript"/>
        </w:rPr>
        <w:t>3</w:t>
      </w:r>
      <w:r>
        <w:rPr>
          <w:color w:val="auto"/>
        </w:rPr>
        <w:t>/s，装机容量11.05万kW。一期工程仍设13个梯级，泵站23处，装机容量45.37万kW。泗阳站是南水北调东线第一期工程江苏境内的第四梯级泵站，目前已开工建设。</w:t>
      </w:r>
    </w:p>
    <w:p w14:paraId="0ADDD6DF">
      <w:pPr>
        <w:adjustRightInd w:val="0"/>
        <w:snapToGrid w:val="0"/>
        <w:spacing w:line="480" w:lineRule="exact"/>
        <w:ind w:firstLine="480" w:firstLineChars="200"/>
        <w:rPr>
          <w:rFonts w:ascii="Times New Roman"/>
          <w:szCs w:val="24"/>
        </w:rPr>
      </w:pPr>
      <w:r>
        <w:rPr>
          <w:rFonts w:ascii="Times New Roman" w:hAnsi="宋体"/>
          <w:szCs w:val="24"/>
        </w:rPr>
        <w:t>建设项目所在地区域水系及水环境概况具体见</w:t>
      </w:r>
      <w:r>
        <w:rPr>
          <w:rFonts w:ascii="Times New Roman" w:hAnsi="宋体"/>
          <w:b/>
          <w:bCs/>
          <w:szCs w:val="24"/>
        </w:rPr>
        <w:t>图</w:t>
      </w:r>
      <w:r>
        <w:rPr>
          <w:rFonts w:ascii="Times New Roman"/>
          <w:b/>
          <w:bCs/>
          <w:szCs w:val="24"/>
        </w:rPr>
        <w:t>4.</w:t>
      </w:r>
      <w:r>
        <w:rPr>
          <w:rFonts w:hint="eastAsia" w:ascii="Times New Roman"/>
          <w:b/>
          <w:bCs/>
          <w:szCs w:val="24"/>
        </w:rPr>
        <w:t>2</w:t>
      </w:r>
      <w:r>
        <w:rPr>
          <w:rFonts w:ascii="Times New Roman"/>
          <w:b/>
          <w:bCs/>
          <w:szCs w:val="24"/>
        </w:rPr>
        <w:t>-2</w:t>
      </w:r>
      <w:r>
        <w:rPr>
          <w:rFonts w:ascii="Times New Roman" w:hAnsi="宋体"/>
          <w:szCs w:val="24"/>
        </w:rPr>
        <w:t>。</w:t>
      </w:r>
    </w:p>
    <w:p w14:paraId="4D40D45E">
      <w:pPr>
        <w:pStyle w:val="7"/>
        <w:spacing w:line="480" w:lineRule="exact"/>
      </w:pPr>
      <w:r>
        <w:rPr>
          <w:rFonts w:hint="eastAsia"/>
        </w:rPr>
        <w:t>4</w:t>
      </w:r>
      <w:r>
        <w:t>.</w:t>
      </w:r>
      <w:r>
        <w:rPr>
          <w:rFonts w:hint="eastAsia"/>
        </w:rPr>
        <w:t>2.4地下水环境</w:t>
      </w:r>
    </w:p>
    <w:p w14:paraId="02BCE30F">
      <w:pPr>
        <w:snapToGrid w:val="0"/>
        <w:spacing w:line="480" w:lineRule="exact"/>
        <w:ind w:firstLine="480" w:firstLineChars="200"/>
        <w:rPr>
          <w:rFonts w:ascii="Times New Roman"/>
          <w:szCs w:val="24"/>
        </w:rPr>
      </w:pPr>
      <w:r>
        <w:rPr>
          <w:rFonts w:ascii="Times New Roman"/>
          <w:szCs w:val="24"/>
        </w:rPr>
        <w:t>泗阳境内基岩埋藏较深，岩性主要为深层变质岩及沉积碎屑岩，裂隙发育程度低，故基岩裂隙水甚微，无供水价值。新生界松散岩分布广泛，堆积厚度大，且大都为河湖相沉积，分选性好，胶结程度低，富含地下淡水。地下水分为潜水层、浅层承压水、深层承压水。</w:t>
      </w:r>
    </w:p>
    <w:p w14:paraId="3A433705">
      <w:pPr>
        <w:snapToGrid w:val="0"/>
        <w:spacing w:line="480" w:lineRule="exact"/>
        <w:ind w:firstLine="480" w:firstLineChars="200"/>
        <w:rPr>
          <w:rFonts w:ascii="Times New Roman"/>
          <w:szCs w:val="24"/>
        </w:rPr>
      </w:pPr>
      <w:r>
        <w:rPr>
          <w:rFonts w:ascii="Times New Roman"/>
          <w:szCs w:val="24"/>
        </w:rPr>
        <w:t>潜水层：县境西北穿越、三庄及南部高渡、卢集、城厢一带含水岩层为第四系上更新统戚嘴组亚砂土、粗砂岩埋，古黄河高滩地及其两侧的黄泛总和平原，含水层为全新统冲击的粉砂、亚砂土组成。水位埋深2-3m，古黄河滩地可达5m。该地下层水量有限，易受污染，富含氟，不适宜作为生活和工农业用水。</w:t>
      </w:r>
    </w:p>
    <w:p w14:paraId="21D83230">
      <w:pPr>
        <w:snapToGrid w:val="0"/>
        <w:spacing w:line="480" w:lineRule="exact"/>
        <w:ind w:firstLine="480" w:firstLineChars="200"/>
        <w:rPr>
          <w:rFonts w:ascii="Times New Roman"/>
          <w:szCs w:val="24"/>
        </w:rPr>
      </w:pPr>
      <w:r>
        <w:rPr>
          <w:rFonts w:ascii="Times New Roman"/>
          <w:szCs w:val="24"/>
        </w:rPr>
        <w:t>浅层承压水：含水岩层主要为第四系中、下更新统砂砾岩，洋河、众兴一带上更新统砂层也较厚，亦构成浅层承压水层的一部分。境内存在两个富水带及一个水量中等区。即卢集--黄圩富水带、史集--魏圩富水带、洋河--众兴水量中等区。出水量单井用水量在500-3000t/d。含水层厚10-40m。</w:t>
      </w:r>
    </w:p>
    <w:p w14:paraId="71C94B65">
      <w:pPr>
        <w:snapToGrid w:val="0"/>
        <w:spacing w:line="480" w:lineRule="exact"/>
        <w:ind w:firstLine="480" w:firstLineChars="200"/>
        <w:rPr>
          <w:rFonts w:ascii="Times New Roman"/>
          <w:szCs w:val="24"/>
        </w:rPr>
      </w:pPr>
      <w:r>
        <w:rPr>
          <w:rFonts w:ascii="Times New Roman"/>
          <w:szCs w:val="24"/>
        </w:rPr>
        <w:t>深层承压水：含水层主要为中统新下草湾及峰山组。境内有两个富水区及一个水量中等区。西部腹水区包括洋河、仓集、郑楼、屠园、城厢、三庄、史集等乡镇，南部富水区包括卢集、高渡、黄圩、新袁等乡镇，其余为水量中等区。出水量单井涌水量在1500-3200t/d，静止水位埋深3-6m。</w:t>
      </w:r>
    </w:p>
    <w:p w14:paraId="2A6DC1B4">
      <w:pPr>
        <w:pStyle w:val="7"/>
        <w:spacing w:line="480" w:lineRule="exact"/>
      </w:pPr>
      <w:r>
        <w:rPr>
          <w:rFonts w:hint="eastAsia"/>
        </w:rPr>
        <w:t>4</w:t>
      </w:r>
      <w:r>
        <w:t>.</w:t>
      </w:r>
      <w:r>
        <w:rPr>
          <w:rFonts w:hint="eastAsia"/>
        </w:rPr>
        <w:t>2.5土壤环境</w:t>
      </w:r>
    </w:p>
    <w:p w14:paraId="79182990">
      <w:pPr>
        <w:pStyle w:val="82"/>
        <w:snapToGrid/>
        <w:spacing w:line="480" w:lineRule="exact"/>
        <w:rPr>
          <w:color w:val="auto"/>
        </w:rPr>
      </w:pPr>
      <w:r>
        <w:rPr>
          <w:color w:val="auto"/>
        </w:rPr>
        <w:t>泗阳县内土壤分潮土、砂礓土、黄棕壤土三类，其中潮土面积最大，占总面积的80%。土壤质地较差，中、低产田面积较大。</w:t>
      </w:r>
    </w:p>
    <w:p w14:paraId="1767C808">
      <w:pPr>
        <w:pStyle w:val="82"/>
        <w:snapToGrid/>
        <w:spacing w:line="480" w:lineRule="exact"/>
        <w:rPr>
          <w:color w:val="auto"/>
        </w:rPr>
      </w:pPr>
      <w:r>
        <w:rPr>
          <w:color w:val="auto"/>
        </w:rPr>
        <w:t>根据《江苏省土壤侵蚀遥感调查报告》，本地区水土流失基本为微度，侵蚀模数＜500t/（km</w:t>
      </w:r>
      <w:r>
        <w:rPr>
          <w:color w:val="auto"/>
          <w:vertAlign w:val="superscript"/>
        </w:rPr>
        <w:t>2</w:t>
      </w:r>
      <w:r>
        <w:rPr>
          <w:color w:val="auto"/>
        </w:rPr>
        <w:t>·a）。</w:t>
      </w:r>
    </w:p>
    <w:p w14:paraId="380E82C4">
      <w:pPr>
        <w:pStyle w:val="7"/>
        <w:spacing w:line="480" w:lineRule="exact"/>
      </w:pPr>
      <w:r>
        <w:rPr>
          <w:rFonts w:hint="eastAsia"/>
        </w:rPr>
        <w:t>4</w:t>
      </w:r>
      <w:r>
        <w:t>.</w:t>
      </w:r>
      <w:r>
        <w:rPr>
          <w:rFonts w:hint="eastAsia"/>
        </w:rPr>
        <w:t>2.6生态环境</w:t>
      </w:r>
    </w:p>
    <w:p w14:paraId="6F9FF28C">
      <w:pPr>
        <w:adjustRightInd w:val="0"/>
        <w:spacing w:line="480" w:lineRule="exact"/>
        <w:ind w:firstLine="480"/>
        <w:rPr>
          <w:rFonts w:ascii="Times New Roman"/>
          <w:b/>
          <w:bCs/>
          <w:szCs w:val="24"/>
        </w:rPr>
      </w:pPr>
      <w:r>
        <w:rPr>
          <w:rFonts w:ascii="Times New Roman"/>
          <w:b/>
          <w:bCs/>
          <w:szCs w:val="24"/>
        </w:rPr>
        <w:t>（一）野生动植物资源</w:t>
      </w:r>
    </w:p>
    <w:p w14:paraId="35FA40B4">
      <w:pPr>
        <w:adjustRightInd w:val="0"/>
        <w:spacing w:line="480" w:lineRule="exact"/>
        <w:ind w:firstLine="480" w:firstLineChars="200"/>
        <w:rPr>
          <w:rFonts w:ascii="Times New Roman"/>
          <w:szCs w:val="24"/>
        </w:rPr>
      </w:pPr>
      <w:r>
        <w:rPr>
          <w:rFonts w:ascii="Times New Roman"/>
          <w:szCs w:val="24"/>
        </w:rPr>
        <w:t>根据宿迁市林业站的统计信息，植物资源方面：</w:t>
      </w:r>
    </w:p>
    <w:p w14:paraId="784EAC4C">
      <w:pPr>
        <w:adjustRightInd w:val="0"/>
        <w:spacing w:line="480" w:lineRule="exact"/>
        <w:ind w:firstLine="480" w:firstLineChars="200"/>
        <w:rPr>
          <w:rFonts w:ascii="Times New Roman"/>
          <w:szCs w:val="24"/>
        </w:rPr>
      </w:pPr>
      <w:r>
        <w:rPr>
          <w:rFonts w:ascii="Times New Roman"/>
          <w:szCs w:val="24"/>
        </w:rPr>
        <w:t>浮游植物：浮游植物共有8门141属165种，其中绿藻门、蓝藻门和硅藻门占69%， 而其种数占84%。</w:t>
      </w:r>
    </w:p>
    <w:p w14:paraId="53769760">
      <w:pPr>
        <w:adjustRightInd w:val="0"/>
        <w:spacing w:line="480" w:lineRule="exact"/>
        <w:ind w:firstLine="480" w:firstLineChars="200"/>
        <w:rPr>
          <w:rFonts w:ascii="Times New Roman"/>
          <w:szCs w:val="24"/>
        </w:rPr>
      </w:pPr>
      <w:r>
        <w:rPr>
          <w:rFonts w:ascii="Times New Roman"/>
          <w:szCs w:val="24"/>
        </w:rPr>
        <w:t>水生高等植物：水生高等植物有81种，隶属于36科61属。其中单子叶植物最多，有43种，占植物总数的 53.09%，双子叶植物次之，有34种，占41.97%，蕨类植物最少，仅4种，占4.94%。水生高等植物的优势种有芦苇、蒲草、菰、莲、李氏禾、水蓼、喜旱莲子草、苦菜、菱、马来眼子菜、金鱼藻、聚草、菹草、黑藻、苦草、水鳖等。蕴藏量很丰富，是鱼类和鸟类的上乘饵料。</w:t>
      </w:r>
    </w:p>
    <w:p w14:paraId="7CBCC030">
      <w:pPr>
        <w:adjustRightInd w:val="0"/>
        <w:spacing w:line="480" w:lineRule="exact"/>
        <w:ind w:firstLine="480" w:firstLineChars="200"/>
        <w:rPr>
          <w:rFonts w:ascii="Times New Roman"/>
          <w:szCs w:val="24"/>
        </w:rPr>
      </w:pPr>
      <w:r>
        <w:rPr>
          <w:rFonts w:ascii="Times New Roman"/>
          <w:szCs w:val="24"/>
        </w:rPr>
        <w:t>树木：现有人工林面积接近全市森林面积的 100%，野生树木有零星分布。宿迁市森林人工林面积1536百公顷，以杨树为主，约占人工林面积的97%，其它组成树种还有银杏、柳树、水杉、侧柏等柏类等，其它还有梨、枣、柿等水果。绝大多数人工林为纯林、单层林，林下灌木、地被较少。</w:t>
      </w:r>
    </w:p>
    <w:p w14:paraId="4E6FE866">
      <w:pPr>
        <w:adjustRightInd w:val="0"/>
        <w:spacing w:line="480" w:lineRule="exact"/>
        <w:ind w:firstLine="480"/>
        <w:rPr>
          <w:rFonts w:ascii="Times New Roman"/>
          <w:b/>
          <w:bCs/>
          <w:szCs w:val="24"/>
        </w:rPr>
      </w:pPr>
      <w:r>
        <w:rPr>
          <w:rFonts w:ascii="Times New Roman"/>
          <w:b/>
          <w:bCs/>
          <w:szCs w:val="24"/>
        </w:rPr>
        <w:t>（二）动物资源方面</w:t>
      </w:r>
    </w:p>
    <w:p w14:paraId="64233A3B">
      <w:pPr>
        <w:adjustRightInd w:val="0"/>
        <w:spacing w:line="480" w:lineRule="exact"/>
        <w:ind w:firstLine="480"/>
        <w:rPr>
          <w:rFonts w:ascii="Times New Roman"/>
          <w:szCs w:val="24"/>
        </w:rPr>
      </w:pPr>
      <w:r>
        <w:rPr>
          <w:rFonts w:ascii="Times New Roman"/>
          <w:szCs w:val="24"/>
        </w:rPr>
        <w:t>（1）浮游动物</w:t>
      </w:r>
    </w:p>
    <w:p w14:paraId="74EF4E0D">
      <w:pPr>
        <w:adjustRightInd w:val="0"/>
        <w:spacing w:line="480" w:lineRule="exact"/>
        <w:ind w:firstLine="480" w:firstLineChars="200"/>
        <w:rPr>
          <w:rFonts w:ascii="Times New Roman"/>
          <w:szCs w:val="24"/>
        </w:rPr>
      </w:pPr>
      <w:r>
        <w:rPr>
          <w:rFonts w:ascii="Times New Roman"/>
          <w:szCs w:val="24"/>
        </w:rPr>
        <w:t>有浮游动物35科63属91种。其中原生动物15科18属21种（占浮游动物总数的 23.1%）；轮虫9科24属37种（占40.7%）；枝角类6科10属19种（占20.9%）；桡足类5科11属14种（占15.4%）。</w:t>
      </w:r>
    </w:p>
    <w:p w14:paraId="3E7F9B8B">
      <w:pPr>
        <w:adjustRightInd w:val="0"/>
        <w:spacing w:line="480" w:lineRule="exact"/>
        <w:ind w:firstLine="480"/>
        <w:rPr>
          <w:rFonts w:ascii="Times New Roman"/>
          <w:szCs w:val="24"/>
        </w:rPr>
      </w:pPr>
      <w:r>
        <w:rPr>
          <w:rFonts w:ascii="Times New Roman"/>
          <w:szCs w:val="24"/>
        </w:rPr>
        <w:t>（2）底栖动物</w:t>
      </w:r>
    </w:p>
    <w:p w14:paraId="526F8089">
      <w:pPr>
        <w:adjustRightInd w:val="0"/>
        <w:spacing w:line="480" w:lineRule="exact"/>
        <w:ind w:firstLine="480" w:firstLineChars="200"/>
        <w:rPr>
          <w:rFonts w:ascii="Times New Roman"/>
          <w:szCs w:val="24"/>
        </w:rPr>
      </w:pPr>
      <w:r>
        <w:rPr>
          <w:rFonts w:ascii="Times New Roman"/>
          <w:szCs w:val="24"/>
        </w:rPr>
        <w:t>底栖动物种类有76种，分别属于环节动物3纲6科7属7种；软体动物2纲11科 25属43种；节肢动物3纲22科25属25种。环节动物由多毛纲、寡毛纲和蛭纲组成。软体动物有腹足纲和瓣鳃纲两大类，是底栖动物的主要类群。节肢动物甲壳纲、蛛形纲和昆虫纲虾有 5 种，即秀丽白虾（又称白虾）、日本沼虾（又称青虾）、中华小长臂虾、锯齿新米虾（又称糠虾） 及克氏原鳌虾（又称龙虾），资源丰富，年产量达3006吨，占渔业产量的27%。蟹类有2种，主要是中华绒鳌蟹，也称螃蟹、河蟹、毛蟹和大闸蟹等，一直是重要水产品，现主要靠人工放养种苗获取产量。</w:t>
      </w:r>
    </w:p>
    <w:p w14:paraId="2863A34C">
      <w:pPr>
        <w:adjustRightInd w:val="0"/>
        <w:spacing w:line="480" w:lineRule="exact"/>
        <w:ind w:firstLine="480"/>
        <w:rPr>
          <w:rFonts w:ascii="Times New Roman"/>
          <w:szCs w:val="24"/>
        </w:rPr>
      </w:pPr>
      <w:r>
        <w:rPr>
          <w:rFonts w:ascii="Times New Roman"/>
          <w:szCs w:val="24"/>
        </w:rPr>
        <w:t>（3）鸟类</w:t>
      </w:r>
    </w:p>
    <w:p w14:paraId="0E85D298">
      <w:pPr>
        <w:adjustRightInd w:val="0"/>
        <w:spacing w:line="480" w:lineRule="exact"/>
        <w:ind w:firstLine="480" w:firstLineChars="200"/>
        <w:rPr>
          <w:rFonts w:ascii="Times New Roman"/>
          <w:szCs w:val="24"/>
        </w:rPr>
      </w:pPr>
      <w:r>
        <w:rPr>
          <w:rFonts w:ascii="Times New Roman"/>
          <w:szCs w:val="24"/>
        </w:rPr>
        <w:t>有鸟类15目44科194种，占江苏省408种鸟类的47.5％，其中43种为留鸟，100 种为候鸟（41种为夏候鸟、59种为冬候鸟），51种为旅鸟，分别占总数的22.2%、51.5%和26.3%。其中属国家一类重点保护的有大鸨、白鹳、黑鹳和丹顶鹤4种；二类重点保护的有白额雁、大天鹅、疣鼻天鹅、鸳鸯、灰鹤、猛禽（鹰11种、隼3种）等 26 种，合计有30种国家重点保护鸟类。列入中日候鸟保护协定的有105种，占协定规定保护鸟类种类的46.3%；列入中澳候鸟协定保护的有24种，占协定规定的保护候鸟种类的29.6%。鸟类主要栖息在泗洪县所辖的西部和北部湿地以及近湖林区。</w:t>
      </w:r>
    </w:p>
    <w:p w14:paraId="012A9A09">
      <w:pPr>
        <w:adjustRightInd w:val="0"/>
        <w:spacing w:line="480" w:lineRule="exact"/>
        <w:ind w:firstLine="480"/>
        <w:rPr>
          <w:rFonts w:ascii="Times New Roman"/>
          <w:szCs w:val="24"/>
        </w:rPr>
      </w:pPr>
      <w:r>
        <w:rPr>
          <w:rFonts w:ascii="Times New Roman"/>
          <w:szCs w:val="24"/>
        </w:rPr>
        <w:t>项目所在园区主要是人类的生产、生活活动区，动、植物主要是由人类饲养繁殖或种植的，同时有一些草本、灌木类植物和河流、沟塘中的小型水生动物，其中无珍稀及受保护的动、植物资源分布。</w:t>
      </w:r>
    </w:p>
    <w:p w14:paraId="02805D6B">
      <w:pPr>
        <w:adjustRightInd w:val="0"/>
        <w:spacing w:line="480" w:lineRule="exact"/>
        <w:ind w:firstLine="480"/>
        <w:rPr>
          <w:rFonts w:ascii="Times New Roman"/>
          <w:b/>
          <w:bCs/>
          <w:szCs w:val="24"/>
        </w:rPr>
      </w:pPr>
      <w:r>
        <w:rPr>
          <w:rFonts w:ascii="Times New Roman"/>
          <w:b/>
          <w:bCs/>
          <w:szCs w:val="24"/>
        </w:rPr>
        <w:t>（三）古树名木</w:t>
      </w:r>
    </w:p>
    <w:p w14:paraId="4F20E920">
      <w:pPr>
        <w:adjustRightInd w:val="0"/>
        <w:spacing w:line="480" w:lineRule="exact"/>
        <w:ind w:firstLine="480" w:firstLineChars="200"/>
        <w:rPr>
          <w:rFonts w:ascii="Times New Roman"/>
          <w:szCs w:val="24"/>
        </w:rPr>
      </w:pPr>
      <w:r>
        <w:rPr>
          <w:rFonts w:ascii="Times New Roman"/>
          <w:szCs w:val="24"/>
        </w:rPr>
        <w:t>泗阳全县有古树名木18科23属27种206株。其中古树166株，名木40株，古树名木群4个。300年以上的一级古树名木9株，200-299年的二级古树名木未普查到，50-199年的古树名木197株。这些珍稀古奇名树木分布于风景名胜、寺庙园林、单位庭院、村旁田野、河渠路边。</w:t>
      </w:r>
    </w:p>
    <w:p w14:paraId="5C314C81">
      <w:pPr>
        <w:adjustRightInd w:val="0"/>
        <w:spacing w:line="480" w:lineRule="exact"/>
        <w:ind w:firstLine="480"/>
        <w:rPr>
          <w:rFonts w:ascii="Times New Roman"/>
          <w:szCs w:val="24"/>
        </w:rPr>
      </w:pPr>
      <w:r>
        <w:rPr>
          <w:rFonts w:ascii="Times New Roman"/>
          <w:szCs w:val="24"/>
        </w:rPr>
        <w:t>泗阳地处暖温带的南端，毗邻亚热带，南北树种皆有，资源丰富。除常见的速生意杨、水杉、龙柏、合欢、梧桐外，还有银杏、雪松、落羽杉等国家一、二级珍稀树种。泗阳运河船闸与徐淮路交叉之东南角，有一株高大伟岸的雪松。境内的玄帝庙院内古柿树，系明代玄帝庙主持慧仁大师亲手所植。来安乡束庄村两株相距4米的雌性银杏，根寇交织。</w:t>
      </w:r>
    </w:p>
    <w:p w14:paraId="78B2F083">
      <w:pPr>
        <w:pStyle w:val="4"/>
        <w:spacing w:after="0" w:line="480" w:lineRule="exact"/>
        <w:jc w:val="both"/>
      </w:pPr>
      <w:bookmarkStart w:id="99" w:name="_Toc7053"/>
      <w:r>
        <w:rPr>
          <w:rFonts w:hint="eastAsia"/>
        </w:rPr>
        <w:t>4</w:t>
      </w:r>
      <w:r>
        <w:t>.</w:t>
      </w:r>
      <w:r>
        <w:rPr>
          <w:rFonts w:hint="eastAsia"/>
        </w:rPr>
        <w:t>3</w:t>
      </w:r>
      <w:r>
        <w:t xml:space="preserve"> </w:t>
      </w:r>
      <w:r>
        <w:rPr>
          <w:rFonts w:hint="eastAsia"/>
        </w:rPr>
        <w:t>环境质量现状调查与评价</w:t>
      </w:r>
      <w:bookmarkEnd w:id="99"/>
    </w:p>
    <w:p w14:paraId="1F771432">
      <w:pPr>
        <w:pStyle w:val="7"/>
        <w:spacing w:line="480" w:lineRule="exact"/>
      </w:pPr>
      <w:r>
        <w:rPr>
          <w:rFonts w:hint="eastAsia"/>
        </w:rPr>
        <w:t>4</w:t>
      </w:r>
      <w:r>
        <w:t>.</w:t>
      </w:r>
      <w:r>
        <w:rPr>
          <w:rFonts w:hint="eastAsia"/>
        </w:rPr>
        <w:t>3</w:t>
      </w:r>
      <w:r>
        <w:t xml:space="preserve">.1 </w:t>
      </w:r>
      <w:r>
        <w:rPr>
          <w:rFonts w:hint="eastAsia"/>
        </w:rPr>
        <w:t>空气环境质量现状调查与评价</w:t>
      </w:r>
    </w:p>
    <w:p w14:paraId="2FD968B7">
      <w:pPr>
        <w:pStyle w:val="8"/>
        <w:spacing w:line="480" w:lineRule="exact"/>
      </w:pPr>
      <w:r>
        <w:rPr>
          <w:rFonts w:hint="eastAsia"/>
        </w:rPr>
        <w:t>4</w:t>
      </w:r>
      <w:r>
        <w:t>.</w:t>
      </w:r>
      <w:r>
        <w:rPr>
          <w:rFonts w:hint="eastAsia"/>
        </w:rPr>
        <w:t>3</w:t>
      </w:r>
      <w:r>
        <w:t xml:space="preserve">.1.1 </w:t>
      </w:r>
      <w:r>
        <w:rPr>
          <w:rFonts w:hint="eastAsia"/>
        </w:rPr>
        <w:t>空气质量达标区判定</w:t>
      </w:r>
    </w:p>
    <w:p w14:paraId="6721655E">
      <w:pPr>
        <w:adjustRightInd w:val="0"/>
        <w:snapToGrid w:val="0"/>
        <w:spacing w:line="480" w:lineRule="exact"/>
        <w:ind w:firstLine="480" w:firstLineChars="200"/>
        <w:rPr>
          <w:rFonts w:eastAsia="宋体" w:cs="Times New Roman"/>
          <w:snapToGrid w:val="0"/>
          <w:color w:val="000000" w:themeColor="text1"/>
          <w:kern w:val="0"/>
          <w:szCs w:val="24"/>
          <w14:textFill>
            <w14:solidFill>
              <w14:schemeClr w14:val="tx1"/>
            </w14:solidFill>
          </w14:textFill>
        </w:rPr>
      </w:pPr>
      <w:r>
        <w:rPr>
          <w:rFonts w:eastAsia="宋体" w:cs="Times New Roman"/>
          <w:color w:val="000000" w:themeColor="text1"/>
          <w:szCs w:val="24"/>
          <w14:textFill>
            <w14:solidFill>
              <w14:schemeClr w14:val="tx1"/>
            </w14:solidFill>
          </w14:textFill>
        </w:rPr>
        <w:t>根据《宿迁市202</w:t>
      </w:r>
      <w:r>
        <w:rPr>
          <w:rFonts w:hint="eastAsia" w:eastAsia="宋体" w:cs="Times New Roman"/>
          <w:color w:val="000000" w:themeColor="text1"/>
          <w:szCs w:val="24"/>
          <w14:textFill>
            <w14:solidFill>
              <w14:schemeClr w14:val="tx1"/>
            </w14:solidFill>
          </w14:textFill>
        </w:rPr>
        <w:t>3</w:t>
      </w:r>
      <w:r>
        <w:rPr>
          <w:rFonts w:eastAsia="宋体" w:cs="Times New Roman"/>
          <w:color w:val="000000" w:themeColor="text1"/>
          <w:szCs w:val="24"/>
          <w14:textFill>
            <w14:solidFill>
              <w14:schemeClr w14:val="tx1"/>
            </w14:solidFill>
          </w14:textFill>
        </w:rPr>
        <w:t>年度</w:t>
      </w:r>
      <w:r>
        <w:rPr>
          <w:rFonts w:hint="eastAsia" w:eastAsia="宋体" w:cs="Times New Roman"/>
          <w:color w:val="000000" w:themeColor="text1"/>
          <w:szCs w:val="24"/>
          <w14:textFill>
            <w14:solidFill>
              <w14:schemeClr w14:val="tx1"/>
            </w14:solidFill>
          </w14:textFill>
        </w:rPr>
        <w:t>生态</w:t>
      </w:r>
      <w:r>
        <w:rPr>
          <w:rFonts w:eastAsia="宋体" w:cs="Times New Roman"/>
          <w:color w:val="000000" w:themeColor="text1"/>
          <w:szCs w:val="24"/>
          <w14:textFill>
            <w14:solidFill>
              <w14:schemeClr w14:val="tx1"/>
            </w14:solidFill>
          </w14:textFill>
        </w:rPr>
        <w:t>环境状况公报》，202</w:t>
      </w:r>
      <w:r>
        <w:rPr>
          <w:rFonts w:hint="eastAsia" w:eastAsia="宋体" w:cs="Times New Roman"/>
          <w:color w:val="000000" w:themeColor="text1"/>
          <w:szCs w:val="24"/>
          <w14:textFill>
            <w14:solidFill>
              <w14:schemeClr w14:val="tx1"/>
            </w14:solidFill>
          </w14:textFill>
        </w:rPr>
        <w:t>3</w:t>
      </w:r>
      <w:r>
        <w:rPr>
          <w:rFonts w:eastAsia="宋体" w:cs="Times New Roman"/>
          <w:color w:val="000000" w:themeColor="text1"/>
          <w:szCs w:val="24"/>
          <w14:textFill>
            <w14:solidFill>
              <w14:schemeClr w14:val="tx1"/>
            </w14:solidFill>
          </w14:textFill>
        </w:rPr>
        <w:t>年，全市环境空气优良天数达2</w:t>
      </w:r>
      <w:r>
        <w:rPr>
          <w:rFonts w:hint="eastAsia" w:eastAsia="宋体" w:cs="Times New Roman"/>
          <w:color w:val="000000" w:themeColor="text1"/>
          <w:szCs w:val="24"/>
          <w14:textFill>
            <w14:solidFill>
              <w14:schemeClr w14:val="tx1"/>
            </w14:solidFill>
          </w14:textFill>
        </w:rPr>
        <w:t>61</w:t>
      </w:r>
      <w:r>
        <w:rPr>
          <w:rFonts w:eastAsia="宋体" w:cs="Times New Roman"/>
          <w:color w:val="000000" w:themeColor="text1"/>
          <w:szCs w:val="24"/>
          <w14:textFill>
            <w14:solidFill>
              <w14:schemeClr w14:val="tx1"/>
            </w14:solidFill>
          </w14:textFill>
        </w:rPr>
        <w:t>天，优良天数比例为7</w:t>
      </w:r>
      <w:r>
        <w:rPr>
          <w:rFonts w:hint="eastAsia" w:eastAsia="宋体" w:cs="Times New Roman"/>
          <w:color w:val="000000" w:themeColor="text1"/>
          <w:szCs w:val="24"/>
          <w14:textFill>
            <w14:solidFill>
              <w14:schemeClr w14:val="tx1"/>
            </w14:solidFill>
          </w14:textFill>
        </w:rPr>
        <w:t>1.5</w:t>
      </w:r>
      <w:r>
        <w:rPr>
          <w:rFonts w:eastAsia="宋体" w:cs="Times New Roman"/>
          <w:color w:val="000000" w:themeColor="text1"/>
          <w:szCs w:val="24"/>
          <w14:textFill>
            <w14:solidFill>
              <w14:schemeClr w14:val="tx1"/>
            </w14:solidFill>
          </w14:textFill>
        </w:rPr>
        <w:t>%；空气中PM</w:t>
      </w:r>
      <w:r>
        <w:rPr>
          <w:rFonts w:eastAsia="宋体" w:cs="Times New Roman"/>
          <w:color w:val="000000" w:themeColor="text1"/>
          <w:szCs w:val="24"/>
          <w:vertAlign w:val="subscript"/>
          <w14:textFill>
            <w14:solidFill>
              <w14:schemeClr w14:val="tx1"/>
            </w14:solidFill>
          </w14:textFill>
        </w:rPr>
        <w:t>2.5</w:t>
      </w:r>
      <w:r>
        <w:rPr>
          <w:rFonts w:eastAsia="宋体" w:cs="Times New Roman"/>
          <w:color w:val="000000" w:themeColor="text1"/>
          <w:szCs w:val="24"/>
          <w14:textFill>
            <w14:solidFill>
              <w14:schemeClr w14:val="tx1"/>
            </w14:solidFill>
          </w14:textFill>
        </w:rPr>
        <w:t>、PM</w:t>
      </w:r>
      <w:r>
        <w:rPr>
          <w:rFonts w:eastAsia="宋体" w:cs="Times New Roman"/>
          <w:color w:val="000000" w:themeColor="text1"/>
          <w:szCs w:val="24"/>
          <w:vertAlign w:val="subscript"/>
          <w14:textFill>
            <w14:solidFill>
              <w14:schemeClr w14:val="tx1"/>
            </w14:solidFill>
          </w14:textFill>
        </w:rPr>
        <w:t>10</w:t>
      </w:r>
      <w:r>
        <w:rPr>
          <w:rFonts w:eastAsia="宋体" w:cs="Times New Roman"/>
          <w:color w:val="000000" w:themeColor="text1"/>
          <w:szCs w:val="24"/>
          <w14:textFill>
            <w14:solidFill>
              <w14:schemeClr w14:val="tx1"/>
            </w14:solidFill>
          </w14:textFill>
        </w:rPr>
        <w:t>、NO</w:t>
      </w:r>
      <w:r>
        <w:rPr>
          <w:rFonts w:eastAsia="宋体" w:cs="Times New Roman"/>
          <w:color w:val="000000" w:themeColor="text1"/>
          <w:szCs w:val="24"/>
          <w:vertAlign w:val="subscript"/>
          <w14:textFill>
            <w14:solidFill>
              <w14:schemeClr w14:val="tx1"/>
            </w14:solidFill>
          </w14:textFill>
        </w:rPr>
        <w:t>2</w:t>
      </w:r>
      <w:r>
        <w:rPr>
          <w:rFonts w:eastAsia="宋体" w:cs="Times New Roman"/>
          <w:color w:val="000000" w:themeColor="text1"/>
          <w:szCs w:val="24"/>
          <w14:textFill>
            <w14:solidFill>
              <w14:schemeClr w14:val="tx1"/>
            </w14:solidFill>
          </w14:textFill>
        </w:rPr>
        <w:t>、SO</w:t>
      </w:r>
      <w:r>
        <w:rPr>
          <w:rFonts w:eastAsia="宋体" w:cs="Times New Roman"/>
          <w:color w:val="000000" w:themeColor="text1"/>
          <w:szCs w:val="24"/>
          <w:vertAlign w:val="subscript"/>
          <w14:textFill>
            <w14:solidFill>
              <w14:schemeClr w14:val="tx1"/>
            </w14:solidFill>
          </w14:textFill>
        </w:rPr>
        <w:t>2</w:t>
      </w:r>
      <w:r>
        <w:rPr>
          <w:rFonts w:eastAsia="宋体" w:cs="Times New Roman"/>
          <w:color w:val="000000" w:themeColor="text1"/>
          <w:szCs w:val="24"/>
          <w14:textFill>
            <w14:solidFill>
              <w14:schemeClr w14:val="tx1"/>
            </w14:solidFill>
          </w14:textFill>
        </w:rPr>
        <w:t>指标浓度同比</w:t>
      </w:r>
      <w:r>
        <w:rPr>
          <w:rFonts w:hint="eastAsia" w:eastAsia="宋体" w:cs="Times New Roman"/>
          <w:color w:val="000000" w:themeColor="text1"/>
          <w:szCs w:val="24"/>
          <w14:textFill>
            <w14:solidFill>
              <w14:schemeClr w14:val="tx1"/>
            </w14:solidFill>
          </w14:textFill>
        </w:rPr>
        <w:t>上升</w:t>
      </w:r>
      <w:r>
        <w:rPr>
          <w:rFonts w:eastAsia="宋体" w:cs="Times New Roman"/>
          <w:color w:val="000000" w:themeColor="text1"/>
          <w:szCs w:val="24"/>
          <w14:textFill>
            <w14:solidFill>
              <w14:schemeClr w14:val="tx1"/>
            </w14:solidFill>
          </w14:textFill>
        </w:rPr>
        <w:t>，浓度均值分别3</w:t>
      </w:r>
      <w:r>
        <w:rPr>
          <w:rFonts w:hint="eastAsia" w:eastAsia="宋体" w:cs="Times New Roman"/>
          <w:color w:val="000000" w:themeColor="text1"/>
          <w:szCs w:val="24"/>
          <w14:textFill>
            <w14:solidFill>
              <w14:schemeClr w14:val="tx1"/>
            </w14:solidFill>
          </w14:textFill>
        </w:rPr>
        <w:t>9.8</w:t>
      </w:r>
      <w:r>
        <w:rPr>
          <w:rFonts w:eastAsia="宋体" w:cs="Times New Roman"/>
          <w:color w:val="000000" w:themeColor="text1"/>
          <w:szCs w:val="24"/>
          <w14:textFill>
            <w14:solidFill>
              <w14:schemeClr w14:val="tx1"/>
            </w14:solidFill>
          </w14:textFill>
        </w:rPr>
        <w:t>μg/m</w:t>
      </w:r>
      <w:r>
        <w:rPr>
          <w:rFonts w:eastAsia="宋体" w:cs="Times New Roman"/>
          <w:color w:val="000000" w:themeColor="text1"/>
          <w:szCs w:val="24"/>
          <w:vertAlign w:val="superscript"/>
          <w14:textFill>
            <w14:solidFill>
              <w14:schemeClr w14:val="tx1"/>
            </w14:solidFill>
          </w14:textFill>
        </w:rPr>
        <w:t>3</w:t>
      </w:r>
      <w:r>
        <w:rPr>
          <w:rFonts w:eastAsia="宋体" w:cs="Times New Roman"/>
          <w:color w:val="000000" w:themeColor="text1"/>
          <w:szCs w:val="24"/>
          <w14:textFill>
            <w14:solidFill>
              <w14:schemeClr w14:val="tx1"/>
            </w14:solidFill>
          </w14:textFill>
        </w:rPr>
        <w:t>、6</w:t>
      </w:r>
      <w:r>
        <w:rPr>
          <w:rFonts w:hint="eastAsia" w:eastAsia="宋体" w:cs="Times New Roman"/>
          <w:color w:val="000000" w:themeColor="text1"/>
          <w:szCs w:val="24"/>
          <w14:textFill>
            <w14:solidFill>
              <w14:schemeClr w14:val="tx1"/>
            </w14:solidFill>
          </w14:textFill>
        </w:rPr>
        <w:t>3</w:t>
      </w:r>
      <w:r>
        <w:rPr>
          <w:rFonts w:eastAsia="宋体" w:cs="Times New Roman"/>
          <w:color w:val="000000" w:themeColor="text1"/>
          <w:szCs w:val="24"/>
          <w14:textFill>
            <w14:solidFill>
              <w14:schemeClr w14:val="tx1"/>
            </w14:solidFill>
          </w14:textFill>
        </w:rPr>
        <w:t>μg/m</w:t>
      </w:r>
      <w:r>
        <w:rPr>
          <w:rFonts w:eastAsia="宋体" w:cs="Times New Roman"/>
          <w:color w:val="000000" w:themeColor="text1"/>
          <w:szCs w:val="24"/>
          <w:vertAlign w:val="superscript"/>
          <w14:textFill>
            <w14:solidFill>
              <w14:schemeClr w14:val="tx1"/>
            </w14:solidFill>
          </w14:textFill>
        </w:rPr>
        <w:t>3</w:t>
      </w:r>
      <w:r>
        <w:rPr>
          <w:rFonts w:eastAsia="宋体" w:cs="Times New Roman"/>
          <w:color w:val="000000" w:themeColor="text1"/>
          <w:szCs w:val="24"/>
          <w14:textFill>
            <w14:solidFill>
              <w14:schemeClr w14:val="tx1"/>
            </w14:solidFill>
          </w14:textFill>
        </w:rPr>
        <w:t>、2</w:t>
      </w:r>
      <w:r>
        <w:rPr>
          <w:rFonts w:hint="eastAsia" w:eastAsia="宋体" w:cs="Times New Roman"/>
          <w:color w:val="000000" w:themeColor="text1"/>
          <w:szCs w:val="24"/>
          <w14:textFill>
            <w14:solidFill>
              <w14:schemeClr w14:val="tx1"/>
            </w14:solidFill>
          </w14:textFill>
        </w:rPr>
        <w:t>5</w:t>
      </w:r>
      <w:r>
        <w:rPr>
          <w:rFonts w:eastAsia="宋体" w:cs="Times New Roman"/>
          <w:color w:val="000000" w:themeColor="text1"/>
          <w:szCs w:val="24"/>
          <w14:textFill>
            <w14:solidFill>
              <w14:schemeClr w14:val="tx1"/>
            </w14:solidFill>
          </w14:textFill>
        </w:rPr>
        <w:t>μg/m</w:t>
      </w:r>
      <w:r>
        <w:rPr>
          <w:rFonts w:eastAsia="宋体" w:cs="Times New Roman"/>
          <w:color w:val="000000" w:themeColor="text1"/>
          <w:szCs w:val="24"/>
          <w:vertAlign w:val="superscript"/>
          <w14:textFill>
            <w14:solidFill>
              <w14:schemeClr w14:val="tx1"/>
            </w14:solidFill>
          </w14:textFill>
        </w:rPr>
        <w:t>3</w:t>
      </w:r>
      <w:r>
        <w:rPr>
          <w:rFonts w:eastAsia="宋体" w:cs="Times New Roman"/>
          <w:color w:val="000000" w:themeColor="text1"/>
          <w:szCs w:val="24"/>
          <w14:textFill>
            <w14:solidFill>
              <w14:schemeClr w14:val="tx1"/>
            </w14:solidFill>
          </w14:textFill>
        </w:rPr>
        <w:t>、</w:t>
      </w:r>
      <w:r>
        <w:rPr>
          <w:rFonts w:hint="eastAsia" w:eastAsia="宋体" w:cs="Times New Roman"/>
          <w:color w:val="000000" w:themeColor="text1"/>
          <w:szCs w:val="24"/>
          <w14:textFill>
            <w14:solidFill>
              <w14:schemeClr w14:val="tx1"/>
            </w14:solidFill>
          </w14:textFill>
        </w:rPr>
        <w:t>8</w:t>
      </w:r>
      <w:r>
        <w:rPr>
          <w:rFonts w:eastAsia="宋体" w:cs="Times New Roman"/>
          <w:color w:val="000000" w:themeColor="text1"/>
          <w:szCs w:val="24"/>
          <w14:textFill>
            <w14:solidFill>
              <w14:schemeClr w14:val="tx1"/>
            </w14:solidFill>
          </w14:textFill>
        </w:rPr>
        <w:t>μg/m</w:t>
      </w:r>
      <w:r>
        <w:rPr>
          <w:rFonts w:eastAsia="宋体" w:cs="Times New Roman"/>
          <w:color w:val="000000" w:themeColor="text1"/>
          <w:szCs w:val="24"/>
          <w:vertAlign w:val="superscript"/>
          <w14:textFill>
            <w14:solidFill>
              <w14:schemeClr w14:val="tx1"/>
            </w14:solidFill>
          </w14:textFill>
        </w:rPr>
        <w:t>3</w:t>
      </w:r>
      <w:r>
        <w:rPr>
          <w:rFonts w:eastAsia="宋体" w:cs="Times New Roman"/>
          <w:color w:val="000000" w:themeColor="text1"/>
          <w:szCs w:val="24"/>
          <w14:textFill>
            <w14:solidFill>
              <w14:schemeClr w14:val="tx1"/>
            </w14:solidFill>
          </w14:textFill>
        </w:rPr>
        <w:t>，同比分别</w:t>
      </w:r>
      <w:r>
        <w:rPr>
          <w:rFonts w:hint="eastAsia" w:eastAsia="宋体" w:cs="Times New Roman"/>
          <w:color w:val="000000" w:themeColor="text1"/>
          <w:szCs w:val="24"/>
          <w14:textFill>
            <w14:solidFill>
              <w14:schemeClr w14:val="tx1"/>
            </w14:solidFill>
          </w14:textFill>
        </w:rPr>
        <w:t>上升7.9</w:t>
      </w:r>
      <w:r>
        <w:rPr>
          <w:rFonts w:eastAsia="宋体" w:cs="Times New Roman"/>
          <w:color w:val="000000" w:themeColor="text1"/>
          <w:szCs w:val="24"/>
          <w14:textFill>
            <w14:solidFill>
              <w14:schemeClr w14:val="tx1"/>
            </w14:solidFill>
          </w14:textFill>
        </w:rPr>
        <w:t>%、</w:t>
      </w:r>
      <w:r>
        <w:rPr>
          <w:rFonts w:hint="eastAsia" w:eastAsia="宋体" w:cs="Times New Roman"/>
          <w:color w:val="000000" w:themeColor="text1"/>
          <w:szCs w:val="24"/>
          <w14:textFill>
            <w14:solidFill>
              <w14:schemeClr w14:val="tx1"/>
            </w14:solidFill>
          </w14:textFill>
        </w:rPr>
        <w:t>3.3</w:t>
      </w:r>
      <w:r>
        <w:rPr>
          <w:rFonts w:eastAsia="宋体" w:cs="Times New Roman"/>
          <w:color w:val="000000" w:themeColor="text1"/>
          <w:szCs w:val="24"/>
          <w14:textFill>
            <w14:solidFill>
              <w14:schemeClr w14:val="tx1"/>
            </w14:solidFill>
          </w14:textFill>
        </w:rPr>
        <w:t>%、8</w:t>
      </w:r>
      <w:r>
        <w:rPr>
          <w:rFonts w:hint="eastAsia" w:eastAsia="宋体" w:cs="Times New Roman"/>
          <w:color w:val="000000" w:themeColor="text1"/>
          <w:szCs w:val="24"/>
          <w14:textFill>
            <w14:solidFill>
              <w14:schemeClr w14:val="tx1"/>
            </w14:solidFill>
          </w14:textFill>
        </w:rPr>
        <w:t>.7</w:t>
      </w:r>
      <w:r>
        <w:rPr>
          <w:rFonts w:eastAsia="宋体" w:cs="Times New Roman"/>
          <w:color w:val="000000" w:themeColor="text1"/>
          <w:szCs w:val="24"/>
          <w14:textFill>
            <w14:solidFill>
              <w14:schemeClr w14:val="tx1"/>
            </w14:solidFill>
          </w14:textFill>
        </w:rPr>
        <w:t>%、</w:t>
      </w:r>
      <w:r>
        <w:rPr>
          <w:rFonts w:hint="eastAsia" w:eastAsia="宋体" w:cs="Times New Roman"/>
          <w:color w:val="000000" w:themeColor="text1"/>
          <w:szCs w:val="24"/>
          <w14:textFill>
            <w14:solidFill>
              <w14:schemeClr w14:val="tx1"/>
            </w14:solidFill>
          </w14:textFill>
        </w:rPr>
        <w:t>33.3</w:t>
      </w:r>
      <w:r>
        <w:rPr>
          <w:rFonts w:eastAsia="宋体" w:cs="Times New Roman"/>
          <w:color w:val="000000" w:themeColor="text1"/>
          <w:szCs w:val="24"/>
          <w14:textFill>
            <w14:solidFill>
              <w14:schemeClr w14:val="tx1"/>
            </w14:solidFill>
          </w14:textFill>
        </w:rPr>
        <w:t>%；O</w:t>
      </w:r>
      <w:r>
        <w:rPr>
          <w:rFonts w:eastAsia="宋体" w:cs="Times New Roman"/>
          <w:color w:val="000000" w:themeColor="text1"/>
          <w:szCs w:val="24"/>
          <w:vertAlign w:val="subscript"/>
          <w14:textFill>
            <w14:solidFill>
              <w14:schemeClr w14:val="tx1"/>
            </w14:solidFill>
          </w14:textFill>
        </w:rPr>
        <w:t>3</w:t>
      </w:r>
      <w:r>
        <w:rPr>
          <w:rFonts w:eastAsia="宋体" w:cs="Times New Roman"/>
          <w:color w:val="000000" w:themeColor="text1"/>
          <w:szCs w:val="24"/>
          <w14:textFill>
            <w14:solidFill>
              <w14:schemeClr w14:val="tx1"/>
            </w14:solidFill>
          </w14:textFill>
        </w:rPr>
        <w:t>、CO指标浓度</w:t>
      </w:r>
      <w:r>
        <w:rPr>
          <w:rFonts w:hint="eastAsia" w:eastAsia="宋体" w:cs="Times New Roman"/>
          <w:color w:val="000000" w:themeColor="text1"/>
          <w:szCs w:val="24"/>
          <w14:textFill>
            <w14:solidFill>
              <w14:schemeClr w14:val="tx1"/>
            </w14:solidFill>
          </w14:textFill>
        </w:rPr>
        <w:t>与2022年持平</w:t>
      </w:r>
      <w:r>
        <w:rPr>
          <w:rFonts w:eastAsia="宋体" w:cs="Times New Roman"/>
          <w:color w:val="000000" w:themeColor="text1"/>
          <w:szCs w:val="24"/>
          <w14:textFill>
            <w14:solidFill>
              <w14:schemeClr w14:val="tx1"/>
            </w14:solidFill>
          </w14:textFill>
        </w:rPr>
        <w:t>，浓度分别为169μg/m</w:t>
      </w:r>
      <w:r>
        <w:rPr>
          <w:rFonts w:eastAsia="宋体" w:cs="Times New Roman"/>
          <w:color w:val="000000" w:themeColor="text1"/>
          <w:szCs w:val="24"/>
          <w:vertAlign w:val="superscript"/>
          <w14:textFill>
            <w14:solidFill>
              <w14:schemeClr w14:val="tx1"/>
            </w14:solidFill>
          </w14:textFill>
        </w:rPr>
        <w:t>3</w:t>
      </w:r>
      <w:r>
        <w:rPr>
          <w:rFonts w:eastAsia="宋体" w:cs="Times New Roman"/>
          <w:color w:val="000000" w:themeColor="text1"/>
          <w:szCs w:val="24"/>
          <w14:textFill>
            <w14:solidFill>
              <w14:schemeClr w14:val="tx1"/>
            </w14:solidFill>
          </w14:textFill>
        </w:rPr>
        <w:t>、1mg/m</w:t>
      </w:r>
      <w:r>
        <w:rPr>
          <w:rFonts w:eastAsia="宋体" w:cs="Times New Roman"/>
          <w:color w:val="000000" w:themeColor="text1"/>
          <w:szCs w:val="24"/>
          <w:vertAlign w:val="superscript"/>
          <w14:textFill>
            <w14:solidFill>
              <w14:schemeClr w14:val="tx1"/>
            </w14:solidFill>
          </w14:textFill>
        </w:rPr>
        <w:t>3</w:t>
      </w:r>
      <w:r>
        <w:rPr>
          <w:rFonts w:eastAsia="宋体" w:cs="Times New Roman"/>
          <w:color w:val="000000" w:themeColor="text1"/>
          <w:szCs w:val="24"/>
          <w14:textFill>
            <w14:solidFill>
              <w14:schemeClr w14:val="tx1"/>
            </w14:solidFill>
          </w14:textFill>
        </w:rPr>
        <w:t>；其中，O</w:t>
      </w:r>
      <w:r>
        <w:rPr>
          <w:rFonts w:eastAsia="宋体" w:cs="Times New Roman"/>
          <w:color w:val="000000" w:themeColor="text1"/>
          <w:szCs w:val="24"/>
          <w:vertAlign w:val="subscript"/>
          <w14:textFill>
            <w14:solidFill>
              <w14:schemeClr w14:val="tx1"/>
            </w14:solidFill>
          </w14:textFill>
        </w:rPr>
        <w:t>3</w:t>
      </w:r>
      <w:r>
        <w:rPr>
          <w:rFonts w:eastAsia="宋体" w:cs="Times New Roman"/>
          <w:color w:val="000000" w:themeColor="text1"/>
          <w:szCs w:val="24"/>
          <w14:textFill>
            <w14:solidFill>
              <w14:schemeClr w14:val="tx1"/>
            </w14:solidFill>
          </w14:textFill>
        </w:rPr>
        <w:t>作为首要污染物的超标天数为</w:t>
      </w:r>
      <w:r>
        <w:rPr>
          <w:rFonts w:hint="eastAsia" w:eastAsia="宋体" w:cs="Times New Roman"/>
          <w:color w:val="000000" w:themeColor="text1"/>
          <w:szCs w:val="24"/>
          <w14:textFill>
            <w14:solidFill>
              <w14:schemeClr w14:val="tx1"/>
            </w14:solidFill>
          </w14:textFill>
        </w:rPr>
        <w:t>53</w:t>
      </w:r>
      <w:r>
        <w:rPr>
          <w:rFonts w:eastAsia="宋体" w:cs="Times New Roman"/>
          <w:color w:val="000000" w:themeColor="text1"/>
          <w:szCs w:val="24"/>
          <w14:textFill>
            <w14:solidFill>
              <w14:schemeClr w14:val="tx1"/>
            </w14:solidFill>
          </w14:textFill>
        </w:rPr>
        <w:t>天，占全年超标天数比例达</w:t>
      </w:r>
      <w:r>
        <w:rPr>
          <w:rFonts w:hint="eastAsia" w:eastAsia="宋体" w:cs="Times New Roman"/>
          <w:color w:val="000000" w:themeColor="text1"/>
          <w:szCs w:val="24"/>
          <w14:textFill>
            <w14:solidFill>
              <w14:schemeClr w14:val="tx1"/>
            </w14:solidFill>
          </w14:textFill>
        </w:rPr>
        <w:t>51</w:t>
      </w:r>
      <w:r>
        <w:rPr>
          <w:rFonts w:eastAsia="宋体" w:cs="Times New Roman"/>
          <w:color w:val="000000" w:themeColor="text1"/>
          <w:szCs w:val="24"/>
          <w14:textFill>
            <w14:solidFill>
              <w14:schemeClr w14:val="tx1"/>
            </w14:solidFill>
          </w14:textFill>
        </w:rPr>
        <w:t>%，已成为影响全市环境空气质量的主要指标。因此，项目区域为不达标区，主要不达标因子为PM</w:t>
      </w:r>
      <w:r>
        <w:rPr>
          <w:rFonts w:eastAsia="宋体" w:cs="Times New Roman"/>
          <w:color w:val="000000" w:themeColor="text1"/>
          <w:szCs w:val="24"/>
          <w:vertAlign w:val="subscript"/>
          <w14:textFill>
            <w14:solidFill>
              <w14:schemeClr w14:val="tx1"/>
            </w14:solidFill>
          </w14:textFill>
        </w:rPr>
        <w:t>2.5</w:t>
      </w:r>
      <w:r>
        <w:rPr>
          <w:rFonts w:eastAsia="宋体" w:cs="Times New Roman"/>
          <w:color w:val="000000" w:themeColor="text1"/>
          <w:szCs w:val="24"/>
          <w14:textFill>
            <w14:solidFill>
              <w14:schemeClr w14:val="tx1"/>
            </w14:solidFill>
          </w14:textFill>
        </w:rPr>
        <w:t>与O</w:t>
      </w:r>
      <w:r>
        <w:rPr>
          <w:rFonts w:eastAsia="宋体" w:cs="Times New Roman"/>
          <w:color w:val="000000" w:themeColor="text1"/>
          <w:szCs w:val="24"/>
          <w:vertAlign w:val="subscript"/>
          <w14:textFill>
            <w14:solidFill>
              <w14:schemeClr w14:val="tx1"/>
            </w14:solidFill>
          </w14:textFill>
        </w:rPr>
        <w:t>3</w:t>
      </w:r>
      <w:r>
        <w:rPr>
          <w:rFonts w:eastAsia="宋体" w:cs="Times New Roman"/>
          <w:snapToGrid w:val="0"/>
          <w:color w:val="000000" w:themeColor="text1"/>
          <w:kern w:val="0"/>
          <w:szCs w:val="24"/>
          <w14:textFill>
            <w14:solidFill>
              <w14:schemeClr w14:val="tx1"/>
            </w14:solidFill>
          </w14:textFill>
        </w:rPr>
        <w:t>。</w:t>
      </w:r>
    </w:p>
    <w:p w14:paraId="4FC36F48">
      <w:pPr>
        <w:spacing w:line="480" w:lineRule="exact"/>
        <w:ind w:firstLine="482"/>
        <w:jc w:val="left"/>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根据《</w:t>
      </w:r>
      <w:r>
        <w:rPr>
          <w:rFonts w:hint="eastAsia" w:eastAsia="宋体" w:cs="Times New Roman"/>
          <w:color w:val="000000" w:themeColor="text1"/>
          <w:szCs w:val="24"/>
          <w14:textFill>
            <w14:solidFill>
              <w14:schemeClr w14:val="tx1"/>
            </w14:solidFill>
          </w14:textFill>
        </w:rPr>
        <w:t>市政府关于印发宿迁市空气质量持续改善行动计划实施方案的通知</w:t>
      </w:r>
      <w:r>
        <w:rPr>
          <w:rFonts w:eastAsia="宋体" w:cs="Times New Roman"/>
          <w:color w:val="000000" w:themeColor="text1"/>
          <w:szCs w:val="24"/>
          <w14:textFill>
            <w14:solidFill>
              <w14:schemeClr w14:val="tx1"/>
            </w14:solidFill>
          </w14:textFill>
        </w:rPr>
        <w:t>》（</w:t>
      </w:r>
      <w:r>
        <w:rPr>
          <w:rFonts w:hint="eastAsia" w:eastAsia="宋体" w:cs="Times New Roman"/>
          <w:color w:val="000000" w:themeColor="text1"/>
          <w:szCs w:val="24"/>
          <w14:textFill>
            <w14:solidFill>
              <w14:schemeClr w14:val="tx1"/>
            </w14:solidFill>
          </w14:textFill>
        </w:rPr>
        <w:t>宿政发〔2024〕97号</w:t>
      </w:r>
      <w:r>
        <w:rPr>
          <w:rFonts w:eastAsia="宋体" w:cs="Times New Roman"/>
          <w:color w:val="000000" w:themeColor="text1"/>
          <w:szCs w:val="24"/>
          <w14:textFill>
            <w14:solidFill>
              <w14:schemeClr w14:val="tx1"/>
            </w14:solidFill>
          </w14:textFill>
        </w:rPr>
        <w:t>）</w:t>
      </w:r>
      <w:r>
        <w:rPr>
          <w:rFonts w:hint="eastAsia" w:eastAsia="宋体" w:cs="Times New Roman"/>
          <w:color w:val="000000" w:themeColor="text1"/>
          <w:szCs w:val="24"/>
          <w14:textFill>
            <w14:solidFill>
              <w14:schemeClr w14:val="tx1"/>
            </w14:solidFill>
          </w14:textFill>
        </w:rPr>
        <w:t>，为贯彻落实《空气质量持续改善行动计划》(国发〔2023 ]24号）、《江苏省空气质量持续改善行动计划实施方案》(（苏政发〔2024〕53号）要求，持续深入打好蓝天保卫战，切实保障人民群众身体健康，以空气质量持续改善推动经济高质量发展，特制定以下实施方案：（一）优化产业结构，促进产业绿色低碳升级；（二）优化能源结构，加快能源清洁低碳高效发展；（三）优化交通结构，大力发展绿色运输体系；（四）强化面源污染治理，提升精细化管理水平；（五）加强机制建设，完善大气环境管理体系；（六）加强能力建设，严格执法监督；（七）健全法律法规标准体系，完善环境经济政策；（八）落实各方责任，开展全民行动。通过采取上述措施进一步减少宿迁市大气污染情况，</w:t>
      </w:r>
      <w:r>
        <w:rPr>
          <w:rFonts w:eastAsia="宋体" w:cs="Times New Roman"/>
          <w:color w:val="000000" w:themeColor="text1"/>
          <w:szCs w:val="24"/>
          <w14:textFill>
            <w14:solidFill>
              <w14:schemeClr w14:val="tx1"/>
            </w14:solidFill>
          </w14:textFill>
        </w:rPr>
        <w:t>改善区域大气环境质量。</w:t>
      </w:r>
      <w:r>
        <w:rPr>
          <w:rFonts w:hint="eastAsia" w:eastAsia="宋体" w:cs="Times New Roman"/>
          <w:color w:val="000000" w:themeColor="text1"/>
          <w:szCs w:val="24"/>
          <w14:textFill>
            <w14:solidFill>
              <w14:schemeClr w14:val="tx1"/>
            </w14:solidFill>
          </w14:textFill>
        </w:rPr>
        <w:t>确保到2025年，全市PM</w:t>
      </w:r>
      <w:r>
        <w:rPr>
          <w:rFonts w:hint="eastAsia" w:eastAsia="宋体" w:cs="Times New Roman"/>
          <w:color w:val="000000" w:themeColor="text1"/>
          <w:szCs w:val="24"/>
          <w:vertAlign w:val="subscript"/>
          <w14:textFill>
            <w14:solidFill>
              <w14:schemeClr w14:val="tx1"/>
            </w14:solidFill>
          </w14:textFill>
        </w:rPr>
        <w:t>2.5</w:t>
      </w:r>
      <w:r>
        <w:rPr>
          <w:rFonts w:hint="eastAsia" w:eastAsia="宋体" w:cs="Times New Roman"/>
          <w:color w:val="000000" w:themeColor="text1"/>
          <w:szCs w:val="24"/>
          <w14:textFill>
            <w14:solidFill>
              <w14:schemeClr w14:val="tx1"/>
            </w14:solidFill>
          </w14:textFill>
        </w:rPr>
        <w:t>浓度比2020年下降15%及以上，重度及以上污染天数控制在2天以内，力争全市PM</w:t>
      </w:r>
      <w:r>
        <w:rPr>
          <w:rFonts w:hint="eastAsia" w:eastAsia="宋体" w:cs="Times New Roman"/>
          <w:color w:val="000000" w:themeColor="text1"/>
          <w:szCs w:val="24"/>
          <w:vertAlign w:val="subscript"/>
          <w14:textFill>
            <w14:solidFill>
              <w14:schemeClr w14:val="tx1"/>
            </w14:solidFill>
          </w14:textFill>
        </w:rPr>
        <w:t>2.5</w:t>
      </w:r>
      <w:r>
        <w:rPr>
          <w:rFonts w:hint="eastAsia" w:eastAsia="宋体" w:cs="Times New Roman"/>
          <w:color w:val="000000" w:themeColor="text1"/>
          <w:szCs w:val="24"/>
          <w14:textFill>
            <w14:solidFill>
              <w14:schemeClr w14:val="tx1"/>
            </w14:solidFill>
          </w14:textFill>
        </w:rPr>
        <w:t>浓度总体达标；氮氧化物和VOCs排放总量比2020年分别下降15%以上，完成国家和省下达的减排目标。</w:t>
      </w:r>
    </w:p>
    <w:p w14:paraId="439EAC84">
      <w:pPr>
        <w:pStyle w:val="8"/>
        <w:spacing w:line="480" w:lineRule="exact"/>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.1.2 大气环境质量现状监测结果及评价</w:t>
      </w:r>
    </w:p>
    <w:p w14:paraId="6511B4B8">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根据《宿迁市2023年度生态环境状况公报》区域环境空气基本污染物环境质量现状见表</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3-1。</w:t>
      </w:r>
    </w:p>
    <w:p w14:paraId="17E923B4">
      <w:pPr>
        <w:pStyle w:val="31"/>
        <w:spacing w:before="0"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基本污染物环境质量现状评价表</w:t>
      </w:r>
    </w:p>
    <w:tbl>
      <w:tblPr>
        <w:tblStyle w:val="4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1196"/>
        <w:gridCol w:w="2138"/>
        <w:gridCol w:w="1549"/>
        <w:gridCol w:w="1245"/>
        <w:gridCol w:w="747"/>
        <w:gridCol w:w="1103"/>
      </w:tblGrid>
      <w:tr w14:paraId="0DA54E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tcBorders>
              <w:tl2br w:val="nil"/>
              <w:tr2bl w:val="nil"/>
            </w:tcBorders>
            <w:vAlign w:val="center"/>
          </w:tcPr>
          <w:p w14:paraId="7BF7F291">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行政区域</w:t>
            </w:r>
          </w:p>
        </w:tc>
        <w:tc>
          <w:tcPr>
            <w:tcW w:w="644" w:type="pct"/>
            <w:tcBorders>
              <w:tl2br w:val="nil"/>
              <w:tr2bl w:val="nil"/>
            </w:tcBorders>
            <w:vAlign w:val="center"/>
          </w:tcPr>
          <w:p w14:paraId="46324150">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污染物</w:t>
            </w:r>
          </w:p>
        </w:tc>
        <w:tc>
          <w:tcPr>
            <w:tcW w:w="1151" w:type="pct"/>
            <w:tcBorders>
              <w:tl2br w:val="nil"/>
              <w:tr2bl w:val="nil"/>
            </w:tcBorders>
            <w:vAlign w:val="center"/>
          </w:tcPr>
          <w:p w14:paraId="0D87D222">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年评价指标</w:t>
            </w:r>
          </w:p>
        </w:tc>
        <w:tc>
          <w:tcPr>
            <w:tcW w:w="834" w:type="pct"/>
            <w:tcBorders>
              <w:tl2br w:val="nil"/>
              <w:tr2bl w:val="nil"/>
            </w:tcBorders>
            <w:vAlign w:val="center"/>
          </w:tcPr>
          <w:p w14:paraId="47FD4D36">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现状浓度（μg/m</w:t>
            </w:r>
            <w:r>
              <w:rPr>
                <w:rFonts w:ascii="Times New Roman" w:hAnsi="Times New Roman" w:eastAsia="宋体" w:cs="Times New Roman"/>
                <w:color w:val="000000" w:themeColor="text1"/>
                <w:kern w:val="0"/>
                <w:sz w:val="21"/>
                <w:szCs w:val="21"/>
                <w:vertAlign w:val="superscript"/>
                <w14:textFill>
                  <w14:solidFill>
                    <w14:schemeClr w14:val="tx1"/>
                  </w14:solidFill>
                </w14:textFill>
              </w:rPr>
              <w:t>3</w:t>
            </w:r>
            <w:r>
              <w:rPr>
                <w:rFonts w:ascii="Times New Roman" w:hAnsi="Times New Roman" w:eastAsia="宋体" w:cs="Times New Roman"/>
                <w:color w:val="000000" w:themeColor="text1"/>
                <w:kern w:val="0"/>
                <w:sz w:val="21"/>
                <w:szCs w:val="21"/>
                <w14:textFill>
                  <w14:solidFill>
                    <w14:schemeClr w14:val="tx1"/>
                  </w14:solidFill>
                </w14:textFill>
              </w:rPr>
              <w:t>）</w:t>
            </w:r>
          </w:p>
        </w:tc>
        <w:tc>
          <w:tcPr>
            <w:tcW w:w="670" w:type="pct"/>
            <w:tcBorders>
              <w:tl2br w:val="nil"/>
              <w:tr2bl w:val="nil"/>
            </w:tcBorders>
            <w:vAlign w:val="center"/>
          </w:tcPr>
          <w:p w14:paraId="3175F358">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标准值（μg/m</w:t>
            </w:r>
            <w:r>
              <w:rPr>
                <w:rFonts w:ascii="Times New Roman" w:hAnsi="Times New Roman" w:eastAsia="宋体" w:cs="Times New Roman"/>
                <w:color w:val="000000" w:themeColor="text1"/>
                <w:kern w:val="0"/>
                <w:sz w:val="21"/>
                <w:szCs w:val="21"/>
                <w:vertAlign w:val="superscript"/>
                <w14:textFill>
                  <w14:solidFill>
                    <w14:schemeClr w14:val="tx1"/>
                  </w14:solidFill>
                </w14:textFill>
              </w:rPr>
              <w:t>3</w:t>
            </w:r>
            <w:r>
              <w:rPr>
                <w:rFonts w:ascii="Times New Roman" w:hAnsi="Times New Roman" w:eastAsia="宋体" w:cs="Times New Roman"/>
                <w:color w:val="000000" w:themeColor="text1"/>
                <w:kern w:val="0"/>
                <w:sz w:val="21"/>
                <w:szCs w:val="21"/>
                <w14:textFill>
                  <w14:solidFill>
                    <w14:schemeClr w14:val="tx1"/>
                  </w14:solidFill>
                </w14:textFill>
              </w:rPr>
              <w:t>）</w:t>
            </w:r>
          </w:p>
        </w:tc>
        <w:tc>
          <w:tcPr>
            <w:tcW w:w="402" w:type="pct"/>
            <w:tcBorders>
              <w:tl2br w:val="nil"/>
              <w:tr2bl w:val="nil"/>
            </w:tcBorders>
            <w:vAlign w:val="center"/>
          </w:tcPr>
          <w:p w14:paraId="3FB033AC">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占标率%</w:t>
            </w:r>
          </w:p>
        </w:tc>
        <w:tc>
          <w:tcPr>
            <w:tcW w:w="595" w:type="pct"/>
            <w:tcBorders>
              <w:tl2br w:val="nil"/>
              <w:tr2bl w:val="nil"/>
            </w:tcBorders>
            <w:vAlign w:val="center"/>
          </w:tcPr>
          <w:p w14:paraId="744F967C">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达标情况</w:t>
            </w:r>
          </w:p>
        </w:tc>
      </w:tr>
      <w:tr w14:paraId="23B920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vMerge w:val="restart"/>
            <w:tcBorders>
              <w:tl2br w:val="nil"/>
              <w:tr2bl w:val="nil"/>
            </w:tcBorders>
            <w:vAlign w:val="center"/>
          </w:tcPr>
          <w:p w14:paraId="3490A154">
            <w:pPr>
              <w:pStyle w:val="89"/>
              <w:rPr>
                <w:rFonts w:ascii="Times New Roman" w:hAnsi="Times New Roman" w:eastAsia="宋体" w:cs="Times New Roman"/>
                <w:color w:val="000000" w:themeColor="text1"/>
                <w:kern w:val="0"/>
                <w:sz w:val="21"/>
                <w:szCs w:val="21"/>
                <w:highlight w:val="yellow"/>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宿迁</w:t>
            </w:r>
          </w:p>
        </w:tc>
        <w:tc>
          <w:tcPr>
            <w:tcW w:w="644" w:type="pct"/>
            <w:tcBorders>
              <w:tl2br w:val="nil"/>
              <w:tr2bl w:val="nil"/>
            </w:tcBorders>
            <w:vAlign w:val="center"/>
          </w:tcPr>
          <w:p w14:paraId="3A86B03D">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SO</w:t>
            </w:r>
            <w:r>
              <w:rPr>
                <w:rFonts w:ascii="Times New Roman" w:hAnsi="Times New Roman" w:eastAsia="宋体" w:cs="Times New Roman"/>
                <w:color w:val="000000" w:themeColor="text1"/>
                <w:kern w:val="0"/>
                <w:sz w:val="21"/>
                <w:szCs w:val="21"/>
                <w:vertAlign w:val="subscript"/>
                <w14:textFill>
                  <w14:solidFill>
                    <w14:schemeClr w14:val="tx1"/>
                  </w14:solidFill>
                </w14:textFill>
              </w:rPr>
              <w:t>2</w:t>
            </w:r>
          </w:p>
        </w:tc>
        <w:tc>
          <w:tcPr>
            <w:tcW w:w="1151" w:type="pct"/>
            <w:tcBorders>
              <w:tl2br w:val="nil"/>
              <w:tr2bl w:val="nil"/>
            </w:tcBorders>
            <w:vAlign w:val="center"/>
          </w:tcPr>
          <w:p w14:paraId="57056445">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年平均质量浓度</w:t>
            </w:r>
          </w:p>
        </w:tc>
        <w:tc>
          <w:tcPr>
            <w:tcW w:w="834" w:type="pct"/>
            <w:tcBorders>
              <w:tl2br w:val="nil"/>
              <w:tr2bl w:val="nil"/>
            </w:tcBorders>
            <w:vAlign w:val="center"/>
          </w:tcPr>
          <w:p w14:paraId="5E7A15C2">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8</w:t>
            </w:r>
          </w:p>
        </w:tc>
        <w:tc>
          <w:tcPr>
            <w:tcW w:w="670" w:type="pct"/>
            <w:tcBorders>
              <w:tl2br w:val="nil"/>
              <w:tr2bl w:val="nil"/>
            </w:tcBorders>
            <w:vAlign w:val="center"/>
          </w:tcPr>
          <w:p w14:paraId="08A6A743">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60</w:t>
            </w:r>
          </w:p>
        </w:tc>
        <w:tc>
          <w:tcPr>
            <w:tcW w:w="402" w:type="pct"/>
            <w:tcBorders>
              <w:tl2br w:val="nil"/>
              <w:tr2bl w:val="nil"/>
            </w:tcBorders>
            <w:vAlign w:val="center"/>
          </w:tcPr>
          <w:p w14:paraId="7A627ADB">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13.3</w:t>
            </w:r>
          </w:p>
        </w:tc>
        <w:tc>
          <w:tcPr>
            <w:tcW w:w="595" w:type="pct"/>
            <w:tcBorders>
              <w:tl2br w:val="nil"/>
              <w:tr2bl w:val="nil"/>
            </w:tcBorders>
            <w:vAlign w:val="center"/>
          </w:tcPr>
          <w:p w14:paraId="4B0EA99E">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达标</w:t>
            </w:r>
          </w:p>
        </w:tc>
      </w:tr>
      <w:tr w14:paraId="2A308F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vMerge w:val="continue"/>
            <w:tcBorders>
              <w:tl2br w:val="nil"/>
              <w:tr2bl w:val="nil"/>
            </w:tcBorders>
            <w:vAlign w:val="center"/>
          </w:tcPr>
          <w:p w14:paraId="6E5484C1">
            <w:pPr>
              <w:pStyle w:val="89"/>
              <w:rPr>
                <w:rFonts w:ascii="Times New Roman" w:hAnsi="Times New Roman" w:eastAsia="宋体" w:cs="Times New Roman"/>
                <w:color w:val="000000" w:themeColor="text1"/>
                <w:kern w:val="0"/>
                <w:sz w:val="21"/>
                <w:szCs w:val="21"/>
                <w:highlight w:val="yellow"/>
                <w14:textFill>
                  <w14:solidFill>
                    <w14:schemeClr w14:val="tx1"/>
                  </w14:solidFill>
                </w14:textFill>
              </w:rPr>
            </w:pPr>
          </w:p>
        </w:tc>
        <w:tc>
          <w:tcPr>
            <w:tcW w:w="644" w:type="pct"/>
            <w:tcBorders>
              <w:tl2br w:val="nil"/>
              <w:tr2bl w:val="nil"/>
            </w:tcBorders>
            <w:vAlign w:val="center"/>
          </w:tcPr>
          <w:p w14:paraId="2997CCB7">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NO</w:t>
            </w:r>
            <w:r>
              <w:rPr>
                <w:rFonts w:ascii="Times New Roman" w:hAnsi="Times New Roman" w:eastAsia="宋体" w:cs="Times New Roman"/>
                <w:color w:val="000000" w:themeColor="text1"/>
                <w:kern w:val="0"/>
                <w:sz w:val="21"/>
                <w:szCs w:val="21"/>
                <w:vertAlign w:val="subscript"/>
                <w14:textFill>
                  <w14:solidFill>
                    <w14:schemeClr w14:val="tx1"/>
                  </w14:solidFill>
                </w14:textFill>
              </w:rPr>
              <w:t>2</w:t>
            </w:r>
          </w:p>
        </w:tc>
        <w:tc>
          <w:tcPr>
            <w:tcW w:w="1151" w:type="pct"/>
            <w:tcBorders>
              <w:tl2br w:val="nil"/>
              <w:tr2bl w:val="nil"/>
            </w:tcBorders>
            <w:vAlign w:val="center"/>
          </w:tcPr>
          <w:p w14:paraId="57BBBB5E">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年平均质量浓度</w:t>
            </w:r>
          </w:p>
        </w:tc>
        <w:tc>
          <w:tcPr>
            <w:tcW w:w="834" w:type="pct"/>
            <w:tcBorders>
              <w:tl2br w:val="nil"/>
              <w:tr2bl w:val="nil"/>
            </w:tcBorders>
            <w:vAlign w:val="center"/>
          </w:tcPr>
          <w:p w14:paraId="775758C4">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25</w:t>
            </w:r>
          </w:p>
        </w:tc>
        <w:tc>
          <w:tcPr>
            <w:tcW w:w="670" w:type="pct"/>
            <w:tcBorders>
              <w:tl2br w:val="nil"/>
              <w:tr2bl w:val="nil"/>
            </w:tcBorders>
            <w:vAlign w:val="center"/>
          </w:tcPr>
          <w:p w14:paraId="401DCDB8">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40</w:t>
            </w:r>
          </w:p>
        </w:tc>
        <w:tc>
          <w:tcPr>
            <w:tcW w:w="402" w:type="pct"/>
            <w:tcBorders>
              <w:tl2br w:val="nil"/>
              <w:tr2bl w:val="nil"/>
            </w:tcBorders>
            <w:vAlign w:val="center"/>
          </w:tcPr>
          <w:p w14:paraId="713A6606">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62.5</w:t>
            </w:r>
          </w:p>
        </w:tc>
        <w:tc>
          <w:tcPr>
            <w:tcW w:w="595" w:type="pct"/>
            <w:tcBorders>
              <w:tl2br w:val="nil"/>
              <w:tr2bl w:val="nil"/>
            </w:tcBorders>
            <w:vAlign w:val="center"/>
          </w:tcPr>
          <w:p w14:paraId="6085D7CF">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达标</w:t>
            </w:r>
          </w:p>
        </w:tc>
      </w:tr>
      <w:tr w14:paraId="7D743C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vMerge w:val="continue"/>
            <w:tcBorders>
              <w:tl2br w:val="nil"/>
              <w:tr2bl w:val="nil"/>
            </w:tcBorders>
            <w:vAlign w:val="center"/>
          </w:tcPr>
          <w:p w14:paraId="598B8445">
            <w:pPr>
              <w:pStyle w:val="89"/>
              <w:rPr>
                <w:rFonts w:ascii="Times New Roman" w:hAnsi="Times New Roman" w:eastAsia="宋体" w:cs="Times New Roman"/>
                <w:color w:val="000000" w:themeColor="text1"/>
                <w:kern w:val="0"/>
                <w:sz w:val="21"/>
                <w:szCs w:val="21"/>
                <w:highlight w:val="yellow"/>
                <w14:textFill>
                  <w14:solidFill>
                    <w14:schemeClr w14:val="tx1"/>
                  </w14:solidFill>
                </w14:textFill>
              </w:rPr>
            </w:pPr>
          </w:p>
        </w:tc>
        <w:tc>
          <w:tcPr>
            <w:tcW w:w="644" w:type="pct"/>
            <w:tcBorders>
              <w:tl2br w:val="nil"/>
              <w:tr2bl w:val="nil"/>
            </w:tcBorders>
            <w:vAlign w:val="center"/>
          </w:tcPr>
          <w:p w14:paraId="5599900C">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CO</w:t>
            </w:r>
          </w:p>
        </w:tc>
        <w:tc>
          <w:tcPr>
            <w:tcW w:w="1151" w:type="pct"/>
            <w:tcBorders>
              <w:tl2br w:val="nil"/>
              <w:tr2bl w:val="nil"/>
            </w:tcBorders>
            <w:vAlign w:val="center"/>
          </w:tcPr>
          <w:p w14:paraId="57F95AB5">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百分位数日平均</w:t>
            </w:r>
          </w:p>
        </w:tc>
        <w:tc>
          <w:tcPr>
            <w:tcW w:w="834" w:type="pct"/>
            <w:tcBorders>
              <w:tl2br w:val="nil"/>
              <w:tr2bl w:val="nil"/>
            </w:tcBorders>
            <w:vAlign w:val="center"/>
          </w:tcPr>
          <w:p w14:paraId="6C97CC15">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1000</w:t>
            </w:r>
          </w:p>
        </w:tc>
        <w:tc>
          <w:tcPr>
            <w:tcW w:w="670" w:type="pct"/>
            <w:tcBorders>
              <w:tl2br w:val="nil"/>
              <w:tr2bl w:val="nil"/>
            </w:tcBorders>
            <w:vAlign w:val="center"/>
          </w:tcPr>
          <w:p w14:paraId="72592D16">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4000</w:t>
            </w:r>
          </w:p>
        </w:tc>
        <w:tc>
          <w:tcPr>
            <w:tcW w:w="402" w:type="pct"/>
            <w:tcBorders>
              <w:tl2br w:val="nil"/>
              <w:tr2bl w:val="nil"/>
            </w:tcBorders>
            <w:vAlign w:val="center"/>
          </w:tcPr>
          <w:p w14:paraId="68A303D3">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25</w:t>
            </w:r>
          </w:p>
        </w:tc>
        <w:tc>
          <w:tcPr>
            <w:tcW w:w="595" w:type="pct"/>
            <w:tcBorders>
              <w:tl2br w:val="nil"/>
              <w:tr2bl w:val="nil"/>
            </w:tcBorders>
            <w:vAlign w:val="center"/>
          </w:tcPr>
          <w:p w14:paraId="7CE7FFA8">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达标</w:t>
            </w:r>
          </w:p>
        </w:tc>
      </w:tr>
      <w:tr w14:paraId="263A3E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vMerge w:val="continue"/>
            <w:tcBorders>
              <w:tl2br w:val="nil"/>
              <w:tr2bl w:val="nil"/>
            </w:tcBorders>
            <w:vAlign w:val="center"/>
          </w:tcPr>
          <w:p w14:paraId="49497A30">
            <w:pPr>
              <w:pStyle w:val="89"/>
              <w:rPr>
                <w:rFonts w:ascii="Times New Roman" w:hAnsi="Times New Roman" w:eastAsia="宋体" w:cs="Times New Roman"/>
                <w:color w:val="000000" w:themeColor="text1"/>
                <w:kern w:val="0"/>
                <w:sz w:val="21"/>
                <w:szCs w:val="21"/>
                <w:highlight w:val="yellow"/>
                <w14:textFill>
                  <w14:solidFill>
                    <w14:schemeClr w14:val="tx1"/>
                  </w14:solidFill>
                </w14:textFill>
              </w:rPr>
            </w:pPr>
          </w:p>
        </w:tc>
        <w:tc>
          <w:tcPr>
            <w:tcW w:w="644" w:type="pct"/>
            <w:tcBorders>
              <w:tl2br w:val="nil"/>
              <w:tr2bl w:val="nil"/>
            </w:tcBorders>
            <w:vAlign w:val="center"/>
          </w:tcPr>
          <w:p w14:paraId="77AEE114">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O</w:t>
            </w:r>
            <w:r>
              <w:rPr>
                <w:rFonts w:ascii="Times New Roman" w:hAnsi="Times New Roman" w:eastAsia="宋体" w:cs="Times New Roman"/>
                <w:color w:val="000000" w:themeColor="text1"/>
                <w:kern w:val="0"/>
                <w:sz w:val="21"/>
                <w:szCs w:val="21"/>
                <w:vertAlign w:val="subscript"/>
                <w14:textFill>
                  <w14:solidFill>
                    <w14:schemeClr w14:val="tx1"/>
                  </w14:solidFill>
                </w14:textFill>
              </w:rPr>
              <w:t>3</w:t>
            </w:r>
          </w:p>
        </w:tc>
        <w:tc>
          <w:tcPr>
            <w:tcW w:w="1151" w:type="pct"/>
            <w:tcBorders>
              <w:tl2br w:val="nil"/>
              <w:tr2bl w:val="nil"/>
            </w:tcBorders>
            <w:vAlign w:val="center"/>
          </w:tcPr>
          <w:p w14:paraId="30CC8FB2">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百分位数8h平均</w:t>
            </w:r>
          </w:p>
        </w:tc>
        <w:tc>
          <w:tcPr>
            <w:tcW w:w="834" w:type="pct"/>
            <w:tcBorders>
              <w:tl2br w:val="nil"/>
              <w:tr2bl w:val="nil"/>
            </w:tcBorders>
            <w:vAlign w:val="center"/>
          </w:tcPr>
          <w:p w14:paraId="599ADDAC">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169</w:t>
            </w:r>
          </w:p>
        </w:tc>
        <w:tc>
          <w:tcPr>
            <w:tcW w:w="670" w:type="pct"/>
            <w:tcBorders>
              <w:tl2br w:val="nil"/>
              <w:tr2bl w:val="nil"/>
            </w:tcBorders>
            <w:vAlign w:val="center"/>
          </w:tcPr>
          <w:p w14:paraId="686C03C4">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160</w:t>
            </w:r>
          </w:p>
        </w:tc>
        <w:tc>
          <w:tcPr>
            <w:tcW w:w="402" w:type="pct"/>
            <w:tcBorders>
              <w:tl2br w:val="nil"/>
              <w:tr2bl w:val="nil"/>
            </w:tcBorders>
            <w:vAlign w:val="center"/>
          </w:tcPr>
          <w:p w14:paraId="01AFA4CB">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105.6</w:t>
            </w:r>
          </w:p>
        </w:tc>
        <w:tc>
          <w:tcPr>
            <w:tcW w:w="595" w:type="pct"/>
            <w:tcBorders>
              <w:tl2br w:val="nil"/>
              <w:tr2bl w:val="nil"/>
            </w:tcBorders>
            <w:vAlign w:val="center"/>
          </w:tcPr>
          <w:p w14:paraId="14B8BD6C">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b/>
                <w:color w:val="000000" w:themeColor="text1"/>
                <w:kern w:val="0"/>
                <w:sz w:val="21"/>
                <w:szCs w:val="21"/>
                <w14:textFill>
                  <w14:solidFill>
                    <w14:schemeClr w14:val="tx1"/>
                  </w14:solidFill>
                </w14:textFill>
              </w:rPr>
              <w:t>不达标</w:t>
            </w:r>
          </w:p>
        </w:tc>
      </w:tr>
      <w:tr w14:paraId="1BCB2B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vMerge w:val="continue"/>
            <w:tcBorders>
              <w:tl2br w:val="nil"/>
              <w:tr2bl w:val="nil"/>
            </w:tcBorders>
            <w:vAlign w:val="center"/>
          </w:tcPr>
          <w:p w14:paraId="7256ED89">
            <w:pPr>
              <w:pStyle w:val="89"/>
              <w:rPr>
                <w:rFonts w:ascii="Times New Roman" w:hAnsi="Times New Roman" w:eastAsia="宋体" w:cs="Times New Roman"/>
                <w:color w:val="000000" w:themeColor="text1"/>
                <w:kern w:val="0"/>
                <w:sz w:val="21"/>
                <w:szCs w:val="21"/>
                <w:highlight w:val="yellow"/>
                <w14:textFill>
                  <w14:solidFill>
                    <w14:schemeClr w14:val="tx1"/>
                  </w14:solidFill>
                </w14:textFill>
              </w:rPr>
            </w:pPr>
          </w:p>
        </w:tc>
        <w:tc>
          <w:tcPr>
            <w:tcW w:w="644" w:type="pct"/>
            <w:tcBorders>
              <w:tl2br w:val="nil"/>
              <w:tr2bl w:val="nil"/>
            </w:tcBorders>
            <w:vAlign w:val="center"/>
          </w:tcPr>
          <w:p w14:paraId="153A864E">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PM</w:t>
            </w:r>
            <w:r>
              <w:rPr>
                <w:rFonts w:ascii="Times New Roman" w:hAnsi="Times New Roman" w:eastAsia="宋体" w:cs="Times New Roman"/>
                <w:color w:val="000000" w:themeColor="text1"/>
                <w:kern w:val="0"/>
                <w:sz w:val="21"/>
                <w:szCs w:val="21"/>
                <w:vertAlign w:val="subscript"/>
                <w14:textFill>
                  <w14:solidFill>
                    <w14:schemeClr w14:val="tx1"/>
                  </w14:solidFill>
                </w14:textFill>
              </w:rPr>
              <w:t>10</w:t>
            </w:r>
          </w:p>
        </w:tc>
        <w:tc>
          <w:tcPr>
            <w:tcW w:w="1151" w:type="pct"/>
            <w:tcBorders>
              <w:tl2br w:val="nil"/>
              <w:tr2bl w:val="nil"/>
            </w:tcBorders>
            <w:vAlign w:val="center"/>
          </w:tcPr>
          <w:p w14:paraId="07D669C2">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年平均质量浓度</w:t>
            </w:r>
          </w:p>
        </w:tc>
        <w:tc>
          <w:tcPr>
            <w:tcW w:w="834" w:type="pct"/>
            <w:tcBorders>
              <w:tl2br w:val="nil"/>
              <w:tr2bl w:val="nil"/>
            </w:tcBorders>
            <w:vAlign w:val="center"/>
          </w:tcPr>
          <w:p w14:paraId="3E5EF599">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63</w:t>
            </w:r>
          </w:p>
        </w:tc>
        <w:tc>
          <w:tcPr>
            <w:tcW w:w="670" w:type="pct"/>
            <w:tcBorders>
              <w:tl2br w:val="nil"/>
              <w:tr2bl w:val="nil"/>
            </w:tcBorders>
            <w:vAlign w:val="center"/>
          </w:tcPr>
          <w:p w14:paraId="1AAF5566">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70</w:t>
            </w:r>
          </w:p>
        </w:tc>
        <w:tc>
          <w:tcPr>
            <w:tcW w:w="402" w:type="pct"/>
            <w:tcBorders>
              <w:tl2br w:val="nil"/>
              <w:tr2bl w:val="nil"/>
            </w:tcBorders>
            <w:vAlign w:val="center"/>
          </w:tcPr>
          <w:p w14:paraId="19B4687B">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90.0</w:t>
            </w:r>
          </w:p>
        </w:tc>
        <w:tc>
          <w:tcPr>
            <w:tcW w:w="595" w:type="pct"/>
            <w:tcBorders>
              <w:tl2br w:val="nil"/>
              <w:tr2bl w:val="nil"/>
            </w:tcBorders>
            <w:vAlign w:val="center"/>
          </w:tcPr>
          <w:p w14:paraId="7CBE72E2">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达标</w:t>
            </w:r>
          </w:p>
        </w:tc>
      </w:tr>
      <w:tr w14:paraId="63DBD7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vMerge w:val="continue"/>
            <w:tcBorders>
              <w:tl2br w:val="nil"/>
              <w:tr2bl w:val="nil"/>
            </w:tcBorders>
            <w:vAlign w:val="center"/>
          </w:tcPr>
          <w:p w14:paraId="44F99570">
            <w:pPr>
              <w:pStyle w:val="89"/>
              <w:rPr>
                <w:rFonts w:ascii="Times New Roman" w:hAnsi="Times New Roman" w:eastAsia="宋体" w:cs="Times New Roman"/>
                <w:color w:val="000000" w:themeColor="text1"/>
                <w:kern w:val="0"/>
                <w:sz w:val="21"/>
                <w:szCs w:val="21"/>
                <w:highlight w:val="yellow"/>
                <w14:textFill>
                  <w14:solidFill>
                    <w14:schemeClr w14:val="tx1"/>
                  </w14:solidFill>
                </w14:textFill>
              </w:rPr>
            </w:pPr>
          </w:p>
        </w:tc>
        <w:tc>
          <w:tcPr>
            <w:tcW w:w="644" w:type="pct"/>
            <w:tcBorders>
              <w:tl2br w:val="nil"/>
              <w:tr2bl w:val="nil"/>
            </w:tcBorders>
            <w:vAlign w:val="center"/>
          </w:tcPr>
          <w:p w14:paraId="7290CB85">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PM</w:t>
            </w:r>
            <w:r>
              <w:rPr>
                <w:rFonts w:ascii="Times New Roman" w:hAnsi="Times New Roman" w:eastAsia="宋体" w:cs="Times New Roman"/>
                <w:color w:val="000000" w:themeColor="text1"/>
                <w:kern w:val="0"/>
                <w:sz w:val="21"/>
                <w:szCs w:val="21"/>
                <w:vertAlign w:val="subscript"/>
                <w14:textFill>
                  <w14:solidFill>
                    <w14:schemeClr w14:val="tx1"/>
                  </w14:solidFill>
                </w14:textFill>
              </w:rPr>
              <w:t>2.5</w:t>
            </w:r>
          </w:p>
        </w:tc>
        <w:tc>
          <w:tcPr>
            <w:tcW w:w="1151" w:type="pct"/>
            <w:tcBorders>
              <w:tl2br w:val="nil"/>
              <w:tr2bl w:val="nil"/>
            </w:tcBorders>
            <w:vAlign w:val="center"/>
          </w:tcPr>
          <w:p w14:paraId="097D7439">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年平均质量浓度</w:t>
            </w:r>
          </w:p>
        </w:tc>
        <w:tc>
          <w:tcPr>
            <w:tcW w:w="834" w:type="pct"/>
            <w:tcBorders>
              <w:tl2br w:val="nil"/>
              <w:tr2bl w:val="nil"/>
            </w:tcBorders>
            <w:vAlign w:val="center"/>
          </w:tcPr>
          <w:p w14:paraId="7B37F74A">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39.8</w:t>
            </w:r>
          </w:p>
        </w:tc>
        <w:tc>
          <w:tcPr>
            <w:tcW w:w="670" w:type="pct"/>
            <w:tcBorders>
              <w:tl2br w:val="nil"/>
              <w:tr2bl w:val="nil"/>
            </w:tcBorders>
            <w:vAlign w:val="center"/>
          </w:tcPr>
          <w:p w14:paraId="3394338C">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35</w:t>
            </w:r>
          </w:p>
        </w:tc>
        <w:tc>
          <w:tcPr>
            <w:tcW w:w="402" w:type="pct"/>
            <w:tcBorders>
              <w:tl2br w:val="nil"/>
              <w:tr2bl w:val="nil"/>
            </w:tcBorders>
            <w:vAlign w:val="center"/>
          </w:tcPr>
          <w:p w14:paraId="76B742D7">
            <w:pPr>
              <w:pStyle w:val="89"/>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113.7</w:t>
            </w:r>
          </w:p>
        </w:tc>
        <w:tc>
          <w:tcPr>
            <w:tcW w:w="595" w:type="pct"/>
            <w:tcBorders>
              <w:tl2br w:val="nil"/>
              <w:tr2bl w:val="nil"/>
            </w:tcBorders>
            <w:vAlign w:val="center"/>
          </w:tcPr>
          <w:p w14:paraId="7262C15C">
            <w:pPr>
              <w:pStyle w:val="89"/>
              <w:rPr>
                <w:rFonts w:ascii="Times New Roman" w:hAnsi="Times New Roman" w:eastAsia="宋体" w:cs="Times New Roman"/>
                <w:b/>
                <w:color w:val="000000" w:themeColor="text1"/>
                <w:kern w:val="0"/>
                <w:sz w:val="21"/>
                <w:szCs w:val="21"/>
                <w14:textFill>
                  <w14:solidFill>
                    <w14:schemeClr w14:val="tx1"/>
                  </w14:solidFill>
                </w14:textFill>
              </w:rPr>
            </w:pPr>
            <w:r>
              <w:rPr>
                <w:rFonts w:ascii="Times New Roman" w:hAnsi="Times New Roman" w:eastAsia="宋体" w:cs="Times New Roman"/>
                <w:b/>
                <w:color w:val="000000" w:themeColor="text1"/>
                <w:kern w:val="0"/>
                <w:sz w:val="21"/>
                <w:szCs w:val="21"/>
                <w14:textFill>
                  <w14:solidFill>
                    <w14:schemeClr w14:val="tx1"/>
                  </w14:solidFill>
                </w14:textFill>
              </w:rPr>
              <w:t>不达标</w:t>
            </w:r>
          </w:p>
        </w:tc>
      </w:tr>
    </w:tbl>
    <w:p w14:paraId="299CB19B">
      <w:pPr>
        <w:pageBreakBefore w:val="0"/>
        <w:widowControl w:val="0"/>
        <w:kinsoku/>
        <w:wordWrap/>
        <w:overflowPunct/>
        <w:topLinePunct w:val="0"/>
        <w:autoSpaceDE/>
        <w:autoSpaceDN/>
        <w:bidi w:val="0"/>
        <w:adjustRightInd/>
        <w:snapToGrid/>
        <w:spacing w:line="480" w:lineRule="exact"/>
        <w:ind w:firstLine="480"/>
        <w:textAlignment w:val="auto"/>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根据表4.3-1，O</w:t>
      </w:r>
      <w:r>
        <w:rPr>
          <w:rFonts w:eastAsia="宋体" w:cs="Times New Roman"/>
          <w:color w:val="000000" w:themeColor="text1"/>
          <w:szCs w:val="24"/>
          <w:vertAlign w:val="subscript"/>
          <w14:textFill>
            <w14:solidFill>
              <w14:schemeClr w14:val="tx1"/>
            </w14:solidFill>
          </w14:textFill>
        </w:rPr>
        <w:t>3</w:t>
      </w:r>
      <w:r>
        <w:rPr>
          <w:rFonts w:hint="eastAsia" w:eastAsia="宋体" w:cs="Times New Roman"/>
          <w:color w:val="000000" w:themeColor="text1"/>
          <w:szCs w:val="24"/>
          <w14:textFill>
            <w14:solidFill>
              <w14:schemeClr w14:val="tx1"/>
            </w14:solidFill>
          </w14:textFill>
        </w:rPr>
        <w:t>、</w:t>
      </w:r>
      <w:r>
        <w:rPr>
          <w:rFonts w:eastAsia="宋体" w:cs="Times New Roman"/>
          <w:color w:val="000000" w:themeColor="text1"/>
          <w:szCs w:val="24"/>
          <w14:textFill>
            <w14:solidFill>
              <w14:schemeClr w14:val="tx1"/>
            </w14:solidFill>
          </w14:textFill>
        </w:rPr>
        <w:t>PM</w:t>
      </w:r>
      <w:r>
        <w:rPr>
          <w:rFonts w:eastAsia="宋体" w:cs="Times New Roman"/>
          <w:color w:val="000000" w:themeColor="text1"/>
          <w:szCs w:val="24"/>
          <w:vertAlign w:val="subscript"/>
          <w14:textFill>
            <w14:solidFill>
              <w14:schemeClr w14:val="tx1"/>
            </w14:solidFill>
          </w14:textFill>
        </w:rPr>
        <w:t>2.5</w:t>
      </w:r>
      <w:r>
        <w:rPr>
          <w:rFonts w:eastAsia="宋体" w:cs="Times New Roman"/>
          <w:color w:val="000000" w:themeColor="text1"/>
          <w:szCs w:val="24"/>
          <w14:textFill>
            <w14:solidFill>
              <w14:schemeClr w14:val="tx1"/>
            </w14:solidFill>
          </w14:textFill>
        </w:rPr>
        <w:t>年均浓度超过《环境空气质量标准》（GB3095-2012）二级标准要求，故项目所在评价区域为不达标区。</w:t>
      </w:r>
    </w:p>
    <w:p w14:paraId="2014487A">
      <w:pPr>
        <w:pStyle w:val="8"/>
        <w:pageBreakBefore w:val="0"/>
        <w:widowControl w:val="0"/>
        <w:kinsoku/>
        <w:wordWrap/>
        <w:overflowPunct/>
        <w:topLinePunct w:val="0"/>
        <w:autoSpaceDE/>
        <w:autoSpaceDN/>
        <w:bidi w:val="0"/>
        <w:adjustRightInd/>
        <w:snapToGrid/>
        <w:spacing w:line="4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其他特征污染物环境质量现状补充监测与评价</w:t>
      </w:r>
    </w:p>
    <w:p w14:paraId="13AC30CD">
      <w:pPr>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（1）监测布点</w:t>
      </w:r>
    </w:p>
    <w:p w14:paraId="4773E712">
      <w:pPr>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综合考虑本地区风频特征、重点保护目标位置以及本地区近年来开展的环境监测工作，在本项目所在地设置了1个监测点，监测点位布设具体见表4.3-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和</w:t>
      </w:r>
      <w:r>
        <w:rPr>
          <w:rFonts w:hint="eastAsia"/>
          <w:b/>
          <w:bCs/>
          <w:color w:val="000000" w:themeColor="text1"/>
          <w14:textFill>
            <w14:solidFill>
              <w14:schemeClr w14:val="tx1"/>
            </w14:solidFill>
          </w14:textFill>
        </w:rPr>
        <w:t>图2.6-1</w:t>
      </w:r>
      <w:r>
        <w:rPr>
          <w:rFonts w:hint="eastAsia"/>
          <w:color w:val="000000" w:themeColor="text1"/>
          <w14:textFill>
            <w14:solidFill>
              <w14:schemeClr w14:val="tx1"/>
            </w14:solidFill>
          </w14:textFill>
        </w:rPr>
        <w:t>。</w:t>
      </w:r>
    </w:p>
    <w:p w14:paraId="1BEEFC74">
      <w:pPr>
        <w:pStyle w:val="31"/>
        <w:pageBreakBefore w:val="0"/>
        <w:widowControl w:val="0"/>
        <w:kinsoku/>
        <w:wordWrap/>
        <w:overflowPunct/>
        <w:topLinePunct w:val="0"/>
        <w:autoSpaceDE/>
        <w:autoSpaceDN/>
        <w:bidi w:val="0"/>
        <w:adjustRightInd/>
        <w:snapToGrid/>
        <w:spacing w:before="0" w:line="4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环境空气质量现监测布点表</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1670"/>
        <w:gridCol w:w="1193"/>
        <w:gridCol w:w="1431"/>
        <w:gridCol w:w="1265"/>
        <w:gridCol w:w="2794"/>
      </w:tblGrid>
      <w:tr w14:paraId="38FD0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01" w:type="pct"/>
            <w:vMerge w:val="restart"/>
            <w:vAlign w:val="center"/>
          </w:tcPr>
          <w:p w14:paraId="041D7591">
            <w:pPr>
              <w:pStyle w:val="61"/>
              <w:spacing w:line="300" w:lineRule="exact"/>
              <w:rPr>
                <w:lang w:val="zh-CN"/>
              </w:rPr>
            </w:pPr>
            <w:r>
              <w:rPr>
                <w:rFonts w:hint="eastAsia"/>
                <w:lang w:val="zh-CN"/>
              </w:rPr>
              <w:t>编号</w:t>
            </w:r>
          </w:p>
        </w:tc>
        <w:tc>
          <w:tcPr>
            <w:tcW w:w="899" w:type="pct"/>
            <w:vMerge w:val="restart"/>
            <w:vAlign w:val="center"/>
          </w:tcPr>
          <w:p w14:paraId="4D9A1887">
            <w:pPr>
              <w:pStyle w:val="61"/>
              <w:spacing w:line="300" w:lineRule="exact"/>
            </w:pPr>
            <w:r>
              <w:rPr>
                <w:rFonts w:hint="eastAsia"/>
              </w:rPr>
              <w:t>监测点位</w:t>
            </w:r>
          </w:p>
        </w:tc>
        <w:tc>
          <w:tcPr>
            <w:tcW w:w="1412" w:type="pct"/>
            <w:gridSpan w:val="2"/>
            <w:vAlign w:val="center"/>
          </w:tcPr>
          <w:p w14:paraId="43817462">
            <w:pPr>
              <w:pStyle w:val="61"/>
              <w:spacing w:line="300" w:lineRule="exact"/>
              <w:rPr>
                <w:rFonts w:hAnsi="宋体"/>
                <w:lang w:val="zh-CN"/>
              </w:rPr>
            </w:pPr>
            <w:r>
              <w:rPr>
                <w:rFonts w:hint="eastAsia"/>
                <w:lang w:val="zh-CN"/>
              </w:rPr>
              <w:t>距建设地点位置</w:t>
            </w:r>
          </w:p>
        </w:tc>
        <w:tc>
          <w:tcPr>
            <w:tcW w:w="681" w:type="pct"/>
            <w:vMerge w:val="restart"/>
            <w:vAlign w:val="center"/>
          </w:tcPr>
          <w:p w14:paraId="2DFC778E">
            <w:pPr>
              <w:pStyle w:val="61"/>
              <w:spacing w:line="300" w:lineRule="exact"/>
              <w:rPr>
                <w:rFonts w:hAnsi="宋体"/>
                <w:lang w:val="zh-CN"/>
              </w:rPr>
            </w:pPr>
            <w:r>
              <w:rPr>
                <w:rFonts w:hint="eastAsia" w:hAnsi="宋体"/>
                <w:lang w:val="zh-CN"/>
              </w:rPr>
              <w:t>大气功能类别</w:t>
            </w:r>
          </w:p>
        </w:tc>
        <w:tc>
          <w:tcPr>
            <w:tcW w:w="1504" w:type="pct"/>
            <w:vMerge w:val="restart"/>
            <w:vAlign w:val="center"/>
          </w:tcPr>
          <w:p w14:paraId="4879C320">
            <w:pPr>
              <w:pStyle w:val="61"/>
              <w:spacing w:line="300" w:lineRule="exact"/>
              <w:rPr>
                <w:rFonts w:hAnsi="宋体"/>
                <w:lang w:val="zh-CN"/>
              </w:rPr>
            </w:pPr>
            <w:r>
              <w:rPr>
                <w:rFonts w:hint="eastAsia" w:ascii="宋体" w:cs="宋体"/>
                <w:szCs w:val="21"/>
              </w:rPr>
              <w:t>监测因子</w:t>
            </w:r>
          </w:p>
        </w:tc>
      </w:tr>
      <w:tr w14:paraId="4E9F9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1" w:type="pct"/>
            <w:vMerge w:val="continue"/>
            <w:vAlign w:val="center"/>
          </w:tcPr>
          <w:p w14:paraId="0F2A8C2B">
            <w:pPr>
              <w:pStyle w:val="61"/>
              <w:spacing w:line="300" w:lineRule="exact"/>
              <w:rPr>
                <w:lang w:val="zh-CN"/>
              </w:rPr>
            </w:pPr>
          </w:p>
        </w:tc>
        <w:tc>
          <w:tcPr>
            <w:tcW w:w="899" w:type="pct"/>
            <w:vMerge w:val="continue"/>
            <w:vAlign w:val="center"/>
          </w:tcPr>
          <w:p w14:paraId="64E573A2">
            <w:pPr>
              <w:pStyle w:val="61"/>
              <w:spacing w:line="300" w:lineRule="exact"/>
              <w:rPr>
                <w:lang w:val="zh-CN"/>
              </w:rPr>
            </w:pPr>
          </w:p>
        </w:tc>
        <w:tc>
          <w:tcPr>
            <w:tcW w:w="642" w:type="pct"/>
            <w:vAlign w:val="center"/>
          </w:tcPr>
          <w:p w14:paraId="09F70CF5">
            <w:pPr>
              <w:pStyle w:val="61"/>
              <w:spacing w:line="300" w:lineRule="exact"/>
              <w:rPr>
                <w:lang w:val="zh-CN"/>
              </w:rPr>
            </w:pPr>
            <w:r>
              <w:rPr>
                <w:rFonts w:hint="eastAsia" w:ascii="宋体" w:cs="宋体"/>
                <w:szCs w:val="21"/>
              </w:rPr>
              <w:t>方位</w:t>
            </w:r>
          </w:p>
        </w:tc>
        <w:tc>
          <w:tcPr>
            <w:tcW w:w="769" w:type="pct"/>
            <w:vAlign w:val="center"/>
          </w:tcPr>
          <w:p w14:paraId="38A8D63F">
            <w:pPr>
              <w:pStyle w:val="61"/>
              <w:spacing w:line="300" w:lineRule="exact"/>
              <w:rPr>
                <w:lang w:val="zh-CN"/>
              </w:rPr>
            </w:pPr>
            <w:r>
              <w:rPr>
                <w:rFonts w:hint="eastAsia" w:ascii="宋体" w:cs="宋体"/>
                <w:szCs w:val="21"/>
              </w:rPr>
              <w:t>距离（</w:t>
            </w:r>
            <w:r>
              <w:rPr>
                <w:szCs w:val="21"/>
              </w:rPr>
              <w:t>m</w:t>
            </w:r>
            <w:r>
              <w:rPr>
                <w:rFonts w:hint="eastAsia" w:ascii="宋体" w:cs="宋体"/>
                <w:szCs w:val="21"/>
              </w:rPr>
              <w:t>）</w:t>
            </w:r>
          </w:p>
        </w:tc>
        <w:tc>
          <w:tcPr>
            <w:tcW w:w="681" w:type="pct"/>
            <w:vMerge w:val="continue"/>
            <w:vAlign w:val="center"/>
          </w:tcPr>
          <w:p w14:paraId="23DCCA75">
            <w:pPr>
              <w:pStyle w:val="61"/>
              <w:spacing w:line="300" w:lineRule="exact"/>
              <w:rPr>
                <w:lang w:val="zh-CN"/>
              </w:rPr>
            </w:pPr>
          </w:p>
        </w:tc>
        <w:tc>
          <w:tcPr>
            <w:tcW w:w="1504" w:type="pct"/>
            <w:vMerge w:val="continue"/>
            <w:vAlign w:val="center"/>
          </w:tcPr>
          <w:p w14:paraId="20C2B06A">
            <w:pPr>
              <w:pStyle w:val="61"/>
              <w:spacing w:line="300" w:lineRule="exact"/>
              <w:rPr>
                <w:lang w:val="zh-CN"/>
              </w:rPr>
            </w:pPr>
          </w:p>
        </w:tc>
      </w:tr>
      <w:tr w14:paraId="7040C2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1" w:type="pct"/>
            <w:vAlign w:val="center"/>
          </w:tcPr>
          <w:p w14:paraId="54090026">
            <w:pPr>
              <w:pStyle w:val="61"/>
              <w:spacing w:line="300" w:lineRule="exact"/>
              <w:rPr>
                <w:lang w:val="zh-CN"/>
              </w:rPr>
            </w:pPr>
            <w:r>
              <w:rPr>
                <w:rFonts w:hint="eastAsia"/>
                <w:lang w:val="zh-CN"/>
              </w:rPr>
              <w:t>G</w:t>
            </w:r>
            <w:r>
              <w:rPr>
                <w:lang w:val="zh-CN"/>
              </w:rPr>
              <w:t>1</w:t>
            </w:r>
          </w:p>
        </w:tc>
        <w:tc>
          <w:tcPr>
            <w:tcW w:w="899" w:type="pct"/>
            <w:vAlign w:val="center"/>
          </w:tcPr>
          <w:p w14:paraId="64AE9673">
            <w:pPr>
              <w:pStyle w:val="61"/>
              <w:spacing w:line="300" w:lineRule="exact"/>
              <w:rPr>
                <w:lang w:val="zh-CN"/>
              </w:rPr>
            </w:pPr>
            <w:r>
              <w:rPr>
                <w:rFonts w:hint="eastAsia" w:ascii="宋体" w:cs="宋体"/>
                <w:szCs w:val="21"/>
              </w:rPr>
              <w:t>项目所在地</w:t>
            </w:r>
          </w:p>
        </w:tc>
        <w:tc>
          <w:tcPr>
            <w:tcW w:w="642" w:type="pct"/>
            <w:vAlign w:val="center"/>
          </w:tcPr>
          <w:p w14:paraId="6B53DB63">
            <w:pPr>
              <w:pStyle w:val="61"/>
              <w:spacing w:line="300" w:lineRule="exact"/>
              <w:rPr>
                <w:lang w:val="zh-CN"/>
              </w:rPr>
            </w:pPr>
            <w:r>
              <w:rPr>
                <w:rFonts w:hint="eastAsia"/>
              </w:rPr>
              <w:t>红线内</w:t>
            </w:r>
          </w:p>
        </w:tc>
        <w:tc>
          <w:tcPr>
            <w:tcW w:w="769" w:type="pct"/>
            <w:vAlign w:val="center"/>
          </w:tcPr>
          <w:p w14:paraId="62D1A7C9">
            <w:pPr>
              <w:pStyle w:val="61"/>
              <w:spacing w:line="300" w:lineRule="exact"/>
              <w:rPr>
                <w:lang w:val="zh-CN"/>
              </w:rPr>
            </w:pPr>
            <w:r>
              <w:rPr>
                <w:rFonts w:hint="eastAsia"/>
                <w:lang w:val="zh-CN"/>
              </w:rPr>
              <w:t>/</w:t>
            </w:r>
          </w:p>
        </w:tc>
        <w:tc>
          <w:tcPr>
            <w:tcW w:w="681" w:type="pct"/>
            <w:vAlign w:val="center"/>
          </w:tcPr>
          <w:p w14:paraId="4EFBB771">
            <w:pPr>
              <w:pStyle w:val="61"/>
              <w:spacing w:line="300" w:lineRule="exact"/>
              <w:rPr>
                <w:lang w:val="zh-CN"/>
              </w:rPr>
            </w:pPr>
            <w:r>
              <w:rPr>
                <w:rFonts w:hint="eastAsia"/>
                <w:lang w:val="zh-CN"/>
              </w:rPr>
              <w:t>二类区</w:t>
            </w:r>
          </w:p>
        </w:tc>
        <w:tc>
          <w:tcPr>
            <w:tcW w:w="1504" w:type="pct"/>
            <w:vAlign w:val="center"/>
          </w:tcPr>
          <w:p w14:paraId="06EE71E3">
            <w:pPr>
              <w:pStyle w:val="61"/>
              <w:spacing w:line="300" w:lineRule="exact"/>
              <w:rPr>
                <w:lang w:val="zh-CN"/>
              </w:rPr>
            </w:pPr>
            <w:r>
              <w:rPr>
                <w:rFonts w:hint="eastAsia"/>
                <w:lang w:val="zh-CN"/>
              </w:rPr>
              <w:t>氨、硫化氢、</w:t>
            </w:r>
            <w:r>
              <w:rPr>
                <w:rFonts w:hint="eastAsia"/>
              </w:rPr>
              <w:t>臭气浓度</w:t>
            </w:r>
            <w:r>
              <w:rPr>
                <w:rFonts w:hint="eastAsia"/>
                <w:color w:val="000000" w:themeColor="text1"/>
                <w:lang w:val="zh-CN"/>
                <w14:textFill>
                  <w14:solidFill>
                    <w14:schemeClr w14:val="tx1"/>
                  </w14:solidFill>
                </w14:textFill>
              </w:rPr>
              <w:t>、监测期间气象参数</w:t>
            </w:r>
          </w:p>
        </w:tc>
      </w:tr>
    </w:tbl>
    <w:p w14:paraId="5912B51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（2）监测时间和频次</w:t>
      </w:r>
    </w:p>
    <w:p w14:paraId="6BF9A03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本次环评环境空气现状监测委托江苏迈斯特环境检测有限公司进行，监测时间为2024年7月2日~2024年7月8日。</w:t>
      </w:r>
    </w:p>
    <w:p w14:paraId="23F3511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pPr>
      <w:r>
        <w:rPr>
          <w:rFonts w:hint="eastAsia"/>
        </w:rPr>
        <w:t>监测频率：所有项目连续监测7天，每天测4次；同时记录风向、风速、温度、气压等气象参数。</w:t>
      </w:r>
    </w:p>
    <w:p w14:paraId="5CDD0B80">
      <w:pPr>
        <w:ind w:firstLine="480" w:firstLineChars="200"/>
      </w:pPr>
      <w:r>
        <w:rPr>
          <w:rFonts w:hint="eastAsia"/>
        </w:rPr>
        <w:t>（3）监测方法</w:t>
      </w:r>
    </w:p>
    <w:p w14:paraId="38C61F35">
      <w:pPr>
        <w:ind w:firstLine="480" w:firstLineChars="200"/>
      </w:pPr>
      <w:r>
        <w:rPr>
          <w:rFonts w:hint="eastAsia"/>
        </w:rPr>
        <w:t>按原国家环保局出版的《环境监测技术规范》和《环境空气质量标准》（GB3095-2012）中规定的分析方法中的有关规定进行。具体见表4.3-</w:t>
      </w:r>
      <w:r>
        <w:t>3</w:t>
      </w:r>
      <w:r>
        <w:rPr>
          <w:rFonts w:hint="eastAsia"/>
        </w:rPr>
        <w:t>。</w:t>
      </w:r>
    </w:p>
    <w:p w14:paraId="32CD7186">
      <w:pPr>
        <w:pStyle w:val="31"/>
      </w:pPr>
      <w:r>
        <w:rPr>
          <w:rFonts w:hint="eastAsia"/>
        </w:rPr>
        <w:t>表</w:t>
      </w:r>
      <w:r>
        <w:t>4.</w:t>
      </w:r>
      <w:r>
        <w:rPr>
          <w:rFonts w:hint="eastAsia"/>
        </w:rPr>
        <w:t>3-3</w:t>
      </w:r>
      <w:r>
        <w:t xml:space="preserve">  </w:t>
      </w:r>
      <w:r>
        <w:rPr>
          <w:rFonts w:hint="eastAsia"/>
        </w:rPr>
        <w:t>环境空气监测分析方法</w:t>
      </w:r>
    </w:p>
    <w:tbl>
      <w:tblPr>
        <w:tblStyle w:val="4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4954"/>
        <w:gridCol w:w="3157"/>
      </w:tblGrid>
      <w:tr w14:paraId="53619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pct"/>
            <w:vAlign w:val="center"/>
          </w:tcPr>
          <w:p w14:paraId="632F7B9D">
            <w:pPr>
              <w:pStyle w:val="61"/>
              <w:spacing w:line="300" w:lineRule="exact"/>
              <w:rPr>
                <w:szCs w:val="21"/>
                <w:lang w:val="zh-CN"/>
              </w:rPr>
            </w:pPr>
            <w:r>
              <w:rPr>
                <w:rFonts w:hint="eastAsia"/>
                <w:szCs w:val="21"/>
                <w:lang w:val="zh-CN"/>
              </w:rPr>
              <w:t>项目</w:t>
            </w:r>
          </w:p>
        </w:tc>
        <w:tc>
          <w:tcPr>
            <w:tcW w:w="2668" w:type="pct"/>
            <w:vAlign w:val="center"/>
          </w:tcPr>
          <w:p w14:paraId="234146FE">
            <w:pPr>
              <w:pStyle w:val="61"/>
              <w:spacing w:line="300" w:lineRule="exact"/>
              <w:rPr>
                <w:szCs w:val="21"/>
              </w:rPr>
            </w:pPr>
            <w:r>
              <w:rPr>
                <w:rFonts w:hint="eastAsia"/>
                <w:szCs w:val="21"/>
              </w:rPr>
              <w:t>检测标准（方法）名称及编号</w:t>
            </w:r>
          </w:p>
        </w:tc>
        <w:tc>
          <w:tcPr>
            <w:tcW w:w="1700" w:type="pct"/>
            <w:vAlign w:val="center"/>
          </w:tcPr>
          <w:p w14:paraId="716127C8">
            <w:pPr>
              <w:pStyle w:val="61"/>
              <w:spacing w:line="300" w:lineRule="exact"/>
              <w:rPr>
                <w:szCs w:val="21"/>
              </w:rPr>
            </w:pPr>
            <w:r>
              <w:rPr>
                <w:rFonts w:hint="eastAsia"/>
                <w:szCs w:val="21"/>
              </w:rPr>
              <w:t>备注</w:t>
            </w:r>
          </w:p>
        </w:tc>
      </w:tr>
      <w:tr w14:paraId="775E52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pct"/>
            <w:vAlign w:val="center"/>
          </w:tcPr>
          <w:p w14:paraId="6456D856">
            <w:pPr>
              <w:pStyle w:val="61"/>
              <w:spacing w:line="300" w:lineRule="exact"/>
              <w:rPr>
                <w:szCs w:val="21"/>
                <w:lang w:val="zh-CN"/>
              </w:rPr>
            </w:pPr>
            <w:r>
              <w:rPr>
                <w:rFonts w:hint="eastAsia"/>
                <w:szCs w:val="21"/>
                <w:lang w:val="zh-CN"/>
              </w:rPr>
              <w:t>氨</w:t>
            </w:r>
          </w:p>
        </w:tc>
        <w:tc>
          <w:tcPr>
            <w:tcW w:w="2668" w:type="pct"/>
            <w:vAlign w:val="center"/>
          </w:tcPr>
          <w:p w14:paraId="3FFBACBB">
            <w:pPr>
              <w:pStyle w:val="61"/>
              <w:spacing w:line="300" w:lineRule="exact"/>
              <w:rPr>
                <w:szCs w:val="21"/>
              </w:rPr>
            </w:pPr>
            <w:r>
              <w:rPr>
                <w:rFonts w:hint="eastAsia"/>
                <w:szCs w:val="21"/>
              </w:rPr>
              <w:t>《环境空气和废气 氨的测定 纳氏试剂分光光度法》</w:t>
            </w:r>
          </w:p>
        </w:tc>
        <w:tc>
          <w:tcPr>
            <w:tcW w:w="1700" w:type="pct"/>
            <w:vAlign w:val="center"/>
          </w:tcPr>
          <w:p w14:paraId="78FEAC23">
            <w:pPr>
              <w:pStyle w:val="61"/>
              <w:spacing w:line="300" w:lineRule="exact"/>
              <w:rPr>
                <w:szCs w:val="21"/>
                <w:lang w:val="zh-CN"/>
              </w:rPr>
            </w:pPr>
            <w:r>
              <w:rPr>
                <w:rFonts w:hint="eastAsia"/>
                <w:szCs w:val="21"/>
              </w:rPr>
              <w:t>（</w:t>
            </w:r>
            <w:r>
              <w:rPr>
                <w:szCs w:val="21"/>
              </w:rPr>
              <w:t>HJ 533-2009</w:t>
            </w:r>
            <w:r>
              <w:rPr>
                <w:rFonts w:hint="eastAsia"/>
                <w:szCs w:val="21"/>
              </w:rPr>
              <w:t>）</w:t>
            </w:r>
          </w:p>
        </w:tc>
      </w:tr>
      <w:tr w14:paraId="0DE8BC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pct"/>
            <w:vAlign w:val="center"/>
          </w:tcPr>
          <w:p w14:paraId="1E949308">
            <w:pPr>
              <w:pStyle w:val="61"/>
              <w:spacing w:line="300" w:lineRule="exact"/>
              <w:rPr>
                <w:szCs w:val="21"/>
                <w:lang w:val="zh-CN"/>
              </w:rPr>
            </w:pPr>
            <w:r>
              <w:rPr>
                <w:rFonts w:hint="eastAsia"/>
                <w:szCs w:val="21"/>
                <w:lang w:val="zh-CN"/>
              </w:rPr>
              <w:t>硫化氢</w:t>
            </w:r>
          </w:p>
        </w:tc>
        <w:tc>
          <w:tcPr>
            <w:tcW w:w="2668" w:type="pct"/>
            <w:vAlign w:val="center"/>
          </w:tcPr>
          <w:p w14:paraId="7E2E2237">
            <w:pPr>
              <w:pStyle w:val="61"/>
              <w:spacing w:line="300" w:lineRule="exact"/>
              <w:rPr>
                <w:szCs w:val="21"/>
              </w:rPr>
            </w:pPr>
            <w:r>
              <w:rPr>
                <w:rFonts w:hint="eastAsia"/>
                <w:szCs w:val="21"/>
              </w:rPr>
              <w:t>亚甲基蓝分光光度法 《空气和废气监测分析方法》</w:t>
            </w:r>
          </w:p>
        </w:tc>
        <w:tc>
          <w:tcPr>
            <w:tcW w:w="1700" w:type="pct"/>
            <w:vAlign w:val="center"/>
          </w:tcPr>
          <w:p w14:paraId="4884A776">
            <w:pPr>
              <w:pStyle w:val="61"/>
              <w:spacing w:line="300" w:lineRule="exact"/>
              <w:rPr>
                <w:szCs w:val="21"/>
                <w:lang w:val="zh-CN"/>
              </w:rPr>
            </w:pPr>
            <w:r>
              <w:rPr>
                <w:rFonts w:hint="eastAsia"/>
                <w:szCs w:val="21"/>
              </w:rPr>
              <w:t>（第四版增补版 国家环境保护总局 2003年）3.1.11.2</w:t>
            </w:r>
          </w:p>
        </w:tc>
      </w:tr>
      <w:tr w14:paraId="4ADB0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pct"/>
            <w:vAlign w:val="center"/>
          </w:tcPr>
          <w:p w14:paraId="438FCD95">
            <w:pPr>
              <w:pStyle w:val="61"/>
              <w:spacing w:line="300" w:lineRule="exact"/>
              <w:rPr>
                <w:szCs w:val="21"/>
                <w:lang w:val="zh-CN"/>
              </w:rPr>
            </w:pPr>
            <w:r>
              <w:rPr>
                <w:rFonts w:hint="eastAsia"/>
                <w:szCs w:val="21"/>
              </w:rPr>
              <w:t>臭气</w:t>
            </w:r>
          </w:p>
        </w:tc>
        <w:tc>
          <w:tcPr>
            <w:tcW w:w="2668" w:type="pct"/>
            <w:vAlign w:val="center"/>
          </w:tcPr>
          <w:p w14:paraId="326A108C">
            <w:pPr>
              <w:pStyle w:val="61"/>
              <w:spacing w:line="300" w:lineRule="exact"/>
              <w:rPr>
                <w:szCs w:val="21"/>
                <w:lang w:val="zh-CN"/>
              </w:rPr>
            </w:pPr>
            <w:r>
              <w:rPr>
                <w:rFonts w:hint="eastAsia"/>
                <w:szCs w:val="21"/>
                <w:lang w:val="zh-CN"/>
              </w:rPr>
              <w:t>《</w:t>
            </w:r>
            <w:r>
              <w:rPr>
                <w:rFonts w:hint="eastAsia"/>
                <w:szCs w:val="21"/>
              </w:rPr>
              <w:t>环境空气和废气臭气的测定三点比较式臭袋法》</w:t>
            </w:r>
          </w:p>
        </w:tc>
        <w:tc>
          <w:tcPr>
            <w:tcW w:w="1700" w:type="pct"/>
            <w:vAlign w:val="center"/>
          </w:tcPr>
          <w:p w14:paraId="0E1D5E6F">
            <w:pPr>
              <w:pStyle w:val="61"/>
              <w:spacing w:line="300" w:lineRule="exact"/>
              <w:rPr>
                <w:szCs w:val="21"/>
                <w:lang w:val="zh-CN"/>
              </w:rPr>
            </w:pPr>
            <w:r>
              <w:rPr>
                <w:rFonts w:hint="eastAsia"/>
                <w:szCs w:val="21"/>
              </w:rPr>
              <w:t>（HJ 1262-2022）</w:t>
            </w:r>
          </w:p>
        </w:tc>
      </w:tr>
    </w:tbl>
    <w:p w14:paraId="6C5EBB46">
      <w:pPr>
        <w:numPr>
          <w:ilvl w:val="0"/>
          <w:numId w:val="7"/>
        </w:numPr>
        <w:ind w:firstLine="480" w:firstLineChars="200"/>
      </w:pPr>
      <w:r>
        <w:rPr>
          <w:rFonts w:hint="eastAsia"/>
        </w:rPr>
        <w:t>评价标准</w:t>
      </w:r>
    </w:p>
    <w:p w14:paraId="797C8087">
      <w:pPr>
        <w:ind w:firstLine="480" w:firstLineChars="200"/>
        <w:rPr>
          <w:rFonts w:eastAsia="宋体"/>
          <w:szCs w:val="24"/>
        </w:rPr>
      </w:pPr>
      <w:r>
        <w:rPr>
          <w:rFonts w:hint="eastAsia"/>
          <w:szCs w:val="24"/>
        </w:rPr>
        <w:t>项目</w:t>
      </w:r>
      <w:r>
        <w:rPr>
          <w:szCs w:val="24"/>
        </w:rPr>
        <w:t>NH</w:t>
      </w:r>
      <w:r>
        <w:rPr>
          <w:szCs w:val="24"/>
          <w:vertAlign w:val="subscript"/>
        </w:rPr>
        <w:t>3</w:t>
      </w:r>
      <w:r>
        <w:rPr>
          <w:rFonts w:hAnsi="宋体"/>
          <w:szCs w:val="24"/>
        </w:rPr>
        <w:t>、</w:t>
      </w:r>
      <w:r>
        <w:rPr>
          <w:szCs w:val="24"/>
        </w:rPr>
        <w:t>H</w:t>
      </w:r>
      <w:r>
        <w:rPr>
          <w:szCs w:val="24"/>
          <w:vertAlign w:val="subscript"/>
        </w:rPr>
        <w:t>2</w:t>
      </w:r>
      <w:r>
        <w:rPr>
          <w:szCs w:val="24"/>
        </w:rPr>
        <w:t>S</w:t>
      </w:r>
      <w:r>
        <w:rPr>
          <w:rFonts w:hAnsi="宋体"/>
          <w:szCs w:val="24"/>
        </w:rPr>
        <w:t>执行《环境影响评价技术导则</w:t>
      </w:r>
      <w:r>
        <w:rPr>
          <w:szCs w:val="24"/>
        </w:rPr>
        <w:t xml:space="preserve"> </w:t>
      </w:r>
      <w:r>
        <w:rPr>
          <w:rFonts w:hAnsi="宋体"/>
          <w:szCs w:val="24"/>
        </w:rPr>
        <w:t>大气环境》（</w:t>
      </w:r>
      <w:r>
        <w:rPr>
          <w:szCs w:val="24"/>
        </w:rPr>
        <w:t>HJ 2.2</w:t>
      </w:r>
      <w:r>
        <w:rPr>
          <w:rFonts w:hint="eastAsia"/>
          <w:szCs w:val="24"/>
        </w:rPr>
        <w:t>-</w:t>
      </w:r>
      <w:r>
        <w:rPr>
          <w:szCs w:val="24"/>
        </w:rPr>
        <w:t>2018</w:t>
      </w:r>
      <w:r>
        <w:rPr>
          <w:rFonts w:hAnsi="宋体"/>
          <w:szCs w:val="24"/>
        </w:rPr>
        <w:t>）附录</w:t>
      </w:r>
      <w:r>
        <w:rPr>
          <w:szCs w:val="24"/>
        </w:rPr>
        <w:t>D</w:t>
      </w:r>
      <w:r>
        <w:rPr>
          <w:rFonts w:hAnsi="宋体"/>
          <w:szCs w:val="24"/>
        </w:rPr>
        <w:t>中表</w:t>
      </w:r>
      <w:r>
        <w:rPr>
          <w:szCs w:val="24"/>
        </w:rPr>
        <w:t>D.1</w:t>
      </w:r>
      <w:r>
        <w:rPr>
          <w:rFonts w:hAnsi="宋体"/>
          <w:szCs w:val="24"/>
        </w:rPr>
        <w:t>中标准</w:t>
      </w:r>
      <w:r>
        <w:rPr>
          <w:szCs w:val="24"/>
        </w:rPr>
        <w:t>；</w:t>
      </w:r>
      <w:r>
        <w:rPr>
          <w:rFonts w:ascii="Times New Roman" w:hAnsi="宋体" w:eastAsia="宋体" w:cs="Times New Roman"/>
          <w:szCs w:val="24"/>
        </w:rPr>
        <w:t>臭气浓度参照执行</w:t>
      </w:r>
      <w:r>
        <w:rPr>
          <w:rFonts w:hint="eastAsia" w:ascii="Times New Roman" w:hAnsi="宋体" w:eastAsia="宋体" w:cs="Times New Roman"/>
          <w:szCs w:val="24"/>
        </w:rPr>
        <w:t>《畜禽养殖产地环境评价规范》（HJ568-2010）表5中指标限值。</w:t>
      </w:r>
    </w:p>
    <w:p w14:paraId="1A8156DC">
      <w:pPr>
        <w:adjustRightInd w:val="0"/>
        <w:snapToGrid w:val="0"/>
        <w:spacing w:line="480" w:lineRule="atLeast"/>
        <w:ind w:firstLine="480" w:firstLineChars="200"/>
        <w:rPr>
          <w:rFonts w:ascii="Times New Roman"/>
          <w:szCs w:val="24"/>
        </w:rPr>
      </w:pPr>
      <w:r>
        <w:rPr>
          <w:rFonts w:ascii="Times New Roman" w:hAnsi="宋体"/>
          <w:szCs w:val="24"/>
        </w:rPr>
        <w:t>（</w:t>
      </w:r>
      <w:r>
        <w:rPr>
          <w:rFonts w:ascii="Times New Roman"/>
          <w:szCs w:val="24"/>
        </w:rPr>
        <w:t>5</w:t>
      </w:r>
      <w:r>
        <w:rPr>
          <w:rFonts w:ascii="Times New Roman" w:hAnsi="宋体"/>
          <w:szCs w:val="24"/>
        </w:rPr>
        <w:t>）监测结果分析</w:t>
      </w:r>
    </w:p>
    <w:p w14:paraId="42CA2B1D">
      <w:pPr>
        <w:adjustRightInd w:val="0"/>
        <w:snapToGrid w:val="0"/>
        <w:spacing w:line="480" w:lineRule="atLeast"/>
        <w:ind w:firstLine="480" w:firstLineChars="200"/>
        <w:rPr>
          <w:rFonts w:ascii="Times New Roman"/>
          <w:color w:val="000000" w:themeColor="text1"/>
          <w:szCs w:val="24"/>
          <w14:textFill>
            <w14:solidFill>
              <w14:schemeClr w14:val="tx1"/>
            </w14:solidFill>
          </w14:textFill>
        </w:rPr>
      </w:pPr>
      <w:r>
        <w:rPr>
          <w:rFonts w:hint="eastAsia"/>
        </w:rPr>
        <w:t>根据江苏迈斯特环境检测有限公司的监测报告</w:t>
      </w:r>
      <w:r>
        <w:rPr>
          <w:rFonts w:hint="eastAsia"/>
          <w:color w:val="000000" w:themeColor="text1"/>
          <w14:textFill>
            <w14:solidFill>
              <w14:schemeClr w14:val="tx1"/>
            </w14:solidFill>
          </w14:textFill>
        </w:rPr>
        <w:t>（报告编号：MST20240702003-1），</w:t>
      </w:r>
      <w:r>
        <w:rPr>
          <w:rFonts w:ascii="Times New Roman" w:hAnsi="宋体"/>
          <w:color w:val="000000" w:themeColor="text1"/>
          <w:szCs w:val="24"/>
          <w14:textFill>
            <w14:solidFill>
              <w14:schemeClr w14:val="tx1"/>
            </w14:solidFill>
          </w14:textFill>
        </w:rPr>
        <w:t>大气环境现状监测结果见表</w:t>
      </w:r>
      <w:r>
        <w:rPr>
          <w:rFonts w:ascii="Times New Roman"/>
          <w:color w:val="000000" w:themeColor="text1"/>
          <w:szCs w:val="24"/>
          <w14:textFill>
            <w14:solidFill>
              <w14:schemeClr w14:val="tx1"/>
            </w14:solidFill>
          </w14:textFill>
        </w:rPr>
        <w:t>4.3</w:t>
      </w:r>
      <w:r>
        <w:rPr>
          <w:rFonts w:hint="eastAsia" w:ascii="Times New Roman"/>
          <w:color w:val="000000" w:themeColor="text1"/>
          <w:szCs w:val="24"/>
          <w14:textFill>
            <w14:solidFill>
              <w14:schemeClr w14:val="tx1"/>
            </w14:solidFill>
          </w14:textFill>
        </w:rPr>
        <w:t>-4</w:t>
      </w:r>
      <w:r>
        <w:rPr>
          <w:rFonts w:ascii="Times New Roman" w:hAnsi="宋体"/>
          <w:color w:val="000000" w:themeColor="text1"/>
          <w:szCs w:val="24"/>
          <w14:textFill>
            <w14:solidFill>
              <w14:schemeClr w14:val="tx1"/>
            </w14:solidFill>
          </w14:textFill>
        </w:rPr>
        <w:t>。</w:t>
      </w:r>
    </w:p>
    <w:p w14:paraId="0F2B7B76">
      <w:pPr>
        <w:adjustRightInd w:val="0"/>
        <w:snapToGrid w:val="0"/>
        <w:spacing w:line="480" w:lineRule="atLeast"/>
        <w:jc w:val="center"/>
        <w:rPr>
          <w:rFonts w:ascii="Times New Roman"/>
          <w:b/>
          <w:bCs/>
          <w:color w:val="000000" w:themeColor="text1"/>
          <w:szCs w:val="24"/>
          <w14:textFill>
            <w14:solidFill>
              <w14:schemeClr w14:val="tx1"/>
            </w14:solidFill>
          </w14:textFill>
        </w:rPr>
      </w:pPr>
      <w:r>
        <w:rPr>
          <w:rFonts w:ascii="Times New Roman" w:hAnsi="宋体"/>
          <w:b/>
          <w:bCs/>
          <w:color w:val="000000" w:themeColor="text1"/>
          <w:szCs w:val="24"/>
          <w14:textFill>
            <w14:solidFill>
              <w14:schemeClr w14:val="tx1"/>
            </w14:solidFill>
          </w14:textFill>
        </w:rPr>
        <w:t>表</w:t>
      </w:r>
      <w:r>
        <w:rPr>
          <w:rFonts w:ascii="Times New Roman"/>
          <w:b/>
          <w:bCs/>
          <w:color w:val="000000" w:themeColor="text1"/>
          <w:szCs w:val="24"/>
          <w14:textFill>
            <w14:solidFill>
              <w14:schemeClr w14:val="tx1"/>
            </w14:solidFill>
          </w14:textFill>
        </w:rPr>
        <w:t>4.3</w:t>
      </w:r>
      <w:r>
        <w:rPr>
          <w:rFonts w:hint="eastAsia" w:ascii="Times New Roman"/>
          <w:b/>
          <w:bCs/>
          <w:color w:val="000000" w:themeColor="text1"/>
          <w:szCs w:val="24"/>
          <w14:textFill>
            <w14:solidFill>
              <w14:schemeClr w14:val="tx1"/>
            </w14:solidFill>
          </w14:textFill>
        </w:rPr>
        <w:t>-4</w:t>
      </w:r>
      <w:r>
        <w:rPr>
          <w:rFonts w:ascii="Times New Roman"/>
          <w:b/>
          <w:bCs/>
          <w:color w:val="000000" w:themeColor="text1"/>
          <w:szCs w:val="24"/>
          <w14:textFill>
            <w14:solidFill>
              <w14:schemeClr w14:val="tx1"/>
            </w14:solidFill>
          </w14:textFill>
        </w:rPr>
        <w:t xml:space="preserve">  </w:t>
      </w:r>
      <w:r>
        <w:rPr>
          <w:rFonts w:ascii="Times New Roman" w:hAnsi="宋体"/>
          <w:b/>
          <w:bCs/>
          <w:color w:val="000000" w:themeColor="text1"/>
          <w:szCs w:val="24"/>
          <w14:textFill>
            <w14:solidFill>
              <w14:schemeClr w14:val="tx1"/>
            </w14:solidFill>
          </w14:textFill>
        </w:rPr>
        <w:t>大气环境现状监测结果</w:t>
      </w:r>
    </w:p>
    <w:tbl>
      <w:tblPr>
        <w:tblStyle w:val="41"/>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10"/>
        <w:gridCol w:w="1127"/>
        <w:gridCol w:w="570"/>
        <w:gridCol w:w="1125"/>
        <w:gridCol w:w="1379"/>
        <w:gridCol w:w="1185"/>
        <w:gridCol w:w="1067"/>
        <w:gridCol w:w="877"/>
        <w:gridCol w:w="683"/>
      </w:tblGrid>
      <w:tr w14:paraId="00FC3C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pct"/>
            <w:vAlign w:val="center"/>
          </w:tcPr>
          <w:p w14:paraId="230A4442">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监测点位</w:t>
            </w:r>
          </w:p>
        </w:tc>
        <w:tc>
          <w:tcPr>
            <w:tcW w:w="617" w:type="pct"/>
            <w:vAlign w:val="center"/>
          </w:tcPr>
          <w:p w14:paraId="1488E740">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监测项目</w:t>
            </w:r>
          </w:p>
        </w:tc>
        <w:tc>
          <w:tcPr>
            <w:tcW w:w="312" w:type="pct"/>
            <w:vAlign w:val="center"/>
          </w:tcPr>
          <w:p w14:paraId="2BB40C08">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平均时间</w:t>
            </w:r>
          </w:p>
        </w:tc>
        <w:tc>
          <w:tcPr>
            <w:tcW w:w="616" w:type="pct"/>
            <w:vAlign w:val="center"/>
          </w:tcPr>
          <w:p w14:paraId="08D5EA72">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评价标准（mg/m</w:t>
            </w:r>
            <w:r>
              <w:rPr>
                <w:rFonts w:ascii="Times New Roman" w:hAnsi="Times New Roman" w:eastAsia="宋体" w:cs="Times New Roman"/>
                <w:color w:val="000000"/>
                <w:sz w:val="21"/>
                <w:szCs w:val="21"/>
                <w:vertAlign w:val="superscript"/>
              </w:rPr>
              <w:t>3</w:t>
            </w:r>
            <w:r>
              <w:rPr>
                <w:rFonts w:ascii="Times New Roman" w:hAnsi="Times New Roman" w:eastAsia="宋体" w:cs="Times New Roman"/>
                <w:color w:val="000000"/>
                <w:sz w:val="21"/>
                <w:szCs w:val="21"/>
              </w:rPr>
              <w:t>）</w:t>
            </w:r>
          </w:p>
        </w:tc>
        <w:tc>
          <w:tcPr>
            <w:tcW w:w="755" w:type="pct"/>
            <w:vAlign w:val="center"/>
          </w:tcPr>
          <w:p w14:paraId="53079480">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浓度范围</w:t>
            </w:r>
          </w:p>
          <w:p w14:paraId="0419E443">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（mg/m</w:t>
            </w:r>
            <w:r>
              <w:rPr>
                <w:rFonts w:ascii="Times New Roman" w:hAnsi="Times New Roman" w:eastAsia="宋体" w:cs="Times New Roman"/>
                <w:color w:val="000000"/>
                <w:sz w:val="21"/>
                <w:szCs w:val="21"/>
                <w:vertAlign w:val="superscript"/>
              </w:rPr>
              <w:t>3</w:t>
            </w:r>
            <w:r>
              <w:rPr>
                <w:rFonts w:ascii="Times New Roman" w:hAnsi="Times New Roman" w:eastAsia="宋体" w:cs="Times New Roman"/>
                <w:color w:val="000000"/>
                <w:sz w:val="21"/>
                <w:szCs w:val="21"/>
              </w:rPr>
              <w:t>）</w:t>
            </w:r>
          </w:p>
        </w:tc>
        <w:tc>
          <w:tcPr>
            <w:tcW w:w="649" w:type="pct"/>
            <w:vAlign w:val="center"/>
          </w:tcPr>
          <w:p w14:paraId="6BFCDF83">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平均浓度（mg/m</w:t>
            </w:r>
            <w:r>
              <w:rPr>
                <w:rFonts w:ascii="Times New Roman" w:hAnsi="Times New Roman" w:eastAsia="宋体" w:cs="Times New Roman"/>
                <w:color w:val="000000"/>
                <w:sz w:val="21"/>
                <w:szCs w:val="21"/>
                <w:vertAlign w:val="superscript"/>
              </w:rPr>
              <w:t>3</w:t>
            </w:r>
            <w:r>
              <w:rPr>
                <w:rFonts w:ascii="Times New Roman" w:hAnsi="Times New Roman" w:eastAsia="宋体" w:cs="Times New Roman"/>
                <w:color w:val="000000"/>
                <w:sz w:val="21"/>
                <w:szCs w:val="21"/>
              </w:rPr>
              <w:t>）</w:t>
            </w:r>
          </w:p>
        </w:tc>
        <w:tc>
          <w:tcPr>
            <w:tcW w:w="584" w:type="pct"/>
            <w:vAlign w:val="center"/>
          </w:tcPr>
          <w:p w14:paraId="7B578036">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最大占标率（%）</w:t>
            </w:r>
          </w:p>
        </w:tc>
        <w:tc>
          <w:tcPr>
            <w:tcW w:w="480" w:type="pct"/>
            <w:vAlign w:val="center"/>
          </w:tcPr>
          <w:p w14:paraId="68758994">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超标频率（%）</w:t>
            </w:r>
          </w:p>
        </w:tc>
        <w:tc>
          <w:tcPr>
            <w:tcW w:w="374" w:type="pct"/>
            <w:vAlign w:val="center"/>
          </w:tcPr>
          <w:p w14:paraId="492A1272">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达标情况</w:t>
            </w:r>
          </w:p>
        </w:tc>
      </w:tr>
      <w:tr w14:paraId="203042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pct"/>
            <w:vMerge w:val="restart"/>
            <w:vAlign w:val="center"/>
          </w:tcPr>
          <w:p w14:paraId="7A22CC27">
            <w:pPr>
              <w:pStyle w:val="89"/>
              <w:rPr>
                <w:rFonts w:ascii="Times New Roman" w:hAnsi="Times New Roman" w:eastAsia="宋体" w:cs="Times New Roman"/>
                <w:color w:val="000000"/>
                <w:sz w:val="21"/>
                <w:szCs w:val="21"/>
              </w:rPr>
            </w:pPr>
            <w:r>
              <w:rPr>
                <w:rFonts w:ascii="Times New Roman" w:hAnsi="Times New Roman" w:eastAsia="宋体" w:cs="Times New Roman"/>
                <w:sz w:val="21"/>
                <w:szCs w:val="21"/>
              </w:rPr>
              <w:t>G1（</w:t>
            </w:r>
            <w:r>
              <w:rPr>
                <w:rFonts w:ascii="Times New Roman" w:hAnsi="Times New Roman" w:eastAsia="宋体" w:cs="Times New Roman"/>
                <w:color w:val="000000"/>
                <w:sz w:val="21"/>
                <w:szCs w:val="21"/>
              </w:rPr>
              <w:t>项目所在地</w:t>
            </w:r>
            <w:r>
              <w:rPr>
                <w:rFonts w:ascii="Times New Roman" w:hAnsi="Times New Roman" w:eastAsia="宋体" w:cs="Times New Roman"/>
                <w:sz w:val="21"/>
                <w:szCs w:val="21"/>
              </w:rPr>
              <w:t>）</w:t>
            </w:r>
          </w:p>
        </w:tc>
        <w:tc>
          <w:tcPr>
            <w:tcW w:w="617" w:type="pct"/>
            <w:vAlign w:val="center"/>
          </w:tcPr>
          <w:p w14:paraId="48CAE345">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氨</w:t>
            </w:r>
          </w:p>
        </w:tc>
        <w:tc>
          <w:tcPr>
            <w:tcW w:w="312" w:type="pct"/>
            <w:vAlign w:val="center"/>
          </w:tcPr>
          <w:p w14:paraId="6AE20FDB">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1h</w:t>
            </w:r>
          </w:p>
        </w:tc>
        <w:tc>
          <w:tcPr>
            <w:tcW w:w="616" w:type="pct"/>
            <w:vAlign w:val="center"/>
          </w:tcPr>
          <w:p w14:paraId="7E64D7B8">
            <w:pPr>
              <w:pStyle w:val="89"/>
              <w:rPr>
                <w:rFonts w:ascii="Times New Roman" w:hAnsi="Times New Roman" w:eastAsia="宋体" w:cs="Times New Roman"/>
                <w:color w:val="000000"/>
                <w:sz w:val="21"/>
                <w:szCs w:val="21"/>
              </w:rPr>
            </w:pPr>
          </w:p>
        </w:tc>
        <w:tc>
          <w:tcPr>
            <w:tcW w:w="755" w:type="pct"/>
            <w:vAlign w:val="center"/>
          </w:tcPr>
          <w:p w14:paraId="5601578D">
            <w:pPr>
              <w:pStyle w:val="89"/>
              <w:rPr>
                <w:rFonts w:ascii="Times New Roman" w:hAnsi="Times New Roman" w:eastAsia="宋体" w:cs="Times New Roman"/>
                <w:color w:val="000000"/>
                <w:sz w:val="21"/>
                <w:szCs w:val="21"/>
              </w:rPr>
            </w:pPr>
          </w:p>
        </w:tc>
        <w:tc>
          <w:tcPr>
            <w:tcW w:w="649" w:type="pct"/>
            <w:vAlign w:val="center"/>
          </w:tcPr>
          <w:p w14:paraId="0D55743E">
            <w:pPr>
              <w:pStyle w:val="89"/>
              <w:rPr>
                <w:rFonts w:ascii="Times New Roman" w:hAnsi="Times New Roman" w:eastAsia="宋体" w:cs="Times New Roman"/>
                <w:color w:val="000000"/>
                <w:sz w:val="21"/>
                <w:szCs w:val="21"/>
              </w:rPr>
            </w:pPr>
          </w:p>
        </w:tc>
        <w:tc>
          <w:tcPr>
            <w:tcW w:w="584" w:type="pct"/>
            <w:vAlign w:val="center"/>
          </w:tcPr>
          <w:p w14:paraId="76C360A8">
            <w:pPr>
              <w:pStyle w:val="89"/>
              <w:rPr>
                <w:rFonts w:ascii="Times New Roman" w:hAnsi="Times New Roman" w:eastAsia="宋体" w:cs="Times New Roman"/>
                <w:color w:val="000000"/>
                <w:sz w:val="21"/>
                <w:szCs w:val="21"/>
              </w:rPr>
            </w:pPr>
          </w:p>
        </w:tc>
        <w:tc>
          <w:tcPr>
            <w:tcW w:w="480" w:type="pct"/>
            <w:vAlign w:val="center"/>
          </w:tcPr>
          <w:p w14:paraId="3AF4E824">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w:t>
            </w:r>
          </w:p>
        </w:tc>
        <w:tc>
          <w:tcPr>
            <w:tcW w:w="374" w:type="pct"/>
            <w:vAlign w:val="center"/>
          </w:tcPr>
          <w:p w14:paraId="55C57819">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达标</w:t>
            </w:r>
          </w:p>
        </w:tc>
      </w:tr>
      <w:tr w14:paraId="7737B1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pct"/>
            <w:vMerge w:val="continue"/>
            <w:vAlign w:val="center"/>
          </w:tcPr>
          <w:p w14:paraId="6C750F2D">
            <w:pPr>
              <w:pStyle w:val="89"/>
              <w:rPr>
                <w:rFonts w:ascii="Times New Roman" w:hAnsi="Times New Roman" w:eastAsia="宋体" w:cs="Times New Roman"/>
                <w:sz w:val="21"/>
                <w:szCs w:val="21"/>
              </w:rPr>
            </w:pPr>
          </w:p>
        </w:tc>
        <w:tc>
          <w:tcPr>
            <w:tcW w:w="617" w:type="pct"/>
            <w:vAlign w:val="center"/>
          </w:tcPr>
          <w:p w14:paraId="411777A8">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硫化氢</w:t>
            </w:r>
          </w:p>
        </w:tc>
        <w:tc>
          <w:tcPr>
            <w:tcW w:w="312" w:type="pct"/>
            <w:vAlign w:val="center"/>
          </w:tcPr>
          <w:p w14:paraId="3437B5F2">
            <w:pPr>
              <w:pStyle w:val="89"/>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1h</w:t>
            </w:r>
          </w:p>
        </w:tc>
        <w:tc>
          <w:tcPr>
            <w:tcW w:w="616" w:type="pct"/>
            <w:vAlign w:val="center"/>
          </w:tcPr>
          <w:p w14:paraId="3B8748C2">
            <w:pPr>
              <w:pStyle w:val="89"/>
              <w:rPr>
                <w:rFonts w:ascii="Times New Roman" w:hAnsi="Times New Roman" w:eastAsia="宋体" w:cs="Times New Roman"/>
                <w:color w:val="000000" w:themeColor="text1"/>
                <w:sz w:val="21"/>
                <w:szCs w:val="21"/>
                <w14:textFill>
                  <w14:solidFill>
                    <w14:schemeClr w14:val="tx1"/>
                  </w14:solidFill>
                </w14:textFill>
              </w:rPr>
            </w:pPr>
          </w:p>
        </w:tc>
        <w:tc>
          <w:tcPr>
            <w:tcW w:w="755" w:type="pct"/>
            <w:vAlign w:val="center"/>
          </w:tcPr>
          <w:p w14:paraId="0FC7D377">
            <w:pPr>
              <w:pStyle w:val="89"/>
              <w:rPr>
                <w:rFonts w:ascii="Times New Roman" w:hAnsi="Times New Roman" w:eastAsia="宋体" w:cs="Times New Roman"/>
                <w:color w:val="000000" w:themeColor="text1"/>
                <w:sz w:val="21"/>
                <w:szCs w:val="21"/>
                <w14:textFill>
                  <w14:solidFill>
                    <w14:schemeClr w14:val="tx1"/>
                  </w14:solidFill>
                </w14:textFill>
              </w:rPr>
            </w:pPr>
          </w:p>
        </w:tc>
        <w:tc>
          <w:tcPr>
            <w:tcW w:w="649" w:type="pct"/>
            <w:vAlign w:val="center"/>
          </w:tcPr>
          <w:p w14:paraId="1FBDF092">
            <w:pPr>
              <w:pStyle w:val="89"/>
              <w:rPr>
                <w:rFonts w:ascii="Times New Roman" w:hAnsi="Times New Roman" w:eastAsia="宋体" w:cs="Times New Roman"/>
                <w:color w:val="000000" w:themeColor="text1"/>
                <w:sz w:val="21"/>
                <w:szCs w:val="21"/>
                <w14:textFill>
                  <w14:solidFill>
                    <w14:schemeClr w14:val="tx1"/>
                  </w14:solidFill>
                </w14:textFill>
              </w:rPr>
            </w:pPr>
          </w:p>
        </w:tc>
        <w:tc>
          <w:tcPr>
            <w:tcW w:w="584" w:type="pct"/>
            <w:vAlign w:val="center"/>
          </w:tcPr>
          <w:p w14:paraId="53AFDBCC">
            <w:pPr>
              <w:pStyle w:val="89"/>
              <w:rPr>
                <w:rFonts w:ascii="Times New Roman" w:hAnsi="Times New Roman" w:eastAsia="宋体" w:cs="Times New Roman"/>
                <w:color w:val="000000"/>
                <w:sz w:val="21"/>
                <w:szCs w:val="21"/>
              </w:rPr>
            </w:pPr>
          </w:p>
        </w:tc>
        <w:tc>
          <w:tcPr>
            <w:tcW w:w="480" w:type="pct"/>
            <w:vAlign w:val="center"/>
          </w:tcPr>
          <w:p w14:paraId="647776DD">
            <w:pPr>
              <w:pStyle w:val="89"/>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0</w:t>
            </w:r>
          </w:p>
        </w:tc>
        <w:tc>
          <w:tcPr>
            <w:tcW w:w="374" w:type="pct"/>
            <w:vAlign w:val="center"/>
          </w:tcPr>
          <w:p w14:paraId="359A4EED">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达标</w:t>
            </w:r>
          </w:p>
        </w:tc>
      </w:tr>
      <w:tr w14:paraId="7F4621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pct"/>
            <w:vMerge w:val="continue"/>
            <w:vAlign w:val="center"/>
          </w:tcPr>
          <w:p w14:paraId="0A1B4C9B">
            <w:pPr>
              <w:pStyle w:val="89"/>
              <w:rPr>
                <w:rFonts w:ascii="Times New Roman" w:hAnsi="Times New Roman" w:eastAsia="宋体" w:cs="Times New Roman"/>
                <w:sz w:val="21"/>
                <w:szCs w:val="21"/>
              </w:rPr>
            </w:pPr>
          </w:p>
        </w:tc>
        <w:tc>
          <w:tcPr>
            <w:tcW w:w="617" w:type="pct"/>
            <w:vAlign w:val="center"/>
          </w:tcPr>
          <w:p w14:paraId="3F641CF3">
            <w:pPr>
              <w:pStyle w:val="89"/>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臭气浓度（无量纲）</w:t>
            </w:r>
          </w:p>
        </w:tc>
        <w:tc>
          <w:tcPr>
            <w:tcW w:w="312" w:type="pct"/>
            <w:vAlign w:val="center"/>
          </w:tcPr>
          <w:p w14:paraId="511FC809">
            <w:pPr>
              <w:pStyle w:val="89"/>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24</w:t>
            </w:r>
            <w:r>
              <w:rPr>
                <w:rFonts w:ascii="Times New Roman" w:hAnsi="Times New Roman" w:eastAsia="宋体" w:cs="Times New Roman"/>
                <w:color w:val="000000"/>
                <w:sz w:val="21"/>
                <w:szCs w:val="21"/>
              </w:rPr>
              <w:t>h</w:t>
            </w:r>
          </w:p>
        </w:tc>
        <w:tc>
          <w:tcPr>
            <w:tcW w:w="616" w:type="pct"/>
            <w:vAlign w:val="center"/>
          </w:tcPr>
          <w:p w14:paraId="25ECD2E9">
            <w:pPr>
              <w:pStyle w:val="89"/>
              <w:rPr>
                <w:rFonts w:ascii="Times New Roman" w:hAnsi="Times New Roman" w:eastAsia="宋体" w:cs="Times New Roman"/>
                <w:color w:val="000000"/>
                <w:sz w:val="21"/>
                <w:szCs w:val="21"/>
              </w:rPr>
            </w:pPr>
          </w:p>
        </w:tc>
        <w:tc>
          <w:tcPr>
            <w:tcW w:w="755" w:type="pct"/>
            <w:vAlign w:val="center"/>
          </w:tcPr>
          <w:p w14:paraId="16ADD4F9">
            <w:pPr>
              <w:pStyle w:val="89"/>
              <w:rPr>
                <w:rFonts w:ascii="Times New Roman" w:hAnsi="Times New Roman" w:eastAsia="宋体" w:cs="Times New Roman"/>
                <w:sz w:val="21"/>
                <w:szCs w:val="21"/>
              </w:rPr>
            </w:pPr>
          </w:p>
        </w:tc>
        <w:tc>
          <w:tcPr>
            <w:tcW w:w="649" w:type="pct"/>
            <w:vAlign w:val="center"/>
          </w:tcPr>
          <w:p w14:paraId="07D74542">
            <w:pPr>
              <w:pStyle w:val="89"/>
              <w:rPr>
                <w:rFonts w:ascii="Times New Roman" w:hAnsi="Times New Roman" w:eastAsia="宋体" w:cs="Times New Roman"/>
                <w:color w:val="000000"/>
                <w:sz w:val="21"/>
                <w:szCs w:val="21"/>
              </w:rPr>
            </w:pPr>
          </w:p>
        </w:tc>
        <w:tc>
          <w:tcPr>
            <w:tcW w:w="584" w:type="pct"/>
            <w:vAlign w:val="center"/>
          </w:tcPr>
          <w:p w14:paraId="75E1D5B1">
            <w:pPr>
              <w:pStyle w:val="89"/>
              <w:rPr>
                <w:rFonts w:ascii="Times New Roman" w:hAnsi="Times New Roman" w:eastAsia="宋体" w:cs="Times New Roman"/>
                <w:color w:val="000000"/>
                <w:sz w:val="21"/>
                <w:szCs w:val="21"/>
              </w:rPr>
            </w:pPr>
          </w:p>
        </w:tc>
        <w:tc>
          <w:tcPr>
            <w:tcW w:w="480" w:type="pct"/>
            <w:vAlign w:val="center"/>
          </w:tcPr>
          <w:p w14:paraId="5A23C59C">
            <w:pPr>
              <w:pStyle w:val="89"/>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0</w:t>
            </w:r>
          </w:p>
        </w:tc>
        <w:tc>
          <w:tcPr>
            <w:tcW w:w="374" w:type="pct"/>
            <w:vAlign w:val="center"/>
          </w:tcPr>
          <w:p w14:paraId="561CDEE7">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达标</w:t>
            </w:r>
          </w:p>
        </w:tc>
      </w:tr>
    </w:tbl>
    <w:p w14:paraId="7D20C39F">
      <w:pPr>
        <w:ind w:firstLine="480" w:firstLineChars="200"/>
      </w:pPr>
      <w:r>
        <w:rPr>
          <w:rFonts w:hint="eastAsia"/>
        </w:rPr>
        <w:t>（6）环境空气质量现状评价</w:t>
      </w:r>
    </w:p>
    <w:p w14:paraId="69694233">
      <w:pPr>
        <w:ind w:firstLine="480" w:firstLineChars="200"/>
      </w:pPr>
      <w:r>
        <w:rPr>
          <w:rFonts w:hint="eastAsia" w:asciiTheme="minorEastAsia" w:hAnsiTheme="minorEastAsia"/>
        </w:rPr>
        <w:t>①</w:t>
      </w:r>
      <w:r>
        <w:rPr>
          <w:rFonts w:hint="eastAsia"/>
        </w:rPr>
        <w:t>评价方法</w:t>
      </w:r>
    </w:p>
    <w:p w14:paraId="7934472E">
      <w:pPr>
        <w:adjustRightInd w:val="0"/>
        <w:snapToGrid w:val="0"/>
        <w:spacing w:line="480" w:lineRule="exact"/>
        <w:ind w:firstLine="480" w:firstLineChars="200"/>
        <w:rPr>
          <w:rFonts w:ascii="Times New Roman" w:hAnsi="Times New Roman" w:cs="Times New Roman"/>
          <w:szCs w:val="24"/>
        </w:rPr>
      </w:pPr>
      <w:r>
        <w:rPr>
          <w:rFonts w:ascii="Times New Roman" w:hAnsi="Times New Roman" w:cs="Times New Roman"/>
          <w:szCs w:val="24"/>
        </w:rPr>
        <w:t>大气环境质量评价采用单因子指数法，计算公式如下：</w:t>
      </w:r>
    </w:p>
    <w:p w14:paraId="6009B876">
      <w:pPr>
        <w:adjustRightInd w:val="0"/>
        <w:snapToGrid w:val="0"/>
        <w:spacing w:line="480" w:lineRule="exact"/>
        <w:ind w:firstLine="2640" w:firstLineChars="1100"/>
        <w:rPr>
          <w:rFonts w:ascii="Times New Roman" w:hAnsi="Times New Roman" w:cs="Times New Roman"/>
          <w:szCs w:val="24"/>
        </w:rPr>
      </w:pPr>
      <w:r>
        <w:rPr>
          <w:rFonts w:ascii="Times New Roman" w:hAnsi="Times New Roman" w:cs="Times New Roman"/>
          <w:i/>
          <w:szCs w:val="24"/>
        </w:rPr>
        <w:t>P</w:t>
      </w:r>
      <w:r>
        <w:rPr>
          <w:rFonts w:ascii="Times New Roman" w:hAnsi="Times New Roman" w:cs="Times New Roman"/>
          <w:i/>
          <w:szCs w:val="24"/>
          <w:vertAlign w:val="subscript"/>
        </w:rPr>
        <w:t>i</w:t>
      </w:r>
      <w:r>
        <w:rPr>
          <w:rFonts w:ascii="Times New Roman" w:hAnsi="Times New Roman" w:cs="Times New Roman"/>
          <w:szCs w:val="24"/>
          <w:vertAlign w:val="subscript"/>
        </w:rPr>
        <w:t xml:space="preserve"> </w:t>
      </w:r>
      <w:r>
        <w:rPr>
          <w:rFonts w:ascii="Times New Roman" w:hAnsi="Times New Roman" w:cs="Times New Roman"/>
          <w:szCs w:val="24"/>
        </w:rPr>
        <w:t xml:space="preserve">= </w:t>
      </w:r>
      <w:r>
        <w:rPr>
          <w:rFonts w:ascii="Times New Roman" w:hAnsi="Times New Roman" w:cs="Times New Roman"/>
          <w:i/>
          <w:szCs w:val="24"/>
        </w:rPr>
        <w:t>C</w:t>
      </w:r>
      <w:r>
        <w:rPr>
          <w:rFonts w:ascii="Times New Roman" w:hAnsi="Times New Roman" w:cs="Times New Roman"/>
          <w:i/>
          <w:szCs w:val="24"/>
          <w:vertAlign w:val="subscript"/>
        </w:rPr>
        <w:t>i</w:t>
      </w:r>
      <w:r>
        <w:rPr>
          <w:rFonts w:ascii="Times New Roman" w:hAnsi="Times New Roman" w:cs="Times New Roman"/>
          <w:szCs w:val="24"/>
          <w:vertAlign w:val="subscript"/>
        </w:rPr>
        <w:t xml:space="preserve"> </w:t>
      </w:r>
      <w:r>
        <w:rPr>
          <w:rFonts w:ascii="Times New Roman" w:hAnsi="Times New Roman" w:cs="Times New Roman"/>
          <w:szCs w:val="24"/>
        </w:rPr>
        <w:t xml:space="preserve">/ </w:t>
      </w:r>
      <w:r>
        <w:rPr>
          <w:rFonts w:ascii="Times New Roman" w:hAnsi="Times New Roman" w:cs="Times New Roman"/>
          <w:i/>
          <w:szCs w:val="24"/>
        </w:rPr>
        <w:t>C</w:t>
      </w:r>
      <w:r>
        <w:rPr>
          <w:rFonts w:ascii="Times New Roman" w:hAnsi="Times New Roman" w:cs="Times New Roman"/>
          <w:i/>
          <w:szCs w:val="24"/>
          <w:vertAlign w:val="subscript"/>
        </w:rPr>
        <w:t>si</w:t>
      </w:r>
    </w:p>
    <w:p w14:paraId="5182BA4E">
      <w:pPr>
        <w:adjustRightInd w:val="0"/>
        <w:snapToGrid w:val="0"/>
        <w:spacing w:line="480" w:lineRule="exact"/>
        <w:ind w:firstLine="480" w:firstLineChars="200"/>
        <w:rPr>
          <w:rFonts w:ascii="Times New Roman" w:hAnsi="Times New Roman" w:cs="Times New Roman"/>
          <w:szCs w:val="24"/>
        </w:rPr>
      </w:pPr>
      <w:r>
        <w:rPr>
          <w:rFonts w:ascii="Times New Roman" w:hAnsi="Times New Roman" w:cs="Times New Roman"/>
          <w:szCs w:val="24"/>
        </w:rPr>
        <w:t>式中：</w:t>
      </w:r>
      <w:r>
        <w:rPr>
          <w:rFonts w:ascii="Times New Roman" w:hAnsi="Times New Roman" w:cs="Times New Roman"/>
          <w:i/>
          <w:szCs w:val="24"/>
        </w:rPr>
        <w:t>P</w:t>
      </w:r>
      <w:r>
        <w:rPr>
          <w:rFonts w:ascii="Times New Roman" w:hAnsi="Times New Roman" w:cs="Times New Roman"/>
          <w:i/>
          <w:szCs w:val="24"/>
          <w:vertAlign w:val="subscript"/>
        </w:rPr>
        <w:t>i</w:t>
      </w:r>
      <w:r>
        <w:rPr>
          <w:rFonts w:ascii="Times New Roman" w:hAnsi="Times New Roman" w:cs="Times New Roman"/>
          <w:szCs w:val="24"/>
        </w:rPr>
        <w:t xml:space="preserve"> ：等标污染指数；</w:t>
      </w:r>
    </w:p>
    <w:p w14:paraId="1B1DAF75">
      <w:pPr>
        <w:tabs>
          <w:tab w:val="left" w:pos="1020"/>
        </w:tabs>
        <w:adjustRightInd w:val="0"/>
        <w:snapToGrid w:val="0"/>
        <w:spacing w:line="480" w:lineRule="exact"/>
        <w:ind w:firstLine="480" w:firstLineChars="200"/>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i/>
          <w:iCs/>
          <w:szCs w:val="24"/>
        </w:rPr>
        <w:t>C</w:t>
      </w:r>
      <w:r>
        <w:rPr>
          <w:rFonts w:ascii="Times New Roman" w:hAnsi="Times New Roman" w:cs="Times New Roman"/>
          <w:i/>
          <w:iCs/>
          <w:szCs w:val="24"/>
          <w:vertAlign w:val="subscript"/>
        </w:rPr>
        <w:t>i</w:t>
      </w:r>
      <w:r>
        <w:rPr>
          <w:rFonts w:ascii="Times New Roman" w:hAnsi="Times New Roman" w:cs="Times New Roman"/>
          <w:i/>
          <w:iCs/>
          <w:szCs w:val="24"/>
        </w:rPr>
        <w:t xml:space="preserve"> </w:t>
      </w:r>
      <w:r>
        <w:rPr>
          <w:rFonts w:ascii="Times New Roman" w:hAnsi="Times New Roman" w:cs="Times New Roman"/>
          <w:szCs w:val="24"/>
        </w:rPr>
        <w:t>：污染物</w:t>
      </w:r>
      <w:r>
        <w:rPr>
          <w:rFonts w:ascii="Times New Roman" w:hAnsi="Times New Roman" w:cs="Times New Roman"/>
          <w:i/>
          <w:iCs/>
          <w:szCs w:val="24"/>
        </w:rPr>
        <w:t>i</w:t>
      </w:r>
      <w:r>
        <w:rPr>
          <w:rFonts w:ascii="Times New Roman" w:hAnsi="Times New Roman" w:cs="Times New Roman"/>
          <w:szCs w:val="24"/>
        </w:rPr>
        <w:t>的实测小时平均浓度；</w:t>
      </w:r>
    </w:p>
    <w:p w14:paraId="07DD988B">
      <w:pPr>
        <w:tabs>
          <w:tab w:val="left" w:pos="1020"/>
        </w:tabs>
        <w:adjustRightInd w:val="0"/>
        <w:snapToGrid w:val="0"/>
        <w:spacing w:line="480" w:lineRule="exact"/>
        <w:ind w:firstLine="480" w:firstLineChars="200"/>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i/>
          <w:iCs/>
          <w:szCs w:val="24"/>
        </w:rPr>
        <w:t>C</w:t>
      </w:r>
      <w:r>
        <w:rPr>
          <w:rFonts w:ascii="Times New Roman" w:hAnsi="Times New Roman" w:cs="Times New Roman"/>
          <w:i/>
          <w:szCs w:val="24"/>
          <w:vertAlign w:val="subscript"/>
        </w:rPr>
        <w:t>s</w:t>
      </w:r>
      <w:r>
        <w:rPr>
          <w:rFonts w:ascii="Times New Roman" w:hAnsi="Times New Roman" w:cs="Times New Roman"/>
          <w:i/>
          <w:iCs/>
          <w:szCs w:val="24"/>
          <w:vertAlign w:val="subscript"/>
        </w:rPr>
        <w:t>i</w:t>
      </w:r>
      <w:r>
        <w:rPr>
          <w:rFonts w:ascii="Times New Roman" w:hAnsi="Times New Roman" w:cs="Times New Roman"/>
          <w:szCs w:val="24"/>
        </w:rPr>
        <w:t>：污染物</w:t>
      </w:r>
      <w:r>
        <w:rPr>
          <w:rFonts w:ascii="Times New Roman" w:hAnsi="Times New Roman" w:cs="Times New Roman"/>
          <w:i/>
          <w:iCs/>
          <w:szCs w:val="24"/>
        </w:rPr>
        <w:t>i</w:t>
      </w:r>
      <w:r>
        <w:rPr>
          <w:rFonts w:ascii="Times New Roman" w:hAnsi="Times New Roman" w:cs="Times New Roman"/>
          <w:szCs w:val="24"/>
        </w:rPr>
        <w:t>的标准浓度值。</w:t>
      </w:r>
    </w:p>
    <w:p w14:paraId="4595A421">
      <w:pPr>
        <w:adjustRightInd w:val="0"/>
        <w:snapToGrid w:val="0"/>
        <w:spacing w:line="480" w:lineRule="exact"/>
        <w:ind w:firstLine="480" w:firstLineChars="200"/>
        <w:rPr>
          <w:rFonts w:ascii="Times New Roman" w:hAnsi="Times New Roman" w:cs="Times New Roman"/>
          <w:szCs w:val="24"/>
        </w:rPr>
      </w:pPr>
      <w:r>
        <w:rPr>
          <w:rFonts w:ascii="Times New Roman" w:hAnsi="Times New Roman" w:cs="Times New Roman"/>
          <w:szCs w:val="24"/>
        </w:rPr>
        <w:t>若P</w:t>
      </w:r>
      <w:r>
        <w:rPr>
          <w:rFonts w:ascii="Times New Roman" w:hAnsi="Times New Roman" w:cs="Times New Roman"/>
          <w:szCs w:val="24"/>
          <w:vertAlign w:val="subscript"/>
        </w:rPr>
        <w:t>ij</w:t>
      </w:r>
      <w:r>
        <w:rPr>
          <w:rFonts w:ascii="Times New Roman" w:hAnsi="Times New Roman" w:cs="Times New Roman"/>
          <w:szCs w:val="24"/>
        </w:rPr>
        <w:t>小于1，表示i测点j项污染物浓度达到相应的环境空气质量标准；P</w:t>
      </w:r>
      <w:r>
        <w:rPr>
          <w:rFonts w:ascii="Times New Roman" w:hAnsi="Times New Roman" w:cs="Times New Roman"/>
          <w:szCs w:val="24"/>
          <w:vertAlign w:val="subscript"/>
        </w:rPr>
        <w:t>ij</w:t>
      </w:r>
      <w:r>
        <w:rPr>
          <w:rFonts w:ascii="Times New Roman" w:hAnsi="Times New Roman" w:cs="Times New Roman"/>
          <w:szCs w:val="24"/>
        </w:rPr>
        <w:t>值越小，表示该处大气中该污染物项目浓度越低，受此项污染物的污染程度越轻。而如果P</w:t>
      </w:r>
      <w:r>
        <w:rPr>
          <w:rFonts w:ascii="Times New Roman" w:hAnsi="Times New Roman" w:cs="Times New Roman"/>
          <w:szCs w:val="24"/>
          <w:vertAlign w:val="subscript"/>
        </w:rPr>
        <w:t>ij</w:t>
      </w:r>
      <w:r>
        <w:rPr>
          <w:rFonts w:ascii="Times New Roman" w:hAnsi="Times New Roman" w:cs="Times New Roman"/>
          <w:szCs w:val="24"/>
        </w:rPr>
        <w:t>大于等于1，则表示该处大气中该污染物超标。</w:t>
      </w:r>
    </w:p>
    <w:p w14:paraId="322F01D2">
      <w:pPr>
        <w:spacing w:line="480" w:lineRule="exact"/>
        <w:ind w:firstLine="480" w:firstLineChars="200"/>
      </w:pPr>
      <w:r>
        <w:rPr>
          <w:rFonts w:hint="eastAsia" w:asciiTheme="minorEastAsia" w:hAnsiTheme="minorEastAsia"/>
        </w:rPr>
        <w:t>②</w:t>
      </w:r>
      <w:r>
        <w:rPr>
          <w:rFonts w:hint="eastAsia"/>
        </w:rPr>
        <w:t>评价结果</w:t>
      </w:r>
    </w:p>
    <w:p w14:paraId="1FC5C91C">
      <w:pPr>
        <w:spacing w:line="480" w:lineRule="exact"/>
        <w:ind w:firstLine="480" w:firstLineChars="200"/>
      </w:pPr>
      <w:r>
        <w:rPr>
          <w:rFonts w:hint="eastAsia"/>
        </w:rPr>
        <w:t>评价区各监测点各污染因子的评价指数见表4.3-5。</w:t>
      </w:r>
    </w:p>
    <w:p w14:paraId="73D1FA75">
      <w:pPr>
        <w:pStyle w:val="31"/>
        <w:spacing w:before="0" w:line="480" w:lineRule="exact"/>
      </w:pPr>
      <w:r>
        <w:rPr>
          <w:rFonts w:hint="eastAsia"/>
        </w:rPr>
        <w:t>表</w:t>
      </w:r>
      <w:r>
        <w:t>4.</w:t>
      </w:r>
      <w:r>
        <w:rPr>
          <w:rFonts w:hint="eastAsia"/>
        </w:rPr>
        <w:t>3</w:t>
      </w:r>
      <w:r>
        <w:t>-</w:t>
      </w:r>
      <w:r>
        <w:rPr>
          <w:rFonts w:hint="eastAsia"/>
        </w:rPr>
        <w:t>5</w:t>
      </w:r>
      <w:r>
        <w:rPr>
          <w:rFonts w:hAnsi="宋体"/>
          <w:color w:val="000000"/>
          <w:szCs w:val="24"/>
        </w:rPr>
        <w:t>各污染因子的评价指数</w:t>
      </w:r>
    </w:p>
    <w:tbl>
      <w:tblPr>
        <w:tblStyle w:val="41"/>
        <w:tblW w:w="4996"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2609"/>
        <w:gridCol w:w="1985"/>
        <w:gridCol w:w="2207"/>
        <w:gridCol w:w="2480"/>
      </w:tblGrid>
      <w:tr w14:paraId="71C8979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74" w:type="pct"/>
            <w:gridSpan w:val="2"/>
            <w:vAlign w:val="center"/>
          </w:tcPr>
          <w:p w14:paraId="7026122F">
            <w:pPr>
              <w:adjustRightInd w:val="0"/>
              <w:spacing w:line="300" w:lineRule="exact"/>
              <w:jc w:val="center"/>
              <w:rPr>
                <w:color w:val="000000"/>
                <w:spacing w:val="-8"/>
                <w:sz w:val="21"/>
                <w:szCs w:val="21"/>
              </w:rPr>
            </w:pPr>
            <w:r>
              <w:rPr>
                <w:rFonts w:hAnsi="宋体"/>
                <w:color w:val="000000"/>
                <w:spacing w:val="-8"/>
                <w:sz w:val="21"/>
                <w:szCs w:val="21"/>
              </w:rPr>
              <w:t>监测点编号</w:t>
            </w:r>
          </w:p>
        </w:tc>
        <w:tc>
          <w:tcPr>
            <w:tcW w:w="1189" w:type="pct"/>
            <w:vAlign w:val="center"/>
          </w:tcPr>
          <w:p w14:paraId="539D0B6B">
            <w:pPr>
              <w:adjustRightInd w:val="0"/>
              <w:spacing w:line="300" w:lineRule="exact"/>
              <w:jc w:val="center"/>
              <w:rPr>
                <w:color w:val="000000"/>
                <w:sz w:val="21"/>
                <w:szCs w:val="21"/>
                <w:vertAlign w:val="subscript"/>
              </w:rPr>
            </w:pPr>
            <w:r>
              <w:rPr>
                <w:color w:val="000000"/>
                <w:sz w:val="21"/>
                <w:szCs w:val="21"/>
              </w:rPr>
              <w:t xml:space="preserve">P </w:t>
            </w:r>
            <w:r>
              <w:rPr>
                <w:color w:val="000000"/>
                <w:sz w:val="21"/>
                <w:szCs w:val="21"/>
                <w:vertAlign w:val="subscript"/>
              </w:rPr>
              <w:t>NH3</w:t>
            </w:r>
          </w:p>
        </w:tc>
        <w:tc>
          <w:tcPr>
            <w:tcW w:w="1336" w:type="pct"/>
            <w:vAlign w:val="center"/>
          </w:tcPr>
          <w:p w14:paraId="35424D2F">
            <w:pPr>
              <w:adjustRightInd w:val="0"/>
              <w:spacing w:line="300" w:lineRule="exact"/>
              <w:jc w:val="center"/>
              <w:rPr>
                <w:rFonts w:hint="default" w:eastAsiaTheme="minorEastAsia"/>
                <w:color w:val="FF0000"/>
                <w:sz w:val="21"/>
                <w:szCs w:val="21"/>
                <w:lang w:val="en-US" w:eastAsia="zh-CN"/>
              </w:rPr>
            </w:pPr>
            <w:r>
              <w:rPr>
                <w:color w:val="000000" w:themeColor="text1"/>
                <w:sz w:val="21"/>
                <w:szCs w:val="21"/>
                <w14:textFill>
                  <w14:solidFill>
                    <w14:schemeClr w14:val="tx1"/>
                  </w14:solidFill>
                </w14:textFill>
              </w:rPr>
              <w:t xml:space="preserve">P </w:t>
            </w:r>
            <w:r>
              <w:rPr>
                <w:color w:val="000000" w:themeColor="text1"/>
                <w:sz w:val="21"/>
                <w:szCs w:val="21"/>
                <w:vertAlign w:val="subscript"/>
                <w14:textFill>
                  <w14:solidFill>
                    <w14:schemeClr w14:val="tx1"/>
                  </w14:solidFill>
                </w14:textFill>
              </w:rPr>
              <w:t>H2S</w:t>
            </w:r>
          </w:p>
        </w:tc>
      </w:tr>
      <w:tr w14:paraId="4EBD55B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5" w:type="pct"/>
            <w:vAlign w:val="center"/>
          </w:tcPr>
          <w:p w14:paraId="4AC532D8">
            <w:pPr>
              <w:pStyle w:val="101"/>
              <w:tabs>
                <w:tab w:val="left" w:pos="360"/>
              </w:tabs>
              <w:spacing w:line="300" w:lineRule="exact"/>
              <w:rPr>
                <w:color w:val="000000"/>
                <w:sz w:val="21"/>
                <w:szCs w:val="21"/>
              </w:rPr>
            </w:pPr>
            <w:r>
              <w:rPr>
                <w:rFonts w:hAnsi="宋体"/>
                <w:bCs/>
                <w:color w:val="000000"/>
                <w:sz w:val="21"/>
                <w:szCs w:val="21"/>
              </w:rPr>
              <w:t>项目所在地</w:t>
            </w:r>
          </w:p>
        </w:tc>
        <w:tc>
          <w:tcPr>
            <w:tcW w:w="1069" w:type="pct"/>
            <w:vAlign w:val="center"/>
          </w:tcPr>
          <w:p w14:paraId="6C40647E">
            <w:pPr>
              <w:spacing w:line="300" w:lineRule="exact"/>
              <w:jc w:val="center"/>
              <w:rPr>
                <w:color w:val="000000"/>
                <w:sz w:val="21"/>
                <w:szCs w:val="21"/>
              </w:rPr>
            </w:pPr>
            <w:r>
              <w:rPr>
                <w:rFonts w:hAnsi="宋体"/>
                <w:color w:val="000000"/>
                <w:sz w:val="21"/>
                <w:szCs w:val="21"/>
              </w:rPr>
              <w:t>二类区</w:t>
            </w:r>
          </w:p>
        </w:tc>
        <w:tc>
          <w:tcPr>
            <w:tcW w:w="1189" w:type="pct"/>
            <w:vAlign w:val="center"/>
          </w:tcPr>
          <w:p w14:paraId="63840C73">
            <w:pPr>
              <w:spacing w:line="300" w:lineRule="exact"/>
              <w:jc w:val="center"/>
              <w:rPr>
                <w:color w:val="000000"/>
                <w:kern w:val="0"/>
                <w:sz w:val="21"/>
                <w:szCs w:val="21"/>
              </w:rPr>
            </w:pPr>
          </w:p>
        </w:tc>
        <w:tc>
          <w:tcPr>
            <w:tcW w:w="1336" w:type="pct"/>
            <w:vAlign w:val="center"/>
          </w:tcPr>
          <w:p w14:paraId="7825130B">
            <w:pPr>
              <w:spacing w:line="300" w:lineRule="exact"/>
              <w:jc w:val="center"/>
              <w:rPr>
                <w:rFonts w:hint="default" w:eastAsiaTheme="minorEastAsia"/>
                <w:color w:val="FF0000"/>
                <w:kern w:val="0"/>
                <w:sz w:val="21"/>
                <w:szCs w:val="21"/>
                <w:lang w:val="en-US" w:eastAsia="zh-CN"/>
              </w:rPr>
            </w:pPr>
          </w:p>
        </w:tc>
      </w:tr>
    </w:tbl>
    <w:p w14:paraId="34F3C066">
      <w:pPr>
        <w:widowControl/>
        <w:spacing w:line="480" w:lineRule="exact"/>
        <w:ind w:firstLine="480" w:firstLineChars="200"/>
        <w:rPr>
          <w:color w:val="000000"/>
          <w:szCs w:val="24"/>
        </w:rPr>
      </w:pPr>
      <w:r>
        <w:rPr>
          <w:rFonts w:hAnsi="宋体"/>
          <w:color w:val="000000"/>
          <w:szCs w:val="24"/>
        </w:rPr>
        <w:t>从大气环境监测结果及评价指数来看，单因子污染指数</w:t>
      </w:r>
      <w:r>
        <w:rPr>
          <w:color w:val="000000"/>
          <w:szCs w:val="24"/>
        </w:rPr>
        <w:t>P</w:t>
      </w:r>
      <w:r>
        <w:rPr>
          <w:rFonts w:hAnsi="宋体"/>
          <w:color w:val="000000"/>
          <w:szCs w:val="24"/>
        </w:rPr>
        <w:t>值均小于</w:t>
      </w:r>
      <w:r>
        <w:rPr>
          <w:color w:val="000000"/>
          <w:szCs w:val="24"/>
        </w:rPr>
        <w:t>1</w:t>
      </w:r>
      <w:r>
        <w:rPr>
          <w:rFonts w:hAnsi="宋体"/>
          <w:color w:val="000000"/>
          <w:szCs w:val="24"/>
        </w:rPr>
        <w:t>，综上所述，评价区域内大气污染物</w:t>
      </w:r>
      <w:r>
        <w:rPr>
          <w:color w:val="000000"/>
          <w:szCs w:val="24"/>
        </w:rPr>
        <w:t>NH</w:t>
      </w:r>
      <w:r>
        <w:rPr>
          <w:color w:val="000000"/>
          <w:szCs w:val="24"/>
          <w:vertAlign w:val="subscript"/>
        </w:rPr>
        <w:t>3</w:t>
      </w:r>
      <w:r>
        <w:rPr>
          <w:color w:val="000000"/>
          <w:szCs w:val="24"/>
        </w:rPr>
        <w:t>、H</w:t>
      </w:r>
      <w:r>
        <w:rPr>
          <w:color w:val="000000"/>
          <w:szCs w:val="24"/>
          <w:vertAlign w:val="subscript"/>
        </w:rPr>
        <w:t>2</w:t>
      </w:r>
      <w:r>
        <w:rPr>
          <w:color w:val="000000"/>
          <w:szCs w:val="24"/>
        </w:rPr>
        <w:t>S</w:t>
      </w:r>
      <w:r>
        <w:rPr>
          <w:rFonts w:hint="eastAsia"/>
          <w:color w:val="000000"/>
          <w:szCs w:val="24"/>
        </w:rPr>
        <w:t>满足</w:t>
      </w:r>
      <w:r>
        <w:rPr>
          <w:color w:val="000000"/>
          <w:szCs w:val="24"/>
        </w:rPr>
        <w:t>《环境影响评价技术导则 大气环境》HJ2.2-2018</w:t>
      </w:r>
      <w:r>
        <w:rPr>
          <w:rFonts w:hint="eastAsia"/>
          <w:color w:val="000000"/>
          <w:szCs w:val="24"/>
        </w:rPr>
        <w:t>附录D</w:t>
      </w:r>
      <w:r>
        <w:rPr>
          <w:color w:val="000000"/>
          <w:szCs w:val="24"/>
        </w:rPr>
        <w:t>中限值标准</w:t>
      </w:r>
      <w:r>
        <w:rPr>
          <w:rFonts w:hint="eastAsia"/>
          <w:color w:val="000000"/>
          <w:szCs w:val="24"/>
        </w:rPr>
        <w:t>，</w:t>
      </w:r>
      <w:r>
        <w:rPr>
          <w:color w:val="000000"/>
          <w:szCs w:val="24"/>
        </w:rPr>
        <w:t>臭气浓度</w:t>
      </w:r>
      <w:r>
        <w:rPr>
          <w:rFonts w:hint="eastAsia"/>
          <w:color w:val="000000"/>
          <w:szCs w:val="24"/>
        </w:rPr>
        <w:t>满足</w:t>
      </w:r>
      <w:r>
        <w:rPr>
          <w:rFonts w:hint="eastAsia" w:ascii="Times New Roman" w:hAnsi="宋体" w:eastAsia="宋体" w:cs="Times New Roman"/>
          <w:szCs w:val="24"/>
        </w:rPr>
        <w:t>《畜禽养殖产地环境评价规范》（HJ568-2010）表5中指标限值</w:t>
      </w:r>
      <w:r>
        <w:rPr>
          <w:rFonts w:hint="eastAsia"/>
          <w:color w:val="000000"/>
          <w:szCs w:val="24"/>
        </w:rPr>
        <w:t>。</w:t>
      </w:r>
    </w:p>
    <w:p w14:paraId="396ADEAA">
      <w:pPr>
        <w:pStyle w:val="7"/>
        <w:spacing w:line="480" w:lineRule="exact"/>
      </w:pPr>
      <w:r>
        <w:rPr>
          <w:rFonts w:hint="eastAsia"/>
        </w:rPr>
        <w:t>4</w:t>
      </w:r>
      <w:r>
        <w:t>.</w:t>
      </w:r>
      <w:r>
        <w:rPr>
          <w:rFonts w:hint="eastAsia"/>
        </w:rPr>
        <w:t>3</w:t>
      </w:r>
      <w:r>
        <w:t xml:space="preserve">.2 </w:t>
      </w:r>
      <w:r>
        <w:rPr>
          <w:rFonts w:hint="eastAsia"/>
        </w:rPr>
        <w:t>地表水环境质量现状监测与评价</w:t>
      </w:r>
    </w:p>
    <w:p w14:paraId="23F3DF1A">
      <w:pPr>
        <w:snapToGrid w:val="0"/>
        <w:spacing w:line="480" w:lineRule="exact"/>
        <w:ind w:firstLine="480" w:firstLineChars="200"/>
        <w:rPr>
          <w:color w:val="000000"/>
          <w:kern w:val="0"/>
          <w:szCs w:val="24"/>
        </w:rPr>
      </w:pPr>
      <w:r>
        <w:rPr>
          <w:rFonts w:hint="eastAsia"/>
          <w:color w:val="000000"/>
          <w:kern w:val="0"/>
          <w:szCs w:val="24"/>
        </w:rPr>
        <w:t>（</w:t>
      </w:r>
      <w:r>
        <w:rPr>
          <w:color w:val="000000"/>
          <w:kern w:val="0"/>
          <w:szCs w:val="24"/>
        </w:rPr>
        <w:t>1</w:t>
      </w:r>
      <w:r>
        <w:rPr>
          <w:rFonts w:hAnsi="宋体"/>
          <w:color w:val="000000"/>
          <w:kern w:val="0"/>
          <w:szCs w:val="24"/>
        </w:rPr>
        <w:t>）数据来源</w:t>
      </w:r>
    </w:p>
    <w:p w14:paraId="17C83783">
      <w:pPr>
        <w:snapToGrid w:val="0"/>
        <w:spacing w:line="480" w:lineRule="exact"/>
        <w:ind w:firstLine="480" w:firstLineChars="200"/>
        <w:rPr>
          <w:rStyle w:val="107"/>
          <w:rFonts w:ascii="Times New Roman" w:hAnsi="Times New Roman" w:eastAsia="宋体"/>
          <w:b w:val="0"/>
          <w:bCs w:val="0"/>
          <w:color w:val="000000"/>
          <w:sz w:val="24"/>
          <w:szCs w:val="24"/>
        </w:rPr>
      </w:pPr>
      <w:r>
        <w:rPr>
          <w:rFonts w:hAnsi="宋体"/>
          <w:color w:val="000000"/>
          <w:szCs w:val="24"/>
        </w:rPr>
        <w:t>项目地表水监测由</w:t>
      </w:r>
      <w:r>
        <w:rPr>
          <w:rFonts w:hint="eastAsia"/>
        </w:rPr>
        <w:t>江苏迈斯特环境检测有限公司出具的监测报告（报告编号：MST20240702003-1）</w:t>
      </w:r>
      <w:r>
        <w:rPr>
          <w:rFonts w:hAnsi="宋体"/>
          <w:color w:val="000000"/>
          <w:szCs w:val="24"/>
        </w:rPr>
        <w:t>。</w:t>
      </w:r>
    </w:p>
    <w:p w14:paraId="0BAC0748">
      <w:pPr>
        <w:snapToGrid w:val="0"/>
        <w:spacing w:line="480" w:lineRule="exact"/>
        <w:ind w:firstLine="480" w:firstLineChars="200"/>
        <w:rPr>
          <w:color w:val="000000"/>
          <w:kern w:val="0"/>
          <w:szCs w:val="24"/>
        </w:rPr>
      </w:pPr>
      <w:r>
        <w:rPr>
          <w:rFonts w:hint="eastAsia"/>
          <w:color w:val="000000"/>
          <w:kern w:val="0"/>
          <w:szCs w:val="24"/>
        </w:rPr>
        <w:t>（</w:t>
      </w:r>
      <w:r>
        <w:rPr>
          <w:color w:val="000000"/>
          <w:kern w:val="0"/>
          <w:szCs w:val="24"/>
        </w:rPr>
        <w:t>2</w:t>
      </w:r>
      <w:r>
        <w:rPr>
          <w:rFonts w:hAnsi="宋体"/>
          <w:color w:val="000000"/>
          <w:kern w:val="0"/>
          <w:szCs w:val="24"/>
        </w:rPr>
        <w:t>）监测断面、采样频率及采样时间</w:t>
      </w:r>
    </w:p>
    <w:p w14:paraId="2CBD7549">
      <w:pPr>
        <w:snapToGrid w:val="0"/>
        <w:spacing w:line="480" w:lineRule="exact"/>
        <w:ind w:firstLine="480" w:firstLineChars="200"/>
        <w:rPr>
          <w:color w:val="000000"/>
          <w:szCs w:val="24"/>
        </w:rPr>
      </w:pPr>
      <w:r>
        <w:rPr>
          <w:rFonts w:hAnsi="宋体"/>
          <w:color w:val="000000"/>
          <w:szCs w:val="24"/>
        </w:rPr>
        <w:t>监测断面：本项目位于</w:t>
      </w:r>
      <w:r>
        <w:rPr>
          <w:rFonts w:hint="eastAsia" w:hAnsi="宋体"/>
          <w:color w:val="000000"/>
          <w:szCs w:val="24"/>
        </w:rPr>
        <w:t>宿迁市</w:t>
      </w:r>
      <w:r>
        <w:rPr>
          <w:rFonts w:hint="eastAsia" w:ascii="Times New Roman" w:cs="Times New Roman"/>
          <w:color w:val="000000"/>
        </w:rPr>
        <w:t>泗阳县穿城镇向阳村四组</w:t>
      </w:r>
      <w:r>
        <w:rPr>
          <w:rFonts w:hAnsi="宋体"/>
          <w:color w:val="000000"/>
          <w:szCs w:val="24"/>
        </w:rPr>
        <w:t>，周边的主要水系为</w:t>
      </w:r>
      <w:r>
        <w:rPr>
          <w:rFonts w:hint="eastAsia" w:hAnsi="宋体"/>
          <w:bCs/>
          <w:color w:val="000000"/>
          <w:szCs w:val="24"/>
        </w:rPr>
        <w:t>颜倪河</w:t>
      </w:r>
      <w:r>
        <w:rPr>
          <w:rFonts w:hAnsi="宋体"/>
          <w:bCs/>
          <w:color w:val="000000"/>
          <w:szCs w:val="24"/>
        </w:rPr>
        <w:t>，共设</w:t>
      </w:r>
      <w:r>
        <w:rPr>
          <w:rFonts w:hint="eastAsia"/>
          <w:bCs/>
          <w:color w:val="000000"/>
          <w:szCs w:val="24"/>
        </w:rPr>
        <w:t>1</w:t>
      </w:r>
      <w:r>
        <w:rPr>
          <w:rFonts w:hAnsi="宋体"/>
          <w:bCs/>
          <w:color w:val="000000"/>
          <w:szCs w:val="24"/>
        </w:rPr>
        <w:t>个地表水</w:t>
      </w:r>
      <w:r>
        <w:rPr>
          <w:rFonts w:hAnsi="宋体"/>
          <w:color w:val="000000"/>
          <w:szCs w:val="24"/>
        </w:rPr>
        <w:t>监测断</w:t>
      </w:r>
      <w:r>
        <w:rPr>
          <w:color w:val="000000"/>
          <w:szCs w:val="24"/>
        </w:rPr>
        <w:t>面，为</w:t>
      </w:r>
      <w:r>
        <w:rPr>
          <w:rFonts w:hint="eastAsia" w:hAnsi="宋体"/>
          <w:color w:val="000000"/>
          <w:szCs w:val="24"/>
        </w:rPr>
        <w:t>十一斗渠与颜倪河交叉口</w:t>
      </w:r>
      <w:r>
        <w:rPr>
          <w:bCs/>
          <w:color w:val="000000"/>
          <w:szCs w:val="24"/>
        </w:rPr>
        <w:t>。</w:t>
      </w:r>
      <w:r>
        <w:rPr>
          <w:color w:val="000000"/>
          <w:szCs w:val="24"/>
        </w:rPr>
        <w:t>监测断面设置见表4.</w:t>
      </w:r>
      <w:r>
        <w:rPr>
          <w:rFonts w:hint="eastAsia"/>
          <w:color w:val="000000"/>
          <w:szCs w:val="24"/>
        </w:rPr>
        <w:t>3</w:t>
      </w:r>
      <w:r>
        <w:rPr>
          <w:color w:val="000000"/>
          <w:szCs w:val="24"/>
        </w:rPr>
        <w:t>-</w:t>
      </w:r>
      <w:r>
        <w:rPr>
          <w:rFonts w:hint="eastAsia"/>
          <w:color w:val="000000"/>
          <w:szCs w:val="24"/>
        </w:rPr>
        <w:t>6</w:t>
      </w:r>
      <w:r>
        <w:rPr>
          <w:color w:val="000000"/>
          <w:szCs w:val="24"/>
        </w:rPr>
        <w:t>。其监测断面见</w:t>
      </w:r>
      <w:r>
        <w:rPr>
          <w:b/>
          <w:bCs/>
          <w:color w:val="000000"/>
          <w:szCs w:val="24"/>
        </w:rPr>
        <w:t>图4.</w:t>
      </w:r>
      <w:r>
        <w:rPr>
          <w:rFonts w:hint="eastAsia"/>
          <w:b/>
          <w:bCs/>
          <w:color w:val="000000"/>
          <w:szCs w:val="24"/>
        </w:rPr>
        <w:t>2-2</w:t>
      </w:r>
      <w:r>
        <w:rPr>
          <w:color w:val="000000"/>
          <w:szCs w:val="24"/>
        </w:rPr>
        <w:t>。</w:t>
      </w:r>
    </w:p>
    <w:p w14:paraId="2B821476">
      <w:pPr>
        <w:snapToGrid w:val="0"/>
        <w:spacing w:line="480" w:lineRule="exact"/>
        <w:ind w:firstLine="480" w:firstLineChars="200"/>
        <w:rPr>
          <w:color w:val="000000"/>
          <w:szCs w:val="24"/>
        </w:rPr>
      </w:pPr>
      <w:r>
        <w:rPr>
          <w:rFonts w:hAnsi="宋体"/>
          <w:color w:val="000000"/>
          <w:szCs w:val="24"/>
        </w:rPr>
        <w:t>采样时间及频率：</w:t>
      </w:r>
      <w:r>
        <w:rPr>
          <w:color w:val="000000"/>
          <w:szCs w:val="24"/>
        </w:rPr>
        <w:t>20</w:t>
      </w:r>
      <w:r>
        <w:rPr>
          <w:rFonts w:hint="eastAsia"/>
          <w:color w:val="000000"/>
          <w:szCs w:val="24"/>
        </w:rPr>
        <w:t>24</w:t>
      </w:r>
      <w:r>
        <w:rPr>
          <w:rFonts w:hAnsi="宋体"/>
          <w:color w:val="000000"/>
          <w:szCs w:val="24"/>
        </w:rPr>
        <w:t>年</w:t>
      </w:r>
      <w:r>
        <w:rPr>
          <w:rFonts w:hint="eastAsia"/>
          <w:color w:val="000000"/>
          <w:szCs w:val="24"/>
        </w:rPr>
        <w:t>7</w:t>
      </w:r>
      <w:r>
        <w:rPr>
          <w:rFonts w:hAnsi="宋体"/>
          <w:color w:val="000000"/>
          <w:szCs w:val="24"/>
        </w:rPr>
        <w:t>月</w:t>
      </w:r>
      <w:r>
        <w:rPr>
          <w:rFonts w:hint="eastAsia"/>
          <w:color w:val="000000"/>
          <w:szCs w:val="24"/>
        </w:rPr>
        <w:t>2日</w:t>
      </w:r>
      <w:r>
        <w:rPr>
          <w:color w:val="000000"/>
          <w:szCs w:val="24"/>
        </w:rPr>
        <w:t>-</w:t>
      </w:r>
      <w:r>
        <w:rPr>
          <w:rFonts w:hint="eastAsia"/>
          <w:color w:val="000000"/>
          <w:szCs w:val="24"/>
        </w:rPr>
        <w:t>7</w:t>
      </w:r>
      <w:r>
        <w:rPr>
          <w:rFonts w:hAnsi="宋体"/>
          <w:color w:val="000000"/>
          <w:szCs w:val="24"/>
        </w:rPr>
        <w:t>月</w:t>
      </w:r>
      <w:r>
        <w:rPr>
          <w:rFonts w:hint="eastAsia"/>
          <w:color w:val="000000"/>
          <w:szCs w:val="24"/>
        </w:rPr>
        <w:t>4</w:t>
      </w:r>
      <w:r>
        <w:rPr>
          <w:rFonts w:hAnsi="宋体"/>
          <w:color w:val="000000"/>
          <w:szCs w:val="24"/>
        </w:rPr>
        <w:t>日，连续监测</w:t>
      </w:r>
      <w:r>
        <w:rPr>
          <w:color w:val="000000"/>
          <w:szCs w:val="24"/>
        </w:rPr>
        <w:t>3</w:t>
      </w:r>
      <w:r>
        <w:rPr>
          <w:rFonts w:hAnsi="宋体"/>
          <w:color w:val="000000"/>
          <w:szCs w:val="24"/>
        </w:rPr>
        <w:t>天，每天取样</w:t>
      </w:r>
      <w:r>
        <w:rPr>
          <w:color w:val="000000"/>
          <w:szCs w:val="24"/>
        </w:rPr>
        <w:t>1</w:t>
      </w:r>
      <w:r>
        <w:rPr>
          <w:rFonts w:hAnsi="宋体"/>
          <w:color w:val="000000"/>
          <w:szCs w:val="24"/>
        </w:rPr>
        <w:t>次。</w:t>
      </w:r>
    </w:p>
    <w:p w14:paraId="4BC360E4">
      <w:pPr>
        <w:pStyle w:val="11"/>
        <w:snapToGrid w:val="0"/>
        <w:spacing w:line="480" w:lineRule="exact"/>
        <w:ind w:firstLine="482"/>
        <w:jc w:val="center"/>
        <w:rPr>
          <w:b/>
          <w:color w:val="000000"/>
          <w:sz w:val="24"/>
          <w:szCs w:val="24"/>
        </w:rPr>
      </w:pPr>
      <w:r>
        <w:rPr>
          <w:rFonts w:hAnsi="宋体"/>
          <w:b/>
          <w:color w:val="000000"/>
          <w:sz w:val="24"/>
          <w:szCs w:val="24"/>
        </w:rPr>
        <w:t>表</w:t>
      </w:r>
      <w:r>
        <w:rPr>
          <w:b/>
          <w:color w:val="000000"/>
          <w:sz w:val="24"/>
          <w:szCs w:val="24"/>
        </w:rPr>
        <w:t>4.</w:t>
      </w:r>
      <w:r>
        <w:rPr>
          <w:rFonts w:hint="eastAsia"/>
          <w:b/>
          <w:color w:val="000000"/>
          <w:sz w:val="24"/>
          <w:szCs w:val="24"/>
        </w:rPr>
        <w:t>3-6  地表水</w:t>
      </w:r>
      <w:r>
        <w:rPr>
          <w:rFonts w:hAnsi="宋体"/>
          <w:b/>
          <w:color w:val="000000"/>
          <w:sz w:val="24"/>
          <w:szCs w:val="24"/>
        </w:rPr>
        <w:t>监测断面表</w:t>
      </w:r>
    </w:p>
    <w:tbl>
      <w:tblPr>
        <w:tblStyle w:val="41"/>
        <w:tblW w:w="4996"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749"/>
        <w:gridCol w:w="1096"/>
        <w:gridCol w:w="2273"/>
        <w:gridCol w:w="2416"/>
        <w:gridCol w:w="2747"/>
      </w:tblGrid>
      <w:tr w14:paraId="1B26889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blHeader/>
        </w:trPr>
        <w:tc>
          <w:tcPr>
            <w:tcW w:w="404" w:type="pct"/>
            <w:vAlign w:val="center"/>
          </w:tcPr>
          <w:p w14:paraId="5C21F82C">
            <w:pPr>
              <w:pStyle w:val="2"/>
              <w:spacing w:after="0" w:line="30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编号</w:t>
            </w:r>
          </w:p>
        </w:tc>
        <w:tc>
          <w:tcPr>
            <w:tcW w:w="590" w:type="pct"/>
            <w:vAlign w:val="center"/>
          </w:tcPr>
          <w:p w14:paraId="67167872">
            <w:pPr>
              <w:pStyle w:val="2"/>
              <w:spacing w:after="0" w:line="30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河流</w:t>
            </w:r>
          </w:p>
        </w:tc>
        <w:tc>
          <w:tcPr>
            <w:tcW w:w="1224" w:type="pct"/>
            <w:vAlign w:val="center"/>
          </w:tcPr>
          <w:p w14:paraId="4E094CE4">
            <w:pPr>
              <w:pStyle w:val="2"/>
              <w:spacing w:after="0" w:line="30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监测断面布设位置</w:t>
            </w:r>
          </w:p>
        </w:tc>
        <w:tc>
          <w:tcPr>
            <w:tcW w:w="1301" w:type="pct"/>
            <w:vAlign w:val="center"/>
          </w:tcPr>
          <w:p w14:paraId="098BA52B">
            <w:pPr>
              <w:pStyle w:val="2"/>
              <w:spacing w:after="0" w:line="30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监测时段</w:t>
            </w:r>
          </w:p>
        </w:tc>
        <w:tc>
          <w:tcPr>
            <w:tcW w:w="1479" w:type="pct"/>
            <w:vAlign w:val="center"/>
          </w:tcPr>
          <w:p w14:paraId="0D6FCB8C">
            <w:pPr>
              <w:spacing w:line="300" w:lineRule="exact"/>
              <w:jc w:val="center"/>
              <w:rPr>
                <w:rFonts w:ascii="Times New Roman" w:hAnsi="Times New Roman" w:eastAsia="宋体" w:cs="Times New Roman"/>
                <w:color w:val="000000"/>
                <w:sz w:val="21"/>
                <w:szCs w:val="21"/>
              </w:rPr>
            </w:pPr>
            <w:r>
              <w:rPr>
                <w:rFonts w:ascii="Times New Roman" w:eastAsia="宋体"/>
                <w:bCs/>
                <w:sz w:val="21"/>
                <w:szCs w:val="21"/>
              </w:rPr>
              <w:t>执行水质标准</w:t>
            </w:r>
          </w:p>
        </w:tc>
      </w:tr>
      <w:tr w14:paraId="2486207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blHeader/>
        </w:trPr>
        <w:tc>
          <w:tcPr>
            <w:tcW w:w="404" w:type="pct"/>
            <w:vAlign w:val="center"/>
          </w:tcPr>
          <w:p w14:paraId="575B036D">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W1</w:t>
            </w:r>
          </w:p>
        </w:tc>
        <w:tc>
          <w:tcPr>
            <w:tcW w:w="590" w:type="pct"/>
            <w:vAlign w:val="center"/>
          </w:tcPr>
          <w:p w14:paraId="6B5E5C68">
            <w:pPr>
              <w:pStyle w:val="2"/>
              <w:spacing w:after="0" w:line="300" w:lineRule="exact"/>
              <w:jc w:val="center"/>
              <w:rPr>
                <w:rFonts w:ascii="Times New Roman" w:hAnsi="Times New Roman" w:cs="Times New Roman"/>
                <w:color w:val="000000"/>
                <w:sz w:val="21"/>
                <w:szCs w:val="21"/>
              </w:rPr>
            </w:pPr>
            <w:r>
              <w:rPr>
                <w:rFonts w:hint="eastAsia" w:ascii="Times New Roman" w:hAnsi="Times New Roman" w:cs="Times New Roman"/>
                <w:bCs/>
                <w:color w:val="000000"/>
                <w:sz w:val="21"/>
                <w:szCs w:val="21"/>
                <w:lang w:val="en-US"/>
              </w:rPr>
              <w:t>颜倪河</w:t>
            </w:r>
          </w:p>
        </w:tc>
        <w:tc>
          <w:tcPr>
            <w:tcW w:w="1224" w:type="pct"/>
            <w:vAlign w:val="center"/>
          </w:tcPr>
          <w:p w14:paraId="76A88501">
            <w:pPr>
              <w:pStyle w:val="2"/>
              <w:spacing w:after="0" w:line="300" w:lineRule="exact"/>
              <w:jc w:val="center"/>
              <w:rPr>
                <w:rFonts w:ascii="Times New Roman" w:hAnsi="Times New Roman" w:cs="Times New Roman"/>
                <w:color w:val="000000"/>
                <w:sz w:val="21"/>
                <w:szCs w:val="21"/>
              </w:rPr>
            </w:pPr>
            <w:r>
              <w:rPr>
                <w:rFonts w:hint="eastAsia"/>
                <w:color w:val="000000"/>
                <w:sz w:val="21"/>
                <w:szCs w:val="21"/>
                <w:lang w:val="en-US"/>
              </w:rPr>
              <w:t>十一斗渠</w:t>
            </w:r>
            <w:r>
              <w:rPr>
                <w:rFonts w:hint="eastAsia"/>
                <w:color w:val="000000"/>
                <w:sz w:val="21"/>
                <w:szCs w:val="21"/>
              </w:rPr>
              <w:t>与</w:t>
            </w:r>
            <w:r>
              <w:rPr>
                <w:rFonts w:hint="eastAsia"/>
                <w:color w:val="000000"/>
                <w:sz w:val="21"/>
                <w:szCs w:val="21"/>
                <w:lang w:val="en-US"/>
              </w:rPr>
              <w:t>颜倪河</w:t>
            </w:r>
            <w:r>
              <w:rPr>
                <w:rFonts w:hint="eastAsia"/>
                <w:color w:val="000000"/>
                <w:sz w:val="21"/>
                <w:szCs w:val="21"/>
              </w:rPr>
              <w:t>交叉口</w:t>
            </w:r>
            <w:r>
              <w:rPr>
                <w:rFonts w:ascii="Times New Roman" w:hAnsi="Times New Roman" w:cs="Times New Roman"/>
                <w:color w:val="000000"/>
                <w:sz w:val="21"/>
                <w:szCs w:val="21"/>
              </w:rPr>
              <w:t>处</w:t>
            </w:r>
          </w:p>
        </w:tc>
        <w:tc>
          <w:tcPr>
            <w:tcW w:w="1301" w:type="pct"/>
            <w:vAlign w:val="center"/>
          </w:tcPr>
          <w:p w14:paraId="38903C67">
            <w:pPr>
              <w:pStyle w:val="2"/>
              <w:spacing w:after="0" w:line="30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连续3d，每天监测1次</w:t>
            </w:r>
          </w:p>
        </w:tc>
        <w:tc>
          <w:tcPr>
            <w:tcW w:w="1479" w:type="pct"/>
            <w:vAlign w:val="center"/>
          </w:tcPr>
          <w:p w14:paraId="12921021">
            <w:pPr>
              <w:spacing w:line="300" w:lineRule="exact"/>
              <w:jc w:val="center"/>
              <w:rPr>
                <w:rFonts w:ascii="Times New Roman" w:hAnsi="Times New Roman" w:eastAsia="宋体" w:cs="Times New Roman"/>
                <w:color w:val="000000"/>
                <w:sz w:val="21"/>
                <w:szCs w:val="21"/>
              </w:rPr>
            </w:pPr>
            <w:r>
              <w:rPr>
                <w:rFonts w:ascii="Times New Roman" w:eastAsia="宋体"/>
                <w:bCs/>
                <w:sz w:val="21"/>
                <w:szCs w:val="21"/>
              </w:rPr>
              <w:t>《地表水环境质量标准》（GB3838-2002）Ⅲ类标准</w:t>
            </w:r>
          </w:p>
        </w:tc>
      </w:tr>
    </w:tbl>
    <w:p w14:paraId="5CFD67C2">
      <w:pPr>
        <w:spacing w:line="480" w:lineRule="exact"/>
        <w:ind w:firstLine="480" w:firstLineChars="200"/>
        <w:rPr>
          <w:color w:val="000000"/>
          <w:kern w:val="0"/>
          <w:szCs w:val="24"/>
        </w:rPr>
      </w:pPr>
      <w:r>
        <w:rPr>
          <w:rFonts w:hint="eastAsia"/>
          <w:color w:val="000000"/>
          <w:kern w:val="0"/>
          <w:szCs w:val="24"/>
        </w:rPr>
        <w:t>（</w:t>
      </w:r>
      <w:r>
        <w:rPr>
          <w:color w:val="000000"/>
          <w:kern w:val="0"/>
          <w:szCs w:val="24"/>
        </w:rPr>
        <w:t>3</w:t>
      </w:r>
      <w:r>
        <w:rPr>
          <w:rFonts w:hAnsi="宋体"/>
          <w:color w:val="000000"/>
          <w:kern w:val="0"/>
          <w:szCs w:val="24"/>
        </w:rPr>
        <w:t>）监测项目、采样及分析方法</w:t>
      </w:r>
    </w:p>
    <w:p w14:paraId="059244FF">
      <w:pPr>
        <w:spacing w:line="480" w:lineRule="exact"/>
        <w:ind w:firstLine="480" w:firstLineChars="200"/>
        <w:rPr>
          <w:color w:val="000000"/>
          <w:szCs w:val="24"/>
        </w:rPr>
      </w:pPr>
      <w:r>
        <w:rPr>
          <w:rFonts w:hAnsi="宋体"/>
          <w:color w:val="000000"/>
          <w:szCs w:val="24"/>
        </w:rPr>
        <w:t>监测项目为：</w:t>
      </w:r>
      <w:r>
        <w:rPr>
          <w:color w:val="000000"/>
          <w:szCs w:val="24"/>
        </w:rPr>
        <w:t>pH</w:t>
      </w:r>
      <w:r>
        <w:rPr>
          <w:rFonts w:hAnsi="宋体"/>
          <w:color w:val="000000"/>
          <w:szCs w:val="24"/>
        </w:rPr>
        <w:t>、</w:t>
      </w:r>
      <w:r>
        <w:rPr>
          <w:color w:val="000000"/>
          <w:szCs w:val="24"/>
        </w:rPr>
        <w:t>DO</w:t>
      </w:r>
      <w:r>
        <w:rPr>
          <w:rFonts w:hAnsi="宋体"/>
          <w:color w:val="000000"/>
          <w:szCs w:val="24"/>
        </w:rPr>
        <w:t>、</w:t>
      </w:r>
      <w:r>
        <w:rPr>
          <w:color w:val="000000"/>
          <w:szCs w:val="24"/>
        </w:rPr>
        <w:t>COD</w:t>
      </w:r>
      <w:r>
        <w:rPr>
          <w:rFonts w:hAnsi="宋体"/>
          <w:color w:val="000000"/>
          <w:szCs w:val="24"/>
        </w:rPr>
        <w:t>、</w:t>
      </w:r>
      <w:r>
        <w:rPr>
          <w:color w:val="000000"/>
          <w:szCs w:val="24"/>
        </w:rPr>
        <w:t>BOD</w:t>
      </w:r>
      <w:r>
        <w:rPr>
          <w:color w:val="000000"/>
          <w:szCs w:val="24"/>
          <w:vertAlign w:val="subscript"/>
        </w:rPr>
        <w:t>5</w:t>
      </w:r>
      <w:r>
        <w:rPr>
          <w:rFonts w:hAnsi="宋体"/>
          <w:color w:val="000000"/>
          <w:szCs w:val="24"/>
        </w:rPr>
        <w:t>、</w:t>
      </w:r>
      <w:r>
        <w:rPr>
          <w:color w:val="000000"/>
          <w:szCs w:val="24"/>
        </w:rPr>
        <w:t>SS</w:t>
      </w:r>
      <w:r>
        <w:rPr>
          <w:rFonts w:hAnsi="宋体"/>
          <w:color w:val="000000"/>
          <w:szCs w:val="24"/>
        </w:rPr>
        <w:t>、</w:t>
      </w:r>
      <w:r>
        <w:rPr>
          <w:color w:val="000000"/>
          <w:szCs w:val="24"/>
        </w:rPr>
        <w:t>NH</w:t>
      </w:r>
      <w:r>
        <w:rPr>
          <w:color w:val="000000"/>
          <w:szCs w:val="24"/>
          <w:vertAlign w:val="subscript"/>
        </w:rPr>
        <w:t>3</w:t>
      </w:r>
      <w:r>
        <w:rPr>
          <w:color w:val="000000"/>
          <w:szCs w:val="24"/>
        </w:rPr>
        <w:t>-N</w:t>
      </w:r>
      <w:r>
        <w:rPr>
          <w:rFonts w:hAnsi="宋体"/>
          <w:color w:val="000000"/>
          <w:szCs w:val="24"/>
        </w:rPr>
        <w:t>、</w:t>
      </w:r>
      <w:r>
        <w:rPr>
          <w:color w:val="000000"/>
          <w:szCs w:val="24"/>
        </w:rPr>
        <w:t>TP</w:t>
      </w:r>
      <w:r>
        <w:rPr>
          <w:rFonts w:hAnsi="宋体"/>
          <w:color w:val="000000"/>
          <w:szCs w:val="24"/>
        </w:rPr>
        <w:t>、粪大肠菌群。</w:t>
      </w:r>
    </w:p>
    <w:p w14:paraId="73180D14">
      <w:pPr>
        <w:spacing w:line="480" w:lineRule="exact"/>
        <w:ind w:firstLine="480" w:firstLineChars="200"/>
      </w:pPr>
      <w:r>
        <w:rPr>
          <w:rFonts w:hAnsi="宋体"/>
          <w:color w:val="000000"/>
          <w:szCs w:val="24"/>
        </w:rPr>
        <w:t>采样及分析方法：项目地表水环境质量现状监测分析方法按照国家环保局颁发的《环境监测技术规范》、相关国家分析标准及中国环境科学出版社出版的《水和废水监测分析方法（第四版）》的要求进行，同时监测河流的流速、流量、水深、河道过水断面及流向等。</w:t>
      </w:r>
      <w:r>
        <w:rPr>
          <w:rFonts w:hint="eastAsia"/>
        </w:rPr>
        <w:t>具体监测分析方法见表4.3-7。</w:t>
      </w:r>
    </w:p>
    <w:p w14:paraId="44C9D9FF">
      <w:pPr>
        <w:pStyle w:val="31"/>
        <w:spacing w:before="0" w:line="480" w:lineRule="exact"/>
      </w:pPr>
      <w:r>
        <w:rPr>
          <w:rFonts w:hint="eastAsia"/>
        </w:rPr>
        <w:t>表</w:t>
      </w:r>
      <w:r>
        <w:t>4.</w:t>
      </w:r>
      <w:r>
        <w:rPr>
          <w:rFonts w:hint="eastAsia"/>
        </w:rPr>
        <w:t>3-7</w:t>
      </w:r>
      <w:r>
        <w:t xml:space="preserve"> </w:t>
      </w:r>
      <w:r>
        <w:rPr>
          <w:rFonts w:hint="eastAsia"/>
        </w:rPr>
        <w:t>地表水水质监测分析方法表</w:t>
      </w:r>
    </w:p>
    <w:tbl>
      <w:tblPr>
        <w:tblStyle w:val="4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1335"/>
        <w:gridCol w:w="7025"/>
      </w:tblGrid>
      <w:tr w14:paraId="4EC92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pct"/>
            <w:vAlign w:val="center"/>
          </w:tcPr>
          <w:p w14:paraId="1C0CDA09">
            <w:pPr>
              <w:pStyle w:val="61"/>
              <w:spacing w:line="300" w:lineRule="exact"/>
              <w:rPr>
                <w:szCs w:val="21"/>
                <w:lang w:val="zh-CN"/>
              </w:rPr>
            </w:pPr>
            <w:r>
              <w:rPr>
                <w:rFonts w:hint="eastAsia"/>
                <w:szCs w:val="21"/>
              </w:rPr>
              <w:t>序号</w:t>
            </w:r>
          </w:p>
        </w:tc>
        <w:tc>
          <w:tcPr>
            <w:tcW w:w="719" w:type="pct"/>
            <w:vAlign w:val="center"/>
          </w:tcPr>
          <w:p w14:paraId="183CC393">
            <w:pPr>
              <w:pStyle w:val="61"/>
              <w:spacing w:line="300" w:lineRule="exact"/>
              <w:rPr>
                <w:szCs w:val="21"/>
              </w:rPr>
            </w:pPr>
            <w:r>
              <w:rPr>
                <w:rFonts w:hint="eastAsia"/>
                <w:szCs w:val="21"/>
              </w:rPr>
              <w:t>名称</w:t>
            </w:r>
          </w:p>
        </w:tc>
        <w:tc>
          <w:tcPr>
            <w:tcW w:w="3784" w:type="pct"/>
            <w:vAlign w:val="center"/>
          </w:tcPr>
          <w:p w14:paraId="27D635A9">
            <w:pPr>
              <w:pStyle w:val="61"/>
              <w:spacing w:line="300" w:lineRule="exact"/>
              <w:rPr>
                <w:szCs w:val="21"/>
              </w:rPr>
            </w:pPr>
            <w:r>
              <w:rPr>
                <w:szCs w:val="21"/>
              </w:rPr>
              <w:t>检测标准（方法）名称及编号</w:t>
            </w:r>
          </w:p>
        </w:tc>
      </w:tr>
      <w:tr w14:paraId="49825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pct"/>
            <w:vAlign w:val="center"/>
          </w:tcPr>
          <w:p w14:paraId="18EF408E">
            <w:pPr>
              <w:pStyle w:val="61"/>
              <w:spacing w:line="300" w:lineRule="exact"/>
              <w:rPr>
                <w:szCs w:val="21"/>
                <w:lang w:val="zh-CN"/>
              </w:rPr>
            </w:pPr>
            <w:r>
              <w:rPr>
                <w:rFonts w:hint="eastAsia"/>
                <w:szCs w:val="21"/>
              </w:rPr>
              <w:t>1</w:t>
            </w:r>
          </w:p>
        </w:tc>
        <w:tc>
          <w:tcPr>
            <w:tcW w:w="719" w:type="pct"/>
            <w:vAlign w:val="center"/>
          </w:tcPr>
          <w:p w14:paraId="7159D769">
            <w:pPr>
              <w:pStyle w:val="61"/>
              <w:spacing w:line="300" w:lineRule="exact"/>
              <w:rPr>
                <w:szCs w:val="21"/>
              </w:rPr>
            </w:pPr>
            <w:r>
              <w:rPr>
                <w:szCs w:val="21"/>
              </w:rPr>
              <w:t>pH</w:t>
            </w:r>
            <w:r>
              <w:rPr>
                <w:rFonts w:hint="eastAsia"/>
                <w:szCs w:val="21"/>
              </w:rPr>
              <w:t>值</w:t>
            </w:r>
          </w:p>
        </w:tc>
        <w:tc>
          <w:tcPr>
            <w:tcW w:w="3784" w:type="pct"/>
            <w:vAlign w:val="center"/>
          </w:tcPr>
          <w:p w14:paraId="0C5391B1">
            <w:pPr>
              <w:pStyle w:val="61"/>
              <w:spacing w:line="300" w:lineRule="exact"/>
              <w:rPr>
                <w:szCs w:val="21"/>
              </w:rPr>
            </w:pPr>
            <w:r>
              <w:rPr>
                <w:rFonts w:hint="eastAsia"/>
                <w:szCs w:val="21"/>
              </w:rPr>
              <w:t>《</w:t>
            </w:r>
            <w:r>
              <w:rPr>
                <w:szCs w:val="21"/>
              </w:rPr>
              <w:t xml:space="preserve">水质 </w:t>
            </w:r>
            <w:r>
              <w:rPr>
                <w:rFonts w:hint="eastAsia"/>
                <w:szCs w:val="21"/>
              </w:rPr>
              <w:t xml:space="preserve"> </w:t>
            </w:r>
            <w:r>
              <w:rPr>
                <w:szCs w:val="21"/>
              </w:rPr>
              <w:t>PH值的测定 电极法</w:t>
            </w:r>
            <w:r>
              <w:rPr>
                <w:rFonts w:hint="eastAsia"/>
                <w:szCs w:val="21"/>
              </w:rPr>
              <w:t>》</w:t>
            </w:r>
            <w:r>
              <w:rPr>
                <w:szCs w:val="21"/>
              </w:rPr>
              <w:t xml:space="preserve">  </w:t>
            </w:r>
            <w:r>
              <w:rPr>
                <w:rFonts w:hint="eastAsia"/>
                <w:szCs w:val="21"/>
              </w:rPr>
              <w:t>（</w:t>
            </w:r>
            <w:r>
              <w:rPr>
                <w:szCs w:val="21"/>
              </w:rPr>
              <w:t>HJ1147-2020</w:t>
            </w:r>
            <w:r>
              <w:rPr>
                <w:rFonts w:hint="eastAsia"/>
                <w:szCs w:val="21"/>
              </w:rPr>
              <w:t>）</w:t>
            </w:r>
          </w:p>
        </w:tc>
      </w:tr>
      <w:tr w14:paraId="0B0248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pct"/>
            <w:vAlign w:val="center"/>
          </w:tcPr>
          <w:p w14:paraId="5E13A463">
            <w:pPr>
              <w:pStyle w:val="61"/>
              <w:spacing w:line="300" w:lineRule="exact"/>
              <w:rPr>
                <w:szCs w:val="21"/>
              </w:rPr>
            </w:pPr>
            <w:r>
              <w:rPr>
                <w:rFonts w:hint="eastAsia"/>
                <w:szCs w:val="21"/>
              </w:rPr>
              <w:t>2</w:t>
            </w:r>
          </w:p>
        </w:tc>
        <w:tc>
          <w:tcPr>
            <w:tcW w:w="719" w:type="pct"/>
            <w:vAlign w:val="center"/>
          </w:tcPr>
          <w:p w14:paraId="526992CD">
            <w:pPr>
              <w:pStyle w:val="61"/>
              <w:spacing w:line="300" w:lineRule="exact"/>
              <w:rPr>
                <w:szCs w:val="21"/>
              </w:rPr>
            </w:pPr>
            <w:r>
              <w:rPr>
                <w:rFonts w:hint="eastAsia"/>
                <w:szCs w:val="21"/>
              </w:rPr>
              <w:t>DO</w:t>
            </w:r>
          </w:p>
        </w:tc>
        <w:tc>
          <w:tcPr>
            <w:tcW w:w="3784" w:type="pct"/>
            <w:vAlign w:val="center"/>
          </w:tcPr>
          <w:p w14:paraId="0E74BCE5">
            <w:pPr>
              <w:pStyle w:val="61"/>
              <w:spacing w:line="300" w:lineRule="exact"/>
              <w:rPr>
                <w:szCs w:val="21"/>
              </w:rPr>
            </w:pPr>
            <w:r>
              <w:rPr>
                <w:rFonts w:hint="eastAsia"/>
                <w:szCs w:val="21"/>
              </w:rPr>
              <w:t>《水质  溶解氧的测定  电化学探头法》（HJ 506-2009）</w:t>
            </w:r>
          </w:p>
        </w:tc>
      </w:tr>
      <w:tr w14:paraId="5CFEB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pct"/>
            <w:vAlign w:val="center"/>
          </w:tcPr>
          <w:p w14:paraId="169AE3E6">
            <w:pPr>
              <w:pStyle w:val="61"/>
              <w:spacing w:line="300" w:lineRule="exact"/>
              <w:rPr>
                <w:szCs w:val="21"/>
              </w:rPr>
            </w:pPr>
            <w:r>
              <w:rPr>
                <w:rFonts w:hint="eastAsia"/>
                <w:szCs w:val="21"/>
              </w:rPr>
              <w:t>3</w:t>
            </w:r>
          </w:p>
        </w:tc>
        <w:tc>
          <w:tcPr>
            <w:tcW w:w="719" w:type="pct"/>
            <w:vAlign w:val="center"/>
          </w:tcPr>
          <w:p w14:paraId="099970EF">
            <w:pPr>
              <w:pStyle w:val="61"/>
              <w:spacing w:line="300" w:lineRule="exact"/>
              <w:rPr>
                <w:szCs w:val="21"/>
              </w:rPr>
            </w:pPr>
            <w:r>
              <w:rPr>
                <w:szCs w:val="21"/>
              </w:rPr>
              <w:t>COD</w:t>
            </w:r>
          </w:p>
        </w:tc>
        <w:tc>
          <w:tcPr>
            <w:tcW w:w="3784" w:type="pct"/>
            <w:vAlign w:val="center"/>
          </w:tcPr>
          <w:p w14:paraId="170A91C3">
            <w:pPr>
              <w:pStyle w:val="61"/>
              <w:spacing w:line="300" w:lineRule="exact"/>
              <w:rPr>
                <w:szCs w:val="21"/>
              </w:rPr>
            </w:pPr>
            <w:r>
              <w:rPr>
                <w:rFonts w:hint="eastAsia"/>
                <w:szCs w:val="21"/>
              </w:rPr>
              <w:t>《</w:t>
            </w:r>
            <w:r>
              <w:rPr>
                <w:szCs w:val="21"/>
              </w:rPr>
              <w:t>水质 化学需氧量的测定 重铬酸盐法</w:t>
            </w:r>
            <w:r>
              <w:rPr>
                <w:rFonts w:hint="eastAsia"/>
                <w:szCs w:val="21"/>
              </w:rPr>
              <w:t>》（</w:t>
            </w:r>
            <w:r>
              <w:rPr>
                <w:szCs w:val="21"/>
              </w:rPr>
              <w:t>HJ 828-2017</w:t>
            </w:r>
            <w:r>
              <w:rPr>
                <w:rFonts w:hint="eastAsia"/>
                <w:szCs w:val="21"/>
              </w:rPr>
              <w:t>）</w:t>
            </w:r>
            <w:r>
              <w:rPr>
                <w:szCs w:val="21"/>
              </w:rPr>
              <w:t xml:space="preserve">  </w:t>
            </w:r>
          </w:p>
        </w:tc>
      </w:tr>
      <w:tr w14:paraId="255B6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pct"/>
            <w:vAlign w:val="center"/>
          </w:tcPr>
          <w:p w14:paraId="6CFF9BF6">
            <w:pPr>
              <w:pStyle w:val="61"/>
              <w:spacing w:line="300" w:lineRule="exact"/>
              <w:rPr>
                <w:szCs w:val="21"/>
              </w:rPr>
            </w:pPr>
            <w:r>
              <w:rPr>
                <w:rFonts w:hint="eastAsia"/>
                <w:szCs w:val="21"/>
              </w:rPr>
              <w:t>4</w:t>
            </w:r>
          </w:p>
        </w:tc>
        <w:tc>
          <w:tcPr>
            <w:tcW w:w="719" w:type="pct"/>
            <w:vAlign w:val="center"/>
          </w:tcPr>
          <w:p w14:paraId="2DBC6727">
            <w:pPr>
              <w:pStyle w:val="61"/>
              <w:spacing w:line="300" w:lineRule="exact"/>
              <w:rPr>
                <w:szCs w:val="21"/>
                <w:lang w:val="zh-CN"/>
              </w:rPr>
            </w:pPr>
            <w:r>
              <w:rPr>
                <w:szCs w:val="21"/>
              </w:rPr>
              <w:t>BOD</w:t>
            </w:r>
            <w:r>
              <w:rPr>
                <w:szCs w:val="21"/>
                <w:vertAlign w:val="subscript"/>
              </w:rPr>
              <w:t>5</w:t>
            </w:r>
          </w:p>
        </w:tc>
        <w:tc>
          <w:tcPr>
            <w:tcW w:w="3784" w:type="pct"/>
            <w:vAlign w:val="center"/>
          </w:tcPr>
          <w:p w14:paraId="562B80DF">
            <w:pPr>
              <w:pStyle w:val="61"/>
              <w:spacing w:line="300" w:lineRule="exact"/>
              <w:rPr>
                <w:szCs w:val="21"/>
                <w:lang w:val="zh-CN"/>
              </w:rPr>
            </w:pPr>
            <w:r>
              <w:rPr>
                <w:rFonts w:hint="eastAsia"/>
                <w:szCs w:val="21"/>
                <w:lang w:val="zh-CN"/>
              </w:rPr>
              <w:t>《</w:t>
            </w:r>
            <w:r>
              <w:rPr>
                <w:szCs w:val="21"/>
                <w:lang w:val="zh-CN"/>
              </w:rPr>
              <w:t>水质 五日生化需氧量(BOD</w:t>
            </w:r>
            <w:r>
              <w:rPr>
                <w:szCs w:val="21"/>
                <w:vertAlign w:val="subscript"/>
                <w:lang w:val="zh-CN"/>
              </w:rPr>
              <w:t>5</w:t>
            </w:r>
            <w:r>
              <w:rPr>
                <w:szCs w:val="21"/>
                <w:lang w:val="zh-CN"/>
              </w:rPr>
              <w:t>)的测定 稀释与接种法</w:t>
            </w:r>
            <w:r>
              <w:rPr>
                <w:rFonts w:hint="eastAsia"/>
                <w:szCs w:val="21"/>
                <w:lang w:val="zh-CN"/>
              </w:rPr>
              <w:t>》</w:t>
            </w:r>
            <w:r>
              <w:rPr>
                <w:szCs w:val="21"/>
                <w:lang w:val="zh-CN"/>
              </w:rPr>
              <w:t xml:space="preserve">  </w:t>
            </w:r>
            <w:r>
              <w:rPr>
                <w:rFonts w:hint="eastAsia"/>
                <w:szCs w:val="21"/>
                <w:lang w:val="zh-CN"/>
              </w:rPr>
              <w:t>（</w:t>
            </w:r>
            <w:r>
              <w:rPr>
                <w:szCs w:val="21"/>
                <w:lang w:val="zh-CN"/>
              </w:rPr>
              <w:t>HJ 505-2009</w:t>
            </w:r>
            <w:r>
              <w:rPr>
                <w:rFonts w:hint="eastAsia"/>
                <w:szCs w:val="21"/>
                <w:lang w:val="zh-CN"/>
              </w:rPr>
              <w:t>）</w:t>
            </w:r>
          </w:p>
        </w:tc>
      </w:tr>
      <w:tr w14:paraId="52BAB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pct"/>
            <w:vAlign w:val="center"/>
          </w:tcPr>
          <w:p w14:paraId="462D708E">
            <w:pPr>
              <w:pStyle w:val="61"/>
              <w:spacing w:line="300" w:lineRule="exact"/>
              <w:rPr>
                <w:szCs w:val="21"/>
              </w:rPr>
            </w:pPr>
            <w:r>
              <w:rPr>
                <w:rFonts w:hint="eastAsia"/>
                <w:szCs w:val="21"/>
              </w:rPr>
              <w:t>5</w:t>
            </w:r>
          </w:p>
        </w:tc>
        <w:tc>
          <w:tcPr>
            <w:tcW w:w="719" w:type="pct"/>
            <w:vAlign w:val="center"/>
          </w:tcPr>
          <w:p w14:paraId="799F80A0">
            <w:pPr>
              <w:pStyle w:val="61"/>
              <w:spacing w:line="300" w:lineRule="exact"/>
              <w:rPr>
                <w:szCs w:val="21"/>
              </w:rPr>
            </w:pPr>
            <w:r>
              <w:rPr>
                <w:szCs w:val="21"/>
              </w:rPr>
              <w:t>氨氮</w:t>
            </w:r>
          </w:p>
        </w:tc>
        <w:tc>
          <w:tcPr>
            <w:tcW w:w="3784" w:type="pct"/>
            <w:vAlign w:val="center"/>
          </w:tcPr>
          <w:p w14:paraId="6CEDE317">
            <w:pPr>
              <w:pStyle w:val="61"/>
              <w:spacing w:line="300" w:lineRule="exact"/>
              <w:rPr>
                <w:szCs w:val="21"/>
                <w:lang w:val="zh-CN"/>
              </w:rPr>
            </w:pPr>
            <w:r>
              <w:rPr>
                <w:rFonts w:hint="eastAsia"/>
                <w:szCs w:val="21"/>
              </w:rPr>
              <w:t>《</w:t>
            </w:r>
            <w:r>
              <w:rPr>
                <w:szCs w:val="21"/>
              </w:rPr>
              <w:t>水质 氨氮的测定 纳氏试剂分光光度法</w:t>
            </w:r>
            <w:r>
              <w:rPr>
                <w:rFonts w:hint="eastAsia"/>
                <w:szCs w:val="21"/>
              </w:rPr>
              <w:t>》</w:t>
            </w:r>
            <w:r>
              <w:rPr>
                <w:szCs w:val="21"/>
              </w:rPr>
              <w:t xml:space="preserve">  </w:t>
            </w:r>
            <w:r>
              <w:rPr>
                <w:rFonts w:hint="eastAsia"/>
                <w:szCs w:val="21"/>
              </w:rPr>
              <w:t>（</w:t>
            </w:r>
            <w:r>
              <w:rPr>
                <w:szCs w:val="21"/>
              </w:rPr>
              <w:t>HJ 535-2009</w:t>
            </w:r>
            <w:r>
              <w:rPr>
                <w:rFonts w:hint="eastAsia"/>
                <w:szCs w:val="21"/>
              </w:rPr>
              <w:t>）</w:t>
            </w:r>
          </w:p>
        </w:tc>
      </w:tr>
      <w:tr w14:paraId="1F4DDF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pct"/>
            <w:vAlign w:val="center"/>
          </w:tcPr>
          <w:p w14:paraId="0278EB0A">
            <w:pPr>
              <w:pStyle w:val="61"/>
              <w:spacing w:line="300" w:lineRule="exact"/>
              <w:rPr>
                <w:szCs w:val="21"/>
              </w:rPr>
            </w:pPr>
            <w:r>
              <w:rPr>
                <w:rFonts w:hint="eastAsia"/>
                <w:szCs w:val="21"/>
              </w:rPr>
              <w:t>6</w:t>
            </w:r>
          </w:p>
        </w:tc>
        <w:tc>
          <w:tcPr>
            <w:tcW w:w="719" w:type="pct"/>
            <w:vAlign w:val="center"/>
          </w:tcPr>
          <w:p w14:paraId="1FF8BB3D">
            <w:pPr>
              <w:pStyle w:val="61"/>
              <w:spacing w:line="300" w:lineRule="exact"/>
              <w:rPr>
                <w:szCs w:val="21"/>
              </w:rPr>
            </w:pPr>
            <w:r>
              <w:rPr>
                <w:szCs w:val="21"/>
              </w:rPr>
              <w:t>总磷</w:t>
            </w:r>
          </w:p>
        </w:tc>
        <w:tc>
          <w:tcPr>
            <w:tcW w:w="3784" w:type="pct"/>
            <w:vAlign w:val="center"/>
          </w:tcPr>
          <w:p w14:paraId="48F680A3">
            <w:pPr>
              <w:pStyle w:val="61"/>
              <w:spacing w:line="300" w:lineRule="exact"/>
              <w:rPr>
                <w:szCs w:val="21"/>
                <w:lang w:val="zh-CN"/>
              </w:rPr>
            </w:pPr>
            <w:r>
              <w:rPr>
                <w:rFonts w:hint="eastAsia"/>
                <w:szCs w:val="21"/>
              </w:rPr>
              <w:t>《</w:t>
            </w:r>
            <w:r>
              <w:rPr>
                <w:szCs w:val="21"/>
              </w:rPr>
              <w:t>水质 总磷的测定 钼酸铵分光光度法</w:t>
            </w:r>
            <w:r>
              <w:rPr>
                <w:rFonts w:hint="eastAsia"/>
                <w:szCs w:val="21"/>
              </w:rPr>
              <w:t>》</w:t>
            </w:r>
            <w:r>
              <w:rPr>
                <w:szCs w:val="21"/>
              </w:rPr>
              <w:t xml:space="preserve"> </w:t>
            </w:r>
            <w:r>
              <w:rPr>
                <w:rFonts w:hint="eastAsia"/>
                <w:szCs w:val="21"/>
              </w:rPr>
              <w:t>（</w:t>
            </w:r>
            <w:r>
              <w:rPr>
                <w:szCs w:val="21"/>
              </w:rPr>
              <w:t>GB 11893-1989</w:t>
            </w:r>
            <w:r>
              <w:rPr>
                <w:rFonts w:hint="eastAsia"/>
                <w:szCs w:val="21"/>
              </w:rPr>
              <w:t>）</w:t>
            </w:r>
            <w:r>
              <w:rPr>
                <w:szCs w:val="21"/>
              </w:rPr>
              <w:t xml:space="preserve"> </w:t>
            </w:r>
          </w:p>
        </w:tc>
      </w:tr>
      <w:tr w14:paraId="192BE7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pct"/>
            <w:vAlign w:val="center"/>
          </w:tcPr>
          <w:p w14:paraId="1FDDC7DA">
            <w:pPr>
              <w:pStyle w:val="61"/>
              <w:spacing w:line="300" w:lineRule="exact"/>
              <w:rPr>
                <w:szCs w:val="21"/>
              </w:rPr>
            </w:pPr>
            <w:r>
              <w:rPr>
                <w:rFonts w:hint="eastAsia"/>
                <w:szCs w:val="21"/>
              </w:rPr>
              <w:t>7</w:t>
            </w:r>
          </w:p>
        </w:tc>
        <w:tc>
          <w:tcPr>
            <w:tcW w:w="719" w:type="pct"/>
            <w:vAlign w:val="center"/>
          </w:tcPr>
          <w:p w14:paraId="116DC7EA">
            <w:pPr>
              <w:pStyle w:val="61"/>
              <w:spacing w:line="300" w:lineRule="exact"/>
              <w:rPr>
                <w:szCs w:val="21"/>
                <w:lang w:val="zh-CN"/>
              </w:rPr>
            </w:pPr>
            <w:r>
              <w:rPr>
                <w:szCs w:val="21"/>
              </w:rPr>
              <w:t>悬浮物</w:t>
            </w:r>
          </w:p>
        </w:tc>
        <w:tc>
          <w:tcPr>
            <w:tcW w:w="3784" w:type="pct"/>
            <w:vAlign w:val="center"/>
          </w:tcPr>
          <w:p w14:paraId="141C5EDA">
            <w:pPr>
              <w:pStyle w:val="61"/>
              <w:spacing w:line="300" w:lineRule="exact"/>
              <w:rPr>
                <w:szCs w:val="21"/>
                <w:lang w:val="zh-CN"/>
              </w:rPr>
            </w:pPr>
            <w:r>
              <w:rPr>
                <w:rFonts w:hint="eastAsia"/>
                <w:szCs w:val="21"/>
                <w:lang w:val="zh-CN"/>
              </w:rPr>
              <w:t>《</w:t>
            </w:r>
            <w:r>
              <w:rPr>
                <w:szCs w:val="21"/>
                <w:lang w:val="zh-CN"/>
              </w:rPr>
              <w:t>水质 悬浮物的测定 重量法</w:t>
            </w:r>
            <w:r>
              <w:rPr>
                <w:rFonts w:hint="eastAsia"/>
                <w:szCs w:val="21"/>
                <w:lang w:val="zh-CN"/>
              </w:rPr>
              <w:t>》</w:t>
            </w:r>
            <w:r>
              <w:rPr>
                <w:szCs w:val="21"/>
                <w:lang w:val="zh-CN"/>
              </w:rPr>
              <w:t xml:space="preserve">  </w:t>
            </w:r>
            <w:r>
              <w:rPr>
                <w:rFonts w:hint="eastAsia"/>
                <w:szCs w:val="21"/>
                <w:lang w:val="zh-CN"/>
              </w:rPr>
              <w:t>（</w:t>
            </w:r>
            <w:r>
              <w:rPr>
                <w:szCs w:val="21"/>
                <w:lang w:val="zh-CN"/>
              </w:rPr>
              <w:t>GB 11901-1989</w:t>
            </w:r>
            <w:r>
              <w:rPr>
                <w:rFonts w:hint="eastAsia"/>
                <w:szCs w:val="21"/>
                <w:lang w:val="zh-CN"/>
              </w:rPr>
              <w:t>）</w:t>
            </w:r>
          </w:p>
        </w:tc>
      </w:tr>
      <w:tr w14:paraId="411B5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pct"/>
            <w:vAlign w:val="center"/>
          </w:tcPr>
          <w:p w14:paraId="09AB63B4">
            <w:pPr>
              <w:pStyle w:val="61"/>
              <w:spacing w:line="300" w:lineRule="exact"/>
              <w:rPr>
                <w:szCs w:val="21"/>
              </w:rPr>
            </w:pPr>
            <w:r>
              <w:rPr>
                <w:rFonts w:hint="eastAsia"/>
                <w:szCs w:val="21"/>
              </w:rPr>
              <w:t>8</w:t>
            </w:r>
          </w:p>
        </w:tc>
        <w:tc>
          <w:tcPr>
            <w:tcW w:w="719" w:type="pct"/>
            <w:vAlign w:val="center"/>
          </w:tcPr>
          <w:p w14:paraId="05CB22DE">
            <w:pPr>
              <w:pStyle w:val="61"/>
              <w:spacing w:line="300" w:lineRule="exact"/>
              <w:rPr>
                <w:szCs w:val="21"/>
                <w:lang w:val="zh-CN"/>
              </w:rPr>
            </w:pPr>
            <w:r>
              <w:rPr>
                <w:szCs w:val="21"/>
              </w:rPr>
              <w:t>粪大肠菌群</w:t>
            </w:r>
          </w:p>
        </w:tc>
        <w:tc>
          <w:tcPr>
            <w:tcW w:w="3784" w:type="pct"/>
            <w:vAlign w:val="center"/>
          </w:tcPr>
          <w:p w14:paraId="6C831BBE">
            <w:pPr>
              <w:pStyle w:val="61"/>
              <w:spacing w:line="300" w:lineRule="exact"/>
              <w:rPr>
                <w:szCs w:val="21"/>
                <w:lang w:val="zh-CN"/>
              </w:rPr>
            </w:pPr>
            <w:r>
              <w:rPr>
                <w:rFonts w:hint="eastAsia"/>
                <w:szCs w:val="21"/>
                <w:lang w:val="zh-CN"/>
              </w:rPr>
              <w:t>《</w:t>
            </w:r>
            <w:r>
              <w:rPr>
                <w:szCs w:val="21"/>
                <w:lang w:val="zh-CN"/>
              </w:rPr>
              <w:t>水质 粪大肠菌群的测定 多管发酵法</w:t>
            </w:r>
            <w:r>
              <w:rPr>
                <w:rFonts w:hint="eastAsia"/>
                <w:szCs w:val="21"/>
                <w:lang w:val="zh-CN"/>
              </w:rPr>
              <w:t>》</w:t>
            </w:r>
            <w:r>
              <w:rPr>
                <w:szCs w:val="21"/>
                <w:lang w:val="zh-CN"/>
              </w:rPr>
              <w:t xml:space="preserve">  </w:t>
            </w:r>
            <w:r>
              <w:rPr>
                <w:rFonts w:hint="eastAsia"/>
                <w:szCs w:val="21"/>
                <w:lang w:val="zh-CN"/>
              </w:rPr>
              <w:t>（</w:t>
            </w:r>
            <w:r>
              <w:rPr>
                <w:szCs w:val="21"/>
                <w:lang w:val="zh-CN"/>
              </w:rPr>
              <w:t>HJ 347.2-2018</w:t>
            </w:r>
            <w:r>
              <w:rPr>
                <w:rFonts w:hint="eastAsia"/>
                <w:szCs w:val="21"/>
                <w:lang w:val="zh-CN"/>
              </w:rPr>
              <w:t>）</w:t>
            </w:r>
          </w:p>
        </w:tc>
      </w:tr>
    </w:tbl>
    <w:p w14:paraId="0A4A9948">
      <w:pPr>
        <w:ind w:firstLine="480" w:firstLineChars="200"/>
      </w:pPr>
      <w:r>
        <w:rPr>
          <w:rFonts w:hint="eastAsia"/>
        </w:rPr>
        <w:t>（4）评价标准</w:t>
      </w:r>
    </w:p>
    <w:p w14:paraId="2120A8D2">
      <w:pPr>
        <w:ind w:firstLine="480" w:firstLineChars="200"/>
      </w:pPr>
      <w:r>
        <w:rPr>
          <w:rFonts w:hint="eastAsia"/>
        </w:rPr>
        <w:t>根据《江苏省地表水（环境）功能区划（2021-2030）》，颜倪河水环境质量执行《地表水环境质量标准》（GB3838-2002）Ⅲ类标准。</w:t>
      </w:r>
    </w:p>
    <w:p w14:paraId="6F441877">
      <w:pPr>
        <w:snapToGrid w:val="0"/>
        <w:spacing w:line="540" w:lineRule="exact"/>
        <w:ind w:firstLine="480" w:firstLineChars="200"/>
        <w:rPr>
          <w:b/>
          <w:color w:val="000000"/>
          <w:szCs w:val="24"/>
        </w:rPr>
      </w:pPr>
      <w:r>
        <w:rPr>
          <w:rFonts w:hint="eastAsia"/>
          <w:color w:val="000000"/>
          <w:kern w:val="0"/>
          <w:szCs w:val="24"/>
        </w:rPr>
        <w:t>（5）</w:t>
      </w:r>
      <w:r>
        <w:rPr>
          <w:rFonts w:hAnsi="宋体"/>
          <w:color w:val="000000"/>
          <w:kern w:val="0"/>
          <w:szCs w:val="24"/>
        </w:rPr>
        <w:t>现状监测结果</w:t>
      </w:r>
    </w:p>
    <w:p w14:paraId="1E7301E4">
      <w:pPr>
        <w:snapToGrid w:val="0"/>
        <w:spacing w:line="540" w:lineRule="exact"/>
        <w:ind w:firstLine="480" w:firstLineChars="200"/>
        <w:rPr>
          <w:color w:val="000000"/>
          <w:szCs w:val="24"/>
        </w:rPr>
      </w:pPr>
      <w:r>
        <w:rPr>
          <w:rFonts w:hint="eastAsia" w:hAnsi="宋体"/>
          <w:color w:val="000000"/>
          <w:szCs w:val="24"/>
        </w:rPr>
        <w:t>项目地表水</w:t>
      </w:r>
      <w:r>
        <w:rPr>
          <w:rFonts w:hAnsi="宋体"/>
          <w:color w:val="000000"/>
          <w:szCs w:val="24"/>
        </w:rPr>
        <w:t>监测结果统计见表</w:t>
      </w:r>
      <w:r>
        <w:rPr>
          <w:color w:val="000000"/>
          <w:szCs w:val="24"/>
        </w:rPr>
        <w:t>4</w:t>
      </w:r>
      <w:r>
        <w:rPr>
          <w:rFonts w:hint="eastAsia"/>
          <w:color w:val="000000"/>
          <w:szCs w:val="24"/>
        </w:rPr>
        <w:t>.3-8</w:t>
      </w:r>
      <w:r>
        <w:rPr>
          <w:rFonts w:hAnsi="宋体"/>
          <w:color w:val="000000"/>
          <w:szCs w:val="24"/>
        </w:rPr>
        <w:t>。</w:t>
      </w:r>
    </w:p>
    <w:p w14:paraId="7DC6077B">
      <w:pPr>
        <w:pStyle w:val="11"/>
        <w:snapToGrid w:val="0"/>
        <w:spacing w:line="500" w:lineRule="exact"/>
        <w:ind w:firstLine="482"/>
        <w:jc w:val="center"/>
        <w:rPr>
          <w:rFonts w:hAnsi="宋体"/>
          <w:b/>
          <w:color w:val="000000"/>
          <w:sz w:val="24"/>
          <w:szCs w:val="24"/>
        </w:rPr>
      </w:pPr>
      <w:r>
        <w:rPr>
          <w:rFonts w:hAnsi="宋体"/>
          <w:b/>
          <w:color w:val="000000"/>
          <w:sz w:val="24"/>
          <w:szCs w:val="24"/>
        </w:rPr>
        <w:t>表</w:t>
      </w:r>
      <w:r>
        <w:rPr>
          <w:b/>
          <w:color w:val="000000"/>
          <w:sz w:val="24"/>
          <w:szCs w:val="24"/>
        </w:rPr>
        <w:t>4.</w:t>
      </w:r>
      <w:r>
        <w:rPr>
          <w:rFonts w:hint="eastAsia"/>
          <w:b/>
          <w:color w:val="000000"/>
          <w:sz w:val="24"/>
          <w:szCs w:val="24"/>
        </w:rPr>
        <w:t>3-8</w:t>
      </w:r>
      <w:r>
        <w:rPr>
          <w:b/>
          <w:color w:val="000000"/>
          <w:sz w:val="24"/>
          <w:szCs w:val="24"/>
        </w:rPr>
        <w:t xml:space="preserve"> </w:t>
      </w:r>
      <w:r>
        <w:rPr>
          <w:rFonts w:hAnsi="宋体"/>
          <w:b/>
          <w:color w:val="000000"/>
          <w:sz w:val="24"/>
          <w:szCs w:val="24"/>
        </w:rPr>
        <w:t>地表水水质监测结果表</w:t>
      </w:r>
      <w:r>
        <w:rPr>
          <w:rFonts w:hint="eastAsia" w:hAnsi="宋体"/>
          <w:b/>
          <w:color w:val="000000"/>
          <w:sz w:val="24"/>
          <w:szCs w:val="24"/>
        </w:rPr>
        <w:t xml:space="preserve">    </w:t>
      </w:r>
      <w:r>
        <w:rPr>
          <w:rFonts w:hAnsi="宋体"/>
          <w:b/>
          <w:bCs/>
          <w:sz w:val="24"/>
          <w:szCs w:val="24"/>
        </w:rPr>
        <w:t>单位：</w:t>
      </w:r>
      <w:r>
        <w:rPr>
          <w:b/>
          <w:bCs/>
          <w:sz w:val="24"/>
          <w:szCs w:val="24"/>
        </w:rPr>
        <w:t>mg/L</w:t>
      </w:r>
      <w:r>
        <w:rPr>
          <w:rFonts w:hAnsi="宋体"/>
          <w:b/>
          <w:bCs/>
          <w:sz w:val="24"/>
          <w:szCs w:val="24"/>
        </w:rPr>
        <w:t>（</w:t>
      </w:r>
      <w:r>
        <w:rPr>
          <w:b/>
          <w:bCs/>
          <w:sz w:val="24"/>
          <w:szCs w:val="24"/>
        </w:rPr>
        <w:t>pH</w:t>
      </w:r>
      <w:r>
        <w:rPr>
          <w:rFonts w:hAnsi="宋体"/>
          <w:b/>
          <w:bCs/>
          <w:sz w:val="24"/>
          <w:szCs w:val="24"/>
        </w:rPr>
        <w:t>无量纲）</w:t>
      </w:r>
    </w:p>
    <w:tbl>
      <w:tblPr>
        <w:tblStyle w:val="41"/>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520"/>
        <w:gridCol w:w="951"/>
        <w:gridCol w:w="418"/>
        <w:gridCol w:w="660"/>
        <w:gridCol w:w="711"/>
        <w:gridCol w:w="804"/>
        <w:gridCol w:w="660"/>
        <w:gridCol w:w="1048"/>
        <w:gridCol w:w="1048"/>
        <w:gridCol w:w="1400"/>
        <w:gridCol w:w="984"/>
      </w:tblGrid>
      <w:tr w14:paraId="6074427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81" w:type="pct"/>
            <w:vMerge w:val="restart"/>
            <w:tcMar>
              <w:left w:w="28" w:type="dxa"/>
              <w:right w:w="28" w:type="dxa"/>
            </w:tcMar>
            <w:vAlign w:val="center"/>
          </w:tcPr>
          <w:p w14:paraId="78ED917F">
            <w:pPr>
              <w:widowControl/>
              <w:adjustRightInd w:val="0"/>
              <w:snapToGrid w:val="0"/>
              <w:spacing w:line="280" w:lineRule="exact"/>
              <w:jc w:val="center"/>
              <w:rPr>
                <w:rFonts w:ascii="Times New Roman" w:eastAsia="宋体"/>
                <w:color w:val="000000"/>
                <w:sz w:val="21"/>
                <w:szCs w:val="21"/>
              </w:rPr>
            </w:pPr>
            <w:r>
              <w:rPr>
                <w:rFonts w:ascii="Times New Roman" w:hAnsi="宋体" w:eastAsia="宋体"/>
                <w:color w:val="000000"/>
                <w:sz w:val="21"/>
                <w:szCs w:val="21"/>
              </w:rPr>
              <w:t>监测断面</w:t>
            </w:r>
          </w:p>
        </w:tc>
        <w:tc>
          <w:tcPr>
            <w:tcW w:w="515" w:type="pct"/>
            <w:vMerge w:val="restart"/>
            <w:tcMar>
              <w:left w:w="28" w:type="dxa"/>
              <w:right w:w="28" w:type="dxa"/>
            </w:tcMar>
            <w:vAlign w:val="center"/>
          </w:tcPr>
          <w:p w14:paraId="2D441BD5">
            <w:pPr>
              <w:widowControl/>
              <w:adjustRightInd w:val="0"/>
              <w:snapToGrid w:val="0"/>
              <w:spacing w:line="280" w:lineRule="exact"/>
              <w:jc w:val="center"/>
              <w:rPr>
                <w:rFonts w:ascii="Times New Roman" w:eastAsia="宋体"/>
                <w:color w:val="000000"/>
                <w:sz w:val="21"/>
                <w:szCs w:val="21"/>
              </w:rPr>
            </w:pPr>
            <w:r>
              <w:rPr>
                <w:rFonts w:ascii="Times New Roman" w:hAnsi="宋体" w:eastAsia="宋体"/>
                <w:color w:val="000000"/>
                <w:sz w:val="21"/>
                <w:szCs w:val="21"/>
              </w:rPr>
              <w:t>项目</w:t>
            </w:r>
          </w:p>
        </w:tc>
        <w:tc>
          <w:tcPr>
            <w:tcW w:w="4203" w:type="pct"/>
            <w:gridSpan w:val="9"/>
            <w:vAlign w:val="center"/>
          </w:tcPr>
          <w:p w14:paraId="29ACC748">
            <w:pPr>
              <w:widowControl/>
              <w:adjustRightInd w:val="0"/>
              <w:snapToGrid w:val="0"/>
              <w:spacing w:line="280" w:lineRule="exact"/>
              <w:jc w:val="center"/>
              <w:rPr>
                <w:rFonts w:ascii="Times New Roman" w:hAnsi="宋体" w:eastAsia="宋体"/>
                <w:color w:val="000000"/>
                <w:sz w:val="21"/>
                <w:szCs w:val="21"/>
              </w:rPr>
            </w:pPr>
            <w:r>
              <w:rPr>
                <w:rFonts w:ascii="Times New Roman" w:hAnsi="宋体" w:eastAsia="宋体"/>
                <w:color w:val="000000"/>
                <w:sz w:val="21"/>
                <w:szCs w:val="21"/>
              </w:rPr>
              <w:t>监测因子</w:t>
            </w:r>
          </w:p>
        </w:tc>
      </w:tr>
      <w:tr w14:paraId="6B746EA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81" w:type="pct"/>
            <w:vMerge w:val="continue"/>
            <w:vAlign w:val="center"/>
          </w:tcPr>
          <w:p w14:paraId="474F0B58">
            <w:pPr>
              <w:widowControl/>
              <w:adjustRightInd w:val="0"/>
              <w:snapToGrid w:val="0"/>
              <w:spacing w:line="280" w:lineRule="exact"/>
              <w:jc w:val="center"/>
              <w:rPr>
                <w:rFonts w:ascii="Times New Roman" w:eastAsia="宋体"/>
                <w:color w:val="000000"/>
                <w:sz w:val="21"/>
                <w:szCs w:val="21"/>
              </w:rPr>
            </w:pPr>
          </w:p>
        </w:tc>
        <w:tc>
          <w:tcPr>
            <w:tcW w:w="515" w:type="pct"/>
            <w:vMerge w:val="continue"/>
            <w:vAlign w:val="center"/>
          </w:tcPr>
          <w:p w14:paraId="10F4CB36">
            <w:pPr>
              <w:widowControl/>
              <w:adjustRightInd w:val="0"/>
              <w:snapToGrid w:val="0"/>
              <w:spacing w:line="280" w:lineRule="exact"/>
              <w:jc w:val="center"/>
              <w:rPr>
                <w:rFonts w:ascii="Times New Roman" w:eastAsia="宋体"/>
                <w:color w:val="000000"/>
                <w:sz w:val="21"/>
                <w:szCs w:val="21"/>
              </w:rPr>
            </w:pPr>
          </w:p>
        </w:tc>
        <w:tc>
          <w:tcPr>
            <w:tcW w:w="228" w:type="pct"/>
            <w:tcMar>
              <w:left w:w="28" w:type="dxa"/>
              <w:right w:w="28" w:type="dxa"/>
            </w:tcMar>
            <w:vAlign w:val="center"/>
          </w:tcPr>
          <w:p w14:paraId="7DB19C59">
            <w:pPr>
              <w:pStyle w:val="97"/>
              <w:spacing w:line="280" w:lineRule="exact"/>
              <w:rPr>
                <w:rFonts w:eastAsia="宋体"/>
                <w:color w:val="000000" w:themeColor="text1"/>
                <w:sz w:val="21"/>
                <w:szCs w:val="21"/>
                <w14:textFill>
                  <w14:solidFill>
                    <w14:schemeClr w14:val="tx1"/>
                  </w14:solidFill>
                </w14:textFill>
              </w:rPr>
            </w:pPr>
            <w:r>
              <w:rPr>
                <w:rFonts w:eastAsia="宋体"/>
                <w:b w:val="0"/>
                <w:color w:val="000000" w:themeColor="text1"/>
                <w:sz w:val="21"/>
                <w:szCs w:val="21"/>
                <w14:textFill>
                  <w14:solidFill>
                    <w14:schemeClr w14:val="tx1"/>
                  </w14:solidFill>
                </w14:textFill>
              </w:rPr>
              <w:t>pH</w:t>
            </w:r>
          </w:p>
        </w:tc>
        <w:tc>
          <w:tcPr>
            <w:tcW w:w="356" w:type="pct"/>
            <w:vAlign w:val="center"/>
          </w:tcPr>
          <w:p w14:paraId="3E7FBEB0">
            <w:pPr>
              <w:spacing w:line="280" w:lineRule="exact"/>
              <w:jc w:val="center"/>
              <w:rPr>
                <w:rFonts w:ascii="Times New Roman" w:eastAsia="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p>
        </w:tc>
        <w:tc>
          <w:tcPr>
            <w:tcW w:w="387" w:type="pct"/>
            <w:vAlign w:val="center"/>
          </w:tcPr>
          <w:p w14:paraId="107A5566">
            <w:pPr>
              <w:spacing w:line="280" w:lineRule="exact"/>
              <w:jc w:val="center"/>
              <w:rPr>
                <w:rFonts w:ascii="Times New Roman" w:eastAsia="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DO</w:t>
            </w:r>
          </w:p>
        </w:tc>
        <w:tc>
          <w:tcPr>
            <w:tcW w:w="437" w:type="pct"/>
            <w:vAlign w:val="center"/>
          </w:tcPr>
          <w:p w14:paraId="4F3A4EBE">
            <w:pPr>
              <w:spacing w:line="280" w:lineRule="exact"/>
              <w:jc w:val="center"/>
              <w:rPr>
                <w:rFonts w:ascii="Times New Roman" w:eastAsia="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BOD</w:t>
            </w:r>
            <w:r>
              <w:rPr>
                <w:color w:val="000000" w:themeColor="text1"/>
                <w:sz w:val="21"/>
                <w:szCs w:val="21"/>
                <w:vertAlign w:val="subscript"/>
                <w14:textFill>
                  <w14:solidFill>
                    <w14:schemeClr w14:val="tx1"/>
                  </w14:solidFill>
                </w14:textFill>
              </w:rPr>
              <w:t>5</w:t>
            </w:r>
          </w:p>
        </w:tc>
        <w:tc>
          <w:tcPr>
            <w:tcW w:w="359" w:type="pct"/>
            <w:vAlign w:val="center"/>
          </w:tcPr>
          <w:p w14:paraId="38050F31">
            <w:pPr>
              <w:spacing w:line="280" w:lineRule="exact"/>
              <w:jc w:val="center"/>
              <w:rPr>
                <w:rFonts w:ascii="Times New Roman" w:eastAsia="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SS</w:t>
            </w:r>
          </w:p>
        </w:tc>
        <w:tc>
          <w:tcPr>
            <w:tcW w:w="570" w:type="pct"/>
            <w:vAlign w:val="center"/>
          </w:tcPr>
          <w:p w14:paraId="555BFAB1">
            <w:pPr>
              <w:spacing w:line="280" w:lineRule="exact"/>
              <w:jc w:val="center"/>
              <w:rPr>
                <w:rFonts w:ascii="Times New Roman" w:eastAsia="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NH</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-N</w:t>
            </w:r>
          </w:p>
        </w:tc>
        <w:tc>
          <w:tcPr>
            <w:tcW w:w="570" w:type="pct"/>
            <w:vAlign w:val="center"/>
          </w:tcPr>
          <w:p w14:paraId="090B2A8A">
            <w:pPr>
              <w:spacing w:line="280" w:lineRule="exact"/>
              <w:jc w:val="center"/>
              <w:rPr>
                <w:rFonts w:ascii="Times New Roman" w:hAnsi="宋体" w:eastAsia="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TP</w:t>
            </w:r>
          </w:p>
        </w:tc>
        <w:tc>
          <w:tcPr>
            <w:tcW w:w="761" w:type="pct"/>
            <w:vAlign w:val="center"/>
          </w:tcPr>
          <w:p w14:paraId="20469E9A">
            <w:pPr>
              <w:spacing w:line="280" w:lineRule="exact"/>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粪大肠菌群</w:t>
            </w:r>
          </w:p>
          <w:p w14:paraId="2A1E2AB7">
            <w:pPr>
              <w:spacing w:line="280" w:lineRule="exact"/>
              <w:jc w:val="center"/>
              <w:rPr>
                <w:rFonts w:ascii="Times New Roman" w:eastAsia="宋体"/>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w:t>
            </w:r>
            <w:r>
              <w:rPr>
                <w:rFonts w:hint="eastAsia" w:hAnsi="宋体"/>
                <w:color w:val="000000" w:themeColor="text1"/>
                <w:sz w:val="21"/>
                <w:szCs w:val="21"/>
                <w14:textFill>
                  <w14:solidFill>
                    <w14:schemeClr w14:val="tx1"/>
                  </w14:solidFill>
                </w14:textFill>
              </w:rPr>
              <w:t>CFU</w:t>
            </w:r>
            <w:r>
              <w:rPr>
                <w:color w:val="000000" w:themeColor="text1"/>
                <w:sz w:val="21"/>
                <w:szCs w:val="21"/>
                <w14:textFill>
                  <w14:solidFill>
                    <w14:schemeClr w14:val="tx1"/>
                  </w14:solidFill>
                </w14:textFill>
              </w:rPr>
              <w:t>/L</w:t>
            </w:r>
            <w:r>
              <w:rPr>
                <w:rFonts w:hAnsi="宋体"/>
                <w:color w:val="000000" w:themeColor="text1"/>
                <w:sz w:val="21"/>
                <w:szCs w:val="21"/>
                <w14:textFill>
                  <w14:solidFill>
                    <w14:schemeClr w14:val="tx1"/>
                  </w14:solidFill>
                </w14:textFill>
              </w:rPr>
              <w:t>）</w:t>
            </w:r>
          </w:p>
        </w:tc>
        <w:tc>
          <w:tcPr>
            <w:tcW w:w="529" w:type="pct"/>
            <w:vAlign w:val="center"/>
          </w:tcPr>
          <w:p w14:paraId="14A04DBC">
            <w:pPr>
              <w:spacing w:line="280" w:lineRule="exact"/>
              <w:jc w:val="center"/>
              <w:rPr>
                <w:rFonts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水温（</w:t>
            </w:r>
            <w:r>
              <w:rPr>
                <w:rFonts w:hint="eastAsia" w:ascii="宋体" w:hAnsi="宋体" w:eastAsia="宋体" w:cs="宋体"/>
                <w:color w:val="000000" w:themeColor="text1"/>
                <w:sz w:val="21"/>
                <w:szCs w:val="21"/>
                <w14:textFill>
                  <w14:solidFill>
                    <w14:schemeClr w14:val="tx1"/>
                  </w14:solidFill>
                </w14:textFill>
              </w:rPr>
              <w:t>℃</w:t>
            </w:r>
            <w:r>
              <w:rPr>
                <w:rFonts w:hint="eastAsia" w:hAnsi="宋体"/>
                <w:color w:val="000000" w:themeColor="text1"/>
                <w:sz w:val="21"/>
                <w:szCs w:val="21"/>
                <w14:textFill>
                  <w14:solidFill>
                    <w14:schemeClr w14:val="tx1"/>
                  </w14:solidFill>
                </w14:textFill>
              </w:rPr>
              <w:t>）</w:t>
            </w:r>
          </w:p>
        </w:tc>
      </w:tr>
      <w:tr w14:paraId="56ACAC7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81" w:type="pct"/>
            <w:vMerge w:val="restart"/>
            <w:vAlign w:val="center"/>
          </w:tcPr>
          <w:p w14:paraId="5E74F679">
            <w:pPr>
              <w:widowControl/>
              <w:adjustRightInd w:val="0"/>
              <w:snapToGrid w:val="0"/>
              <w:spacing w:line="280" w:lineRule="exact"/>
              <w:jc w:val="center"/>
              <w:rPr>
                <w:rFonts w:ascii="Times New Roman" w:eastAsia="宋体"/>
                <w:color w:val="000000"/>
                <w:sz w:val="21"/>
                <w:szCs w:val="21"/>
              </w:rPr>
            </w:pPr>
            <w:r>
              <w:rPr>
                <w:rFonts w:ascii="Times New Roman" w:eastAsia="宋体"/>
                <w:color w:val="000000"/>
                <w:sz w:val="21"/>
                <w:szCs w:val="21"/>
              </w:rPr>
              <w:t>W1</w:t>
            </w:r>
          </w:p>
        </w:tc>
        <w:tc>
          <w:tcPr>
            <w:tcW w:w="515" w:type="pct"/>
            <w:vAlign w:val="center"/>
          </w:tcPr>
          <w:p w14:paraId="5124EC97">
            <w:pPr>
              <w:widowControl/>
              <w:adjustRightInd w:val="0"/>
              <w:snapToGrid w:val="0"/>
              <w:spacing w:line="280" w:lineRule="exact"/>
              <w:jc w:val="center"/>
              <w:rPr>
                <w:rFonts w:ascii="Times New Roman" w:eastAsia="宋体"/>
                <w:color w:val="000000"/>
                <w:sz w:val="21"/>
                <w:szCs w:val="21"/>
              </w:rPr>
            </w:pPr>
            <w:r>
              <w:rPr>
                <w:rFonts w:hint="eastAsia" w:ascii="Times New Roman" w:eastAsia="宋体"/>
                <w:color w:val="000000"/>
                <w:sz w:val="21"/>
                <w:szCs w:val="21"/>
              </w:rPr>
              <w:t>2024.7.2</w:t>
            </w:r>
          </w:p>
        </w:tc>
        <w:tc>
          <w:tcPr>
            <w:tcW w:w="228" w:type="pct"/>
            <w:tcMar>
              <w:left w:w="28" w:type="dxa"/>
              <w:right w:w="28" w:type="dxa"/>
            </w:tcMar>
            <w:vAlign w:val="center"/>
          </w:tcPr>
          <w:p w14:paraId="1E641D2D">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356" w:type="pct"/>
            <w:vAlign w:val="center"/>
          </w:tcPr>
          <w:p w14:paraId="538A1C20">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387" w:type="pct"/>
            <w:vAlign w:val="center"/>
          </w:tcPr>
          <w:p w14:paraId="4363109A">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437" w:type="pct"/>
            <w:vAlign w:val="center"/>
          </w:tcPr>
          <w:p w14:paraId="7169D83B">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359" w:type="pct"/>
            <w:vAlign w:val="center"/>
          </w:tcPr>
          <w:p w14:paraId="6DE7E7E6">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570" w:type="pct"/>
            <w:vAlign w:val="center"/>
          </w:tcPr>
          <w:p w14:paraId="115CD173">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570" w:type="pct"/>
            <w:vAlign w:val="center"/>
          </w:tcPr>
          <w:p w14:paraId="4AB506B0">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761" w:type="pct"/>
            <w:vAlign w:val="center"/>
          </w:tcPr>
          <w:p w14:paraId="1D3D5144">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529" w:type="pct"/>
            <w:vAlign w:val="center"/>
          </w:tcPr>
          <w:p w14:paraId="337B8DAE">
            <w:pPr>
              <w:widowControl/>
              <w:adjustRightInd w:val="0"/>
              <w:snapToGrid w:val="0"/>
              <w:spacing w:line="280" w:lineRule="exact"/>
              <w:jc w:val="center"/>
              <w:rPr>
                <w:rFonts w:hint="eastAsia" w:ascii="TimesNewRomanPSMT" w:hAnsi="TimesNewRomanPSMT" w:eastAsia="宋体"/>
                <w:color w:val="000000" w:themeColor="text1"/>
                <w:sz w:val="21"/>
                <w:szCs w:val="24"/>
                <w14:textFill>
                  <w14:solidFill>
                    <w14:schemeClr w14:val="tx1"/>
                  </w14:solidFill>
                </w14:textFill>
              </w:rPr>
            </w:pPr>
          </w:p>
        </w:tc>
      </w:tr>
      <w:tr w14:paraId="45435A1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81" w:type="pct"/>
            <w:vMerge w:val="continue"/>
            <w:vAlign w:val="center"/>
          </w:tcPr>
          <w:p w14:paraId="6688C86B">
            <w:pPr>
              <w:widowControl/>
              <w:adjustRightInd w:val="0"/>
              <w:snapToGrid w:val="0"/>
              <w:spacing w:line="280" w:lineRule="exact"/>
              <w:jc w:val="center"/>
              <w:rPr>
                <w:rFonts w:ascii="Times New Roman" w:eastAsia="宋体"/>
                <w:color w:val="000000"/>
                <w:sz w:val="21"/>
                <w:szCs w:val="21"/>
              </w:rPr>
            </w:pPr>
          </w:p>
        </w:tc>
        <w:tc>
          <w:tcPr>
            <w:tcW w:w="515" w:type="pct"/>
            <w:vAlign w:val="center"/>
          </w:tcPr>
          <w:p w14:paraId="038B47C7">
            <w:pPr>
              <w:widowControl/>
              <w:adjustRightInd w:val="0"/>
              <w:snapToGrid w:val="0"/>
              <w:spacing w:line="280" w:lineRule="exact"/>
              <w:jc w:val="center"/>
              <w:rPr>
                <w:rFonts w:ascii="Times New Roman" w:eastAsia="宋体"/>
                <w:color w:val="000000"/>
                <w:sz w:val="21"/>
                <w:szCs w:val="21"/>
              </w:rPr>
            </w:pPr>
            <w:r>
              <w:rPr>
                <w:rFonts w:hint="eastAsia" w:ascii="Times New Roman" w:eastAsia="宋体"/>
                <w:color w:val="000000"/>
                <w:sz w:val="21"/>
                <w:szCs w:val="21"/>
              </w:rPr>
              <w:t>2024.7.3</w:t>
            </w:r>
          </w:p>
        </w:tc>
        <w:tc>
          <w:tcPr>
            <w:tcW w:w="228" w:type="pct"/>
            <w:tcMar>
              <w:left w:w="28" w:type="dxa"/>
              <w:right w:w="28" w:type="dxa"/>
            </w:tcMar>
            <w:vAlign w:val="center"/>
          </w:tcPr>
          <w:p w14:paraId="0E04F146">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356" w:type="pct"/>
            <w:vAlign w:val="center"/>
          </w:tcPr>
          <w:p w14:paraId="1C26B0CB">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387" w:type="pct"/>
            <w:vAlign w:val="center"/>
          </w:tcPr>
          <w:p w14:paraId="154E1F2D">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437" w:type="pct"/>
            <w:vAlign w:val="center"/>
          </w:tcPr>
          <w:p w14:paraId="186D0658">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359" w:type="pct"/>
            <w:vAlign w:val="center"/>
          </w:tcPr>
          <w:p w14:paraId="2D3EE68E">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570" w:type="pct"/>
            <w:vAlign w:val="center"/>
          </w:tcPr>
          <w:p w14:paraId="702C9CB1">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570" w:type="pct"/>
            <w:vAlign w:val="center"/>
          </w:tcPr>
          <w:p w14:paraId="3A35E532">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761" w:type="pct"/>
            <w:vAlign w:val="center"/>
          </w:tcPr>
          <w:p w14:paraId="07D4F5E2">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529" w:type="pct"/>
            <w:vAlign w:val="center"/>
          </w:tcPr>
          <w:p w14:paraId="217BD4EF">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r>
      <w:tr w14:paraId="54DB640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81" w:type="pct"/>
            <w:vMerge w:val="continue"/>
            <w:vAlign w:val="center"/>
          </w:tcPr>
          <w:p w14:paraId="779CA494">
            <w:pPr>
              <w:widowControl/>
              <w:adjustRightInd w:val="0"/>
              <w:snapToGrid w:val="0"/>
              <w:spacing w:line="280" w:lineRule="exact"/>
              <w:jc w:val="center"/>
              <w:rPr>
                <w:rFonts w:ascii="Times New Roman" w:eastAsia="宋体"/>
                <w:color w:val="000000"/>
                <w:sz w:val="21"/>
                <w:szCs w:val="21"/>
              </w:rPr>
            </w:pPr>
          </w:p>
        </w:tc>
        <w:tc>
          <w:tcPr>
            <w:tcW w:w="515" w:type="pct"/>
            <w:vAlign w:val="center"/>
          </w:tcPr>
          <w:p w14:paraId="29CEDEC2">
            <w:pPr>
              <w:widowControl/>
              <w:adjustRightInd w:val="0"/>
              <w:snapToGrid w:val="0"/>
              <w:spacing w:line="280" w:lineRule="exact"/>
              <w:jc w:val="center"/>
              <w:rPr>
                <w:rFonts w:ascii="Times New Roman" w:eastAsia="宋体"/>
                <w:color w:val="000000"/>
                <w:sz w:val="21"/>
                <w:szCs w:val="21"/>
              </w:rPr>
            </w:pPr>
            <w:r>
              <w:rPr>
                <w:rFonts w:hint="eastAsia" w:ascii="Times New Roman" w:eastAsia="宋体"/>
                <w:color w:val="000000"/>
                <w:sz w:val="21"/>
                <w:szCs w:val="21"/>
              </w:rPr>
              <w:t>2024.7.4</w:t>
            </w:r>
          </w:p>
        </w:tc>
        <w:tc>
          <w:tcPr>
            <w:tcW w:w="228" w:type="pct"/>
            <w:tcMar>
              <w:left w:w="28" w:type="dxa"/>
              <w:right w:w="28" w:type="dxa"/>
            </w:tcMar>
            <w:vAlign w:val="center"/>
          </w:tcPr>
          <w:p w14:paraId="2F966EC0">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356" w:type="pct"/>
            <w:vAlign w:val="center"/>
          </w:tcPr>
          <w:p w14:paraId="6B56C644">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387" w:type="pct"/>
            <w:vAlign w:val="center"/>
          </w:tcPr>
          <w:p w14:paraId="5510F39A">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437" w:type="pct"/>
            <w:vAlign w:val="center"/>
          </w:tcPr>
          <w:p w14:paraId="490D7AC5">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359" w:type="pct"/>
            <w:vAlign w:val="center"/>
          </w:tcPr>
          <w:p w14:paraId="2847B22D">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570" w:type="pct"/>
            <w:vAlign w:val="center"/>
          </w:tcPr>
          <w:p w14:paraId="3504586C">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570" w:type="pct"/>
            <w:vAlign w:val="center"/>
          </w:tcPr>
          <w:p w14:paraId="06B925DF">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761" w:type="pct"/>
            <w:vAlign w:val="center"/>
          </w:tcPr>
          <w:p w14:paraId="617B428C">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529" w:type="pct"/>
            <w:vAlign w:val="center"/>
          </w:tcPr>
          <w:p w14:paraId="6E77B444">
            <w:pPr>
              <w:widowControl/>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r>
      <w:tr w14:paraId="5A1B2FE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81" w:type="pct"/>
            <w:vMerge w:val="continue"/>
            <w:vAlign w:val="center"/>
          </w:tcPr>
          <w:p w14:paraId="3328B459">
            <w:pPr>
              <w:widowControl/>
              <w:adjustRightInd w:val="0"/>
              <w:snapToGrid w:val="0"/>
              <w:spacing w:line="280" w:lineRule="exact"/>
              <w:jc w:val="center"/>
              <w:rPr>
                <w:rFonts w:ascii="Times New Roman" w:eastAsia="宋体"/>
                <w:color w:val="000000"/>
                <w:sz w:val="21"/>
                <w:szCs w:val="21"/>
              </w:rPr>
            </w:pPr>
          </w:p>
        </w:tc>
        <w:tc>
          <w:tcPr>
            <w:tcW w:w="515" w:type="pct"/>
            <w:vAlign w:val="center"/>
          </w:tcPr>
          <w:p w14:paraId="71F45358">
            <w:pPr>
              <w:widowControl/>
              <w:adjustRightInd w:val="0"/>
              <w:snapToGrid w:val="0"/>
              <w:spacing w:line="280" w:lineRule="exact"/>
              <w:jc w:val="center"/>
              <w:rPr>
                <w:rFonts w:ascii="Times New Roman" w:eastAsia="宋体"/>
                <w:color w:val="000000"/>
                <w:sz w:val="21"/>
                <w:szCs w:val="21"/>
              </w:rPr>
            </w:pPr>
            <w:r>
              <w:rPr>
                <w:rFonts w:ascii="Times New Roman" w:hAnsi="宋体" w:eastAsia="宋体"/>
                <w:color w:val="000000"/>
                <w:sz w:val="21"/>
                <w:szCs w:val="21"/>
              </w:rPr>
              <w:t>平均值</w:t>
            </w:r>
          </w:p>
        </w:tc>
        <w:tc>
          <w:tcPr>
            <w:tcW w:w="228" w:type="pct"/>
            <w:tcMar>
              <w:left w:w="28" w:type="dxa"/>
              <w:right w:w="28" w:type="dxa"/>
            </w:tcMar>
            <w:vAlign w:val="center"/>
          </w:tcPr>
          <w:p w14:paraId="25CD55F9">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356" w:type="pct"/>
            <w:vAlign w:val="center"/>
          </w:tcPr>
          <w:p w14:paraId="350569F6">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387" w:type="pct"/>
            <w:vAlign w:val="center"/>
          </w:tcPr>
          <w:p w14:paraId="39A0EE5F">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437" w:type="pct"/>
            <w:vAlign w:val="center"/>
          </w:tcPr>
          <w:p w14:paraId="46B51EE1">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359" w:type="pct"/>
            <w:vAlign w:val="center"/>
          </w:tcPr>
          <w:p w14:paraId="66F4F5AD">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570" w:type="pct"/>
            <w:vAlign w:val="center"/>
          </w:tcPr>
          <w:p w14:paraId="1FE7FB21">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570" w:type="pct"/>
            <w:vAlign w:val="center"/>
          </w:tcPr>
          <w:p w14:paraId="086CB2FE">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761" w:type="pct"/>
            <w:vAlign w:val="center"/>
          </w:tcPr>
          <w:p w14:paraId="410919ED">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529" w:type="pct"/>
            <w:vAlign w:val="center"/>
          </w:tcPr>
          <w:p w14:paraId="0EF730FB">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r>
    </w:tbl>
    <w:p w14:paraId="3768F150">
      <w:pPr>
        <w:ind w:firstLine="480" w:firstLineChars="200"/>
      </w:pPr>
      <w:r>
        <w:rPr>
          <w:rFonts w:hint="eastAsia"/>
        </w:rPr>
        <w:t>（6）地表水环境质量现状评价</w:t>
      </w:r>
    </w:p>
    <w:p w14:paraId="50B149DE">
      <w:pPr>
        <w:ind w:firstLine="480" w:firstLineChars="200"/>
      </w:pPr>
      <w:r>
        <w:rPr>
          <w:rFonts w:hint="eastAsia"/>
        </w:rPr>
        <w:t>采用单项水质参数评价模式，在各项水质参数评价中，对某一水质参数的现状浓度采用多次监测的平均浓度值。单因子污染指数计算公式为：</w:t>
      </w:r>
    </w:p>
    <w:p w14:paraId="3C93ABD5">
      <w:pPr>
        <w:ind w:firstLine="480" w:firstLineChars="200"/>
      </w:pPr>
      <m:oMathPara>
        <m:oMath>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ij</m:t>
              </m:r>
              <m:ctrlPr>
                <w:rPr>
                  <w:rFonts w:ascii="Cambria Math" w:hAnsi="Cambria Math"/>
                  <w:i/>
                </w:rPr>
              </m:ctrlPr>
            </m:sub>
          </m:sSub>
          <m:r>
            <m:rPr/>
            <w:rPr>
              <w:rFonts w:ascii="Cambria Math" w:hAnsi="Cambria Math"/>
            </w:rPr>
            <m:t>=</m:t>
          </m:r>
          <m:f>
            <m:fPr>
              <m:type m:val="lin"/>
              <m:ctrlPr>
                <w:rPr>
                  <w:rFonts w:ascii="Cambria Math" w:hAnsi="Cambria Math"/>
                  <w:i/>
                </w:rPr>
              </m:ctrlPr>
            </m:fPr>
            <m:num>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ij</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Sj</m:t>
                  </m:r>
                  <m:ctrlPr>
                    <w:rPr>
                      <w:rFonts w:ascii="Cambria Math" w:hAnsi="Cambria Math"/>
                      <w:i/>
                    </w:rPr>
                  </m:ctrlPr>
                </m:sub>
              </m:sSub>
              <m:ctrlPr>
                <w:rPr>
                  <w:rFonts w:ascii="Cambria Math" w:hAnsi="Cambria Math"/>
                  <w:i/>
                </w:rPr>
              </m:ctrlPr>
            </m:den>
          </m:f>
        </m:oMath>
      </m:oMathPara>
    </w:p>
    <w:p w14:paraId="4803EF65">
      <w:pPr>
        <w:ind w:firstLine="480" w:firstLineChars="200"/>
      </w:pPr>
      <w:r>
        <w:rPr>
          <w:rFonts w:hint="eastAsia"/>
        </w:rPr>
        <w:t>式中：</w:t>
      </w:r>
      <w:r>
        <w:rPr>
          <w:rFonts w:hint="eastAsia"/>
          <w:i/>
          <w:iCs/>
        </w:rPr>
        <w:t>S</w:t>
      </w:r>
      <w:r>
        <w:rPr>
          <w:rFonts w:hint="eastAsia"/>
          <w:i/>
          <w:iCs/>
          <w:vertAlign w:val="subscript"/>
        </w:rPr>
        <w:t>ij</w:t>
      </w:r>
      <w:r>
        <w:rPr>
          <w:rFonts w:hint="eastAsia"/>
        </w:rPr>
        <w:t>：第</w:t>
      </w:r>
      <w:r>
        <w:rPr>
          <w:rFonts w:hint="eastAsia"/>
          <w:i/>
          <w:iCs/>
        </w:rPr>
        <w:t>i</w:t>
      </w:r>
      <w:r>
        <w:rPr>
          <w:rFonts w:hint="eastAsia"/>
        </w:rPr>
        <w:t>种污染物在第</w:t>
      </w:r>
      <w:r>
        <w:rPr>
          <w:rFonts w:hint="eastAsia"/>
          <w:i/>
          <w:iCs/>
        </w:rPr>
        <w:t>j</w:t>
      </w:r>
      <w:r>
        <w:rPr>
          <w:rFonts w:hint="eastAsia"/>
        </w:rPr>
        <w:t>点的标准指数；</w:t>
      </w:r>
    </w:p>
    <w:p w14:paraId="13D36BD0">
      <w:pPr>
        <w:ind w:firstLine="1200" w:firstLineChars="500"/>
      </w:pPr>
      <w:r>
        <w:rPr>
          <w:rFonts w:hint="eastAsia"/>
          <w:i/>
          <w:iCs/>
        </w:rPr>
        <w:t>C</w:t>
      </w:r>
      <w:r>
        <w:rPr>
          <w:rFonts w:hint="eastAsia"/>
          <w:i/>
          <w:iCs/>
          <w:vertAlign w:val="subscript"/>
        </w:rPr>
        <w:t>ij</w:t>
      </w:r>
      <w:r>
        <w:rPr>
          <w:rFonts w:hint="eastAsia"/>
        </w:rPr>
        <w:t>：第</w:t>
      </w:r>
      <w:r>
        <w:rPr>
          <w:rFonts w:hint="eastAsia"/>
          <w:i/>
          <w:iCs/>
        </w:rPr>
        <w:t>i</w:t>
      </w:r>
      <w:r>
        <w:rPr>
          <w:rFonts w:hint="eastAsia"/>
        </w:rPr>
        <w:t>种污染物在第</w:t>
      </w:r>
      <w:r>
        <w:rPr>
          <w:rFonts w:hint="eastAsia"/>
          <w:i/>
          <w:iCs/>
        </w:rPr>
        <w:t>j</w:t>
      </w:r>
      <w:r>
        <w:rPr>
          <w:rFonts w:hint="eastAsia"/>
        </w:rPr>
        <w:t>点的监测平均浓度值，mg/L；</w:t>
      </w:r>
    </w:p>
    <w:p w14:paraId="3E680AC4">
      <w:pPr>
        <w:ind w:firstLine="1200" w:firstLineChars="500"/>
      </w:pPr>
      <w:r>
        <w:rPr>
          <w:rFonts w:hint="eastAsia"/>
          <w:i/>
          <w:iCs/>
        </w:rPr>
        <w:t>C</w:t>
      </w:r>
      <w:r>
        <w:rPr>
          <w:rFonts w:hint="eastAsia"/>
          <w:i/>
          <w:iCs/>
          <w:vertAlign w:val="subscript"/>
        </w:rPr>
        <w:t>Sj</w:t>
      </w:r>
      <w:r>
        <w:rPr>
          <w:rFonts w:hint="eastAsia"/>
        </w:rPr>
        <w:t>：第</w:t>
      </w:r>
      <w:r>
        <w:rPr>
          <w:rFonts w:hint="eastAsia"/>
          <w:i/>
          <w:iCs/>
        </w:rPr>
        <w:t>i</w:t>
      </w:r>
      <w:r>
        <w:rPr>
          <w:rFonts w:hint="eastAsia"/>
        </w:rPr>
        <w:t>种污染物的地表水水质标准值，mg/L；</w:t>
      </w:r>
    </w:p>
    <w:p w14:paraId="0CAC2712">
      <w:pPr>
        <w:ind w:firstLine="480" w:firstLineChars="200"/>
      </w:pPr>
      <w:r>
        <w:rPr>
          <w:rFonts w:hint="eastAsia"/>
        </w:rPr>
        <w:t>其中pH的标准指数为：</w:t>
      </w:r>
    </w:p>
    <w:p w14:paraId="0D634B66">
      <w:pPr>
        <w:jc w:val="center"/>
        <w:rPr>
          <w:szCs w:val="24"/>
        </w:rPr>
      </w:pPr>
      <w:r>
        <w:rPr>
          <w:szCs w:val="24"/>
        </w:rPr>
        <w:drawing>
          <wp:inline distT="0" distB="0" distL="0" distR="0">
            <wp:extent cx="2388235" cy="4616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88235" cy="461645"/>
                    </a:xfrm>
                    <a:prstGeom prst="rect">
                      <a:avLst/>
                    </a:prstGeom>
                    <a:noFill/>
                    <a:ln>
                      <a:noFill/>
                    </a:ln>
                  </pic:spPr>
                </pic:pic>
              </a:graphicData>
            </a:graphic>
          </wp:inline>
        </w:drawing>
      </w:r>
    </w:p>
    <w:p w14:paraId="6A8EEE01">
      <w:pPr>
        <w:jc w:val="center"/>
        <w:rPr>
          <w:szCs w:val="24"/>
        </w:rPr>
      </w:pPr>
      <w:r>
        <w:rPr>
          <w:szCs w:val="24"/>
        </w:rPr>
        <w:drawing>
          <wp:inline distT="0" distB="0" distL="0" distR="0">
            <wp:extent cx="2388235" cy="4616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88235" cy="461645"/>
                    </a:xfrm>
                    <a:prstGeom prst="rect">
                      <a:avLst/>
                    </a:prstGeom>
                    <a:noFill/>
                    <a:ln>
                      <a:noFill/>
                    </a:ln>
                  </pic:spPr>
                </pic:pic>
              </a:graphicData>
            </a:graphic>
          </wp:inline>
        </w:drawing>
      </w:r>
    </w:p>
    <w:p w14:paraId="73FAA86B">
      <w:pPr>
        <w:ind w:firstLine="480" w:firstLineChars="200"/>
      </w:pPr>
      <w:r>
        <w:rPr>
          <w:rFonts w:hint="eastAsia"/>
        </w:rPr>
        <w:t>式中：</w:t>
      </w:r>
      <w:r>
        <w:rPr>
          <w:rFonts w:hint="eastAsia"/>
          <w:i/>
          <w:iCs/>
        </w:rPr>
        <w:t>S</w:t>
      </w:r>
      <w:r>
        <w:rPr>
          <w:i/>
          <w:iCs/>
          <w:vertAlign w:val="subscript"/>
        </w:rPr>
        <w:t>Ph,</w:t>
      </w:r>
      <w:r>
        <w:rPr>
          <w:rFonts w:hint="eastAsia"/>
          <w:i/>
          <w:iCs/>
          <w:vertAlign w:val="subscript"/>
        </w:rPr>
        <w:t>j</w:t>
      </w:r>
      <w:r>
        <w:rPr>
          <w:rFonts w:hint="eastAsia"/>
        </w:rPr>
        <w:t>：为水质参数</w:t>
      </w:r>
      <w:r>
        <w:t>Ph</w:t>
      </w:r>
      <w:r>
        <w:rPr>
          <w:rFonts w:hint="eastAsia"/>
        </w:rPr>
        <w:t>在</w:t>
      </w:r>
      <w:r>
        <w:rPr>
          <w:rFonts w:hint="eastAsia"/>
          <w:i/>
          <w:iCs/>
        </w:rPr>
        <w:t>j</w:t>
      </w:r>
      <w:r>
        <w:rPr>
          <w:rFonts w:hint="eastAsia"/>
        </w:rPr>
        <w:t>点的标准指数；</w:t>
      </w:r>
    </w:p>
    <w:p w14:paraId="17740689">
      <w:pPr>
        <w:ind w:firstLine="1200" w:firstLineChars="500"/>
      </w:pPr>
      <w:r>
        <w:rPr>
          <w:i/>
          <w:iCs/>
        </w:rPr>
        <w:t>Ph</w:t>
      </w:r>
      <w:r>
        <w:rPr>
          <w:rFonts w:hint="eastAsia"/>
          <w:i/>
          <w:iCs/>
          <w:vertAlign w:val="subscript"/>
        </w:rPr>
        <w:t>j</w:t>
      </w:r>
      <w:r>
        <w:rPr>
          <w:rFonts w:hint="eastAsia"/>
        </w:rPr>
        <w:t>：为</w:t>
      </w:r>
      <w:r>
        <w:rPr>
          <w:rFonts w:hint="eastAsia"/>
          <w:i/>
          <w:iCs/>
        </w:rPr>
        <w:t>j</w:t>
      </w:r>
      <w:r>
        <w:rPr>
          <w:rFonts w:hint="eastAsia"/>
        </w:rPr>
        <w:t>点的</w:t>
      </w:r>
      <w:r>
        <w:t>Ph</w:t>
      </w:r>
      <w:r>
        <w:rPr>
          <w:rFonts w:hint="eastAsia"/>
        </w:rPr>
        <w:t>值；</w:t>
      </w:r>
    </w:p>
    <w:p w14:paraId="2CD36C53">
      <w:pPr>
        <w:ind w:firstLine="1200" w:firstLineChars="500"/>
      </w:pPr>
      <w:r>
        <w:rPr>
          <w:i/>
          <w:iCs/>
        </w:rPr>
        <w:t>Ph</w:t>
      </w:r>
      <w:r>
        <w:rPr>
          <w:rFonts w:hint="eastAsia"/>
          <w:i/>
          <w:iCs/>
          <w:vertAlign w:val="subscript"/>
        </w:rPr>
        <w:t>su</w:t>
      </w:r>
      <w:r>
        <w:rPr>
          <w:rFonts w:hint="eastAsia"/>
        </w:rPr>
        <w:t>：为地表水水质标准中规定的</w:t>
      </w:r>
      <w:r>
        <w:t>Ph</w:t>
      </w:r>
      <w:r>
        <w:rPr>
          <w:rFonts w:hint="eastAsia"/>
        </w:rPr>
        <w:t>值上限；</w:t>
      </w:r>
    </w:p>
    <w:p w14:paraId="1FC3AF26">
      <w:pPr>
        <w:ind w:firstLine="1200" w:firstLineChars="500"/>
      </w:pPr>
      <w:r>
        <w:rPr>
          <w:i/>
          <w:iCs/>
        </w:rPr>
        <w:t>Ph</w:t>
      </w:r>
      <w:r>
        <w:rPr>
          <w:rFonts w:hint="eastAsia"/>
          <w:i/>
          <w:iCs/>
          <w:vertAlign w:val="subscript"/>
        </w:rPr>
        <w:t>sd</w:t>
      </w:r>
      <w:r>
        <w:rPr>
          <w:rFonts w:hint="eastAsia"/>
        </w:rPr>
        <w:t>：为地表水水质标准中规定的</w:t>
      </w:r>
      <w:r>
        <w:t>Ph</w:t>
      </w:r>
      <w:r>
        <w:rPr>
          <w:rFonts w:hint="eastAsia"/>
        </w:rPr>
        <w:t>值下限；</w:t>
      </w:r>
    </w:p>
    <w:p w14:paraId="466E3784">
      <w:pPr>
        <w:pStyle w:val="108"/>
        <w:ind w:firstLine="480"/>
        <w:jc w:val="left"/>
        <w:rPr>
          <w:color w:val="000000"/>
        </w:rPr>
      </w:pPr>
      <w:r>
        <w:rPr>
          <w:color w:val="000000"/>
        </w:rPr>
        <w:t>DO</w:t>
      </w:r>
      <w:r>
        <w:rPr>
          <w:rFonts w:hAnsi="宋体"/>
          <w:color w:val="000000"/>
        </w:rPr>
        <w:t>的标准指数为：</w:t>
      </w:r>
    </w:p>
    <w:p w14:paraId="6142817E">
      <w:pPr>
        <w:pStyle w:val="108"/>
        <w:ind w:firstLine="960" w:firstLineChars="400"/>
        <w:jc w:val="left"/>
        <w:rPr>
          <w:color w:val="000000"/>
        </w:rPr>
      </w:pPr>
      <w:r>
        <w:rPr>
          <w:color w:val="000000"/>
        </w:rPr>
        <w:object>
          <v:shape id="_x0000_i1026" o:spt="75" type="#_x0000_t75" style="height:40pt;width:103.9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color w:val="000000"/>
        </w:rPr>
        <w:t xml:space="preserve">          </w:t>
      </w:r>
      <w:r>
        <w:rPr>
          <w:color w:val="000000"/>
        </w:rPr>
        <w:object>
          <v:shape id="_x0000_i1027" o:spt="75" type="#_x0000_t75" style="height:19pt;width:59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p>
    <w:p w14:paraId="37CE6E54">
      <w:pPr>
        <w:pStyle w:val="108"/>
        <w:ind w:firstLine="960" w:firstLineChars="400"/>
        <w:jc w:val="left"/>
        <w:rPr>
          <w:color w:val="000000"/>
        </w:rPr>
      </w:pPr>
      <w:r>
        <w:rPr>
          <w:color w:val="000000"/>
        </w:rPr>
        <w:object>
          <v:shape id="_x0000_i1028" o:spt="75" type="#_x0000_t75" style="height:36pt;width:115.4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color w:val="000000"/>
        </w:rPr>
        <w:t xml:space="preserve">       </w:t>
      </w:r>
      <w:r>
        <w:rPr>
          <w:color w:val="000000"/>
        </w:rPr>
        <w:object>
          <v:shape id="_x0000_i1029" o:spt="75" type="#_x0000_t75" style="height:19pt;width:59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p>
    <w:p w14:paraId="46B1A757">
      <w:pPr>
        <w:pStyle w:val="108"/>
        <w:keepNext w:val="0"/>
        <w:keepLines w:val="0"/>
        <w:pageBreakBefore w:val="0"/>
        <w:widowControl w:val="0"/>
        <w:kinsoku/>
        <w:wordWrap/>
        <w:overflowPunct/>
        <w:topLinePunct w:val="0"/>
        <w:autoSpaceDE/>
        <w:autoSpaceDN/>
        <w:bidi w:val="0"/>
        <w:adjustRightInd/>
        <w:spacing w:line="460" w:lineRule="exact"/>
        <w:ind w:firstLine="960" w:firstLineChars="400"/>
        <w:jc w:val="left"/>
        <w:textAlignment w:val="auto"/>
        <w:rPr>
          <w:color w:val="000000"/>
        </w:rPr>
      </w:pPr>
      <w:r>
        <w:rPr>
          <w:color w:val="000000"/>
        </w:rPr>
        <w:t>DOf  =468/(31.6+T)</w:t>
      </w:r>
    </w:p>
    <w:p w14:paraId="3743D953">
      <w:pPr>
        <w:pStyle w:val="108"/>
        <w:keepNext w:val="0"/>
        <w:keepLines w:val="0"/>
        <w:pageBreakBefore w:val="0"/>
        <w:widowControl w:val="0"/>
        <w:kinsoku/>
        <w:wordWrap/>
        <w:overflowPunct/>
        <w:topLinePunct w:val="0"/>
        <w:autoSpaceDE/>
        <w:autoSpaceDN/>
        <w:bidi w:val="0"/>
        <w:adjustRightInd/>
        <w:snapToGrid w:val="0"/>
        <w:spacing w:line="460" w:lineRule="exact"/>
        <w:ind w:firstLine="480"/>
        <w:jc w:val="left"/>
        <w:textAlignment w:val="auto"/>
        <w:rPr>
          <w:color w:val="000000"/>
        </w:rPr>
      </w:pPr>
      <w:r>
        <w:rPr>
          <w:rFonts w:hAnsi="宋体"/>
          <w:color w:val="000000"/>
        </w:rPr>
        <w:t>式中：</w:t>
      </w:r>
      <w:r>
        <w:rPr>
          <w:color w:val="000000"/>
        </w:rPr>
        <w:object>
          <v:shape id="_x0000_i1030" o:spt="75" type="#_x0000_t75" style="height:19pt;width:27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color w:val="000000"/>
        </w:rPr>
        <w:t>—</w:t>
      </w:r>
      <w:r>
        <w:rPr>
          <w:rFonts w:hAnsi="宋体"/>
          <w:color w:val="000000"/>
        </w:rPr>
        <w:t>污染因子</w:t>
      </w:r>
      <w:r>
        <w:rPr>
          <w:color w:val="000000"/>
        </w:rPr>
        <w:object>
          <v:shape id="_x0000_i1031" o:spt="75" type="#_x0000_t75" style="height:13.95pt;width:22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Ansi="宋体"/>
          <w:color w:val="000000"/>
        </w:rPr>
        <w:t>在第</w:t>
      </w:r>
      <w:r>
        <w:rPr>
          <w:color w:val="000000"/>
        </w:rPr>
        <w:object>
          <v:shape id="_x0000_i1032" o:spt="75" type="#_x0000_t75" style="height:15pt;width:10pt;" o:ole="t" filled="f" o:preferrelative="t" stroked="f" coordsize="21600,21600">
            <v:path/>
            <v:fill on="f" focussize="0,0"/>
            <v:stroke on="f" joinstyle="miter"/>
            <v:imagedata r:id="rId31" o:title=""/>
            <o:lock v:ext="edit" aspectratio="t"/>
            <w10:wrap type="none"/>
            <w10:anchorlock/>
          </v:shape>
          <o:OLEObject Type="Embed" ProgID="Equation.3" ShapeID="_x0000_i1032" DrawAspect="Content" ObjectID="_1468075732" r:id="rId30">
            <o:LockedField>false</o:LockedField>
          </o:OLEObject>
        </w:object>
      </w:r>
      <w:r>
        <w:rPr>
          <w:rFonts w:hAnsi="宋体"/>
          <w:color w:val="000000"/>
        </w:rPr>
        <w:t>点的标准指数；</w:t>
      </w:r>
    </w:p>
    <w:p w14:paraId="028463EC">
      <w:pPr>
        <w:pStyle w:val="108"/>
        <w:keepNext w:val="0"/>
        <w:keepLines w:val="0"/>
        <w:pageBreakBefore w:val="0"/>
        <w:widowControl w:val="0"/>
        <w:kinsoku/>
        <w:wordWrap/>
        <w:overflowPunct/>
        <w:topLinePunct w:val="0"/>
        <w:autoSpaceDE/>
        <w:autoSpaceDN/>
        <w:bidi w:val="0"/>
        <w:adjustRightInd/>
        <w:snapToGrid w:val="0"/>
        <w:spacing w:line="460" w:lineRule="exact"/>
        <w:ind w:firstLine="480"/>
        <w:jc w:val="left"/>
        <w:textAlignment w:val="auto"/>
        <w:rPr>
          <w:color w:val="000000"/>
        </w:rPr>
      </w:pPr>
      <w:r>
        <w:rPr>
          <w:color w:val="000000"/>
        </w:rPr>
        <w:t xml:space="preserve">      </w:t>
      </w:r>
      <w:r>
        <w:rPr>
          <w:color w:val="000000"/>
        </w:rPr>
        <w:object>
          <v:shape id="_x0000_i1033" o:spt="75" type="#_x0000_t75" style="height:19pt;width:24.95pt;" o:ole="t" filled="f" o:preferrelative="t" stroked="f" coordsize="21600,21600">
            <v:path/>
            <v:fill on="f" focussize="0,0"/>
            <v:stroke on="f" joinstyle="miter"/>
            <v:imagedata r:id="rId33" o:title=""/>
            <o:lock v:ext="edit" aspectratio="t"/>
            <w10:wrap type="none"/>
            <w10:anchorlock/>
          </v:shape>
          <o:OLEObject Type="Embed" ProgID="Equation.3" ShapeID="_x0000_i1033" DrawAspect="Content" ObjectID="_1468075733" r:id="rId32">
            <o:LockedField>false</o:LockedField>
          </o:OLEObject>
        </w:object>
      </w:r>
      <w:r>
        <w:rPr>
          <w:color w:val="000000"/>
        </w:rPr>
        <w:t>—</w:t>
      </w:r>
      <w:r>
        <w:rPr>
          <w:rFonts w:hAnsi="宋体"/>
          <w:color w:val="000000"/>
        </w:rPr>
        <w:t>在</w:t>
      </w:r>
      <w:r>
        <w:rPr>
          <w:color w:val="000000"/>
        </w:rPr>
        <w:t>j</w:t>
      </w:r>
      <w:r>
        <w:rPr>
          <w:rFonts w:hAnsi="宋体"/>
          <w:color w:val="000000"/>
        </w:rPr>
        <w:t>点的饱和溶解氧浓度；</w:t>
      </w:r>
    </w:p>
    <w:p w14:paraId="1064FC4F">
      <w:pPr>
        <w:pStyle w:val="108"/>
        <w:keepNext w:val="0"/>
        <w:keepLines w:val="0"/>
        <w:pageBreakBefore w:val="0"/>
        <w:widowControl w:val="0"/>
        <w:kinsoku/>
        <w:wordWrap/>
        <w:overflowPunct/>
        <w:topLinePunct w:val="0"/>
        <w:autoSpaceDE/>
        <w:autoSpaceDN/>
        <w:bidi w:val="0"/>
        <w:adjustRightInd/>
        <w:snapToGrid w:val="0"/>
        <w:spacing w:line="460" w:lineRule="exact"/>
        <w:ind w:firstLine="480"/>
        <w:jc w:val="left"/>
        <w:textAlignment w:val="auto"/>
        <w:rPr>
          <w:color w:val="000000"/>
        </w:rPr>
      </w:pPr>
      <w:r>
        <w:rPr>
          <w:color w:val="000000"/>
        </w:rPr>
        <w:t xml:space="preserve">      </w:t>
      </w:r>
      <w:r>
        <w:rPr>
          <w:color w:val="000000"/>
        </w:rPr>
        <w:object>
          <v:shape id="_x0000_i1034" o:spt="75" type="#_x0000_t75" style="height:19pt;width:26pt;" o:ole="t" filled="f" o:preferrelative="t" stroked="f" coordsize="21600,21600">
            <v:path/>
            <v:fill on="f" focussize="0,0"/>
            <v:stroke on="f" joinstyle="miter"/>
            <v:imagedata r:id="rId35" o:title=""/>
            <o:lock v:ext="edit" aspectratio="t"/>
            <w10:wrap type="none"/>
            <w10:anchorlock/>
          </v:shape>
          <o:OLEObject Type="Embed" ProgID="Equation.3" ShapeID="_x0000_i1034" DrawAspect="Content" ObjectID="_1468075734" r:id="rId34">
            <o:LockedField>false</o:LockedField>
          </o:OLEObject>
        </w:object>
      </w:r>
      <w:r>
        <w:rPr>
          <w:color w:val="000000"/>
        </w:rPr>
        <w:t>—</w:t>
      </w:r>
      <w:r>
        <w:rPr>
          <w:rFonts w:hAnsi="宋体"/>
          <w:color w:val="000000"/>
        </w:rPr>
        <w:t>饱和溶解氧浓度；</w:t>
      </w:r>
    </w:p>
    <w:p w14:paraId="71076405">
      <w:pPr>
        <w:pStyle w:val="108"/>
        <w:keepNext w:val="0"/>
        <w:keepLines w:val="0"/>
        <w:pageBreakBefore w:val="0"/>
        <w:widowControl w:val="0"/>
        <w:kinsoku/>
        <w:wordWrap/>
        <w:overflowPunct/>
        <w:topLinePunct w:val="0"/>
        <w:autoSpaceDE/>
        <w:autoSpaceDN/>
        <w:bidi w:val="0"/>
        <w:adjustRightInd/>
        <w:snapToGrid w:val="0"/>
        <w:spacing w:line="460" w:lineRule="exact"/>
        <w:ind w:firstLine="480"/>
        <w:jc w:val="left"/>
        <w:textAlignment w:val="auto"/>
        <w:rPr>
          <w:color w:val="000000"/>
        </w:rPr>
      </w:pPr>
      <w:r>
        <w:rPr>
          <w:color w:val="000000"/>
        </w:rPr>
        <w:t xml:space="preserve">      </w:t>
      </w:r>
      <w:r>
        <w:rPr>
          <w:color w:val="000000"/>
        </w:rPr>
        <w:object>
          <v:shape id="_x0000_i1035" o:spt="75" type="#_x0000_t75" style="height:18pt;width:24.95pt;" o:ole="t" filled="f" o:preferrelative="t" stroked="f" coordsize="21600,21600">
            <v:path/>
            <v:fill on="f" focussize="0,0"/>
            <v:stroke on="f" joinstyle="miter"/>
            <v:imagedata r:id="rId37" o:title=""/>
            <o:lock v:ext="edit" aspectratio="t"/>
            <w10:wrap type="none"/>
            <w10:anchorlock/>
          </v:shape>
          <o:OLEObject Type="Embed" ProgID="Equation.3" ShapeID="_x0000_i1035" DrawAspect="Content" ObjectID="_1468075735" r:id="rId36">
            <o:LockedField>false</o:LockedField>
          </o:OLEObject>
        </w:object>
      </w:r>
      <w:r>
        <w:rPr>
          <w:color w:val="000000"/>
        </w:rPr>
        <w:t>—</w:t>
      </w:r>
      <w:r>
        <w:rPr>
          <w:rFonts w:hAnsi="宋体"/>
          <w:color w:val="000000"/>
        </w:rPr>
        <w:t>溶解氧的地面水水质标准；</w:t>
      </w:r>
    </w:p>
    <w:p w14:paraId="604DC92B">
      <w:pPr>
        <w:keepNext w:val="0"/>
        <w:keepLines w:val="0"/>
        <w:pageBreakBefore w:val="0"/>
        <w:widowControl w:val="0"/>
        <w:kinsoku/>
        <w:wordWrap/>
        <w:overflowPunct/>
        <w:topLinePunct w:val="0"/>
        <w:autoSpaceDE/>
        <w:autoSpaceDN/>
        <w:bidi w:val="0"/>
        <w:adjustRightInd/>
        <w:spacing w:line="460" w:lineRule="exact"/>
        <w:ind w:firstLine="480" w:firstLineChars="200"/>
        <w:textAlignment w:val="auto"/>
        <w:rPr>
          <w:rFonts w:hAnsi="宋体"/>
          <w:color w:val="000000"/>
          <w:szCs w:val="24"/>
        </w:rPr>
      </w:pPr>
      <w:r>
        <w:rPr>
          <w:rFonts w:hAnsi="宋体"/>
          <w:color w:val="000000"/>
          <w:szCs w:val="24"/>
        </w:rPr>
        <w:t>水环境现状单因子指数见</w:t>
      </w:r>
      <w:r>
        <w:rPr>
          <w:rFonts w:hint="eastAsia" w:hAnsi="宋体"/>
          <w:color w:val="000000"/>
          <w:szCs w:val="24"/>
        </w:rPr>
        <w:t>表4.3-9。</w:t>
      </w:r>
    </w:p>
    <w:p w14:paraId="73F4E025">
      <w:pPr>
        <w:pStyle w:val="11"/>
        <w:keepNext w:val="0"/>
        <w:keepLines w:val="0"/>
        <w:pageBreakBefore w:val="0"/>
        <w:widowControl w:val="0"/>
        <w:kinsoku/>
        <w:wordWrap/>
        <w:overflowPunct/>
        <w:topLinePunct w:val="0"/>
        <w:autoSpaceDE/>
        <w:autoSpaceDN/>
        <w:bidi w:val="0"/>
        <w:adjustRightInd/>
        <w:snapToGrid w:val="0"/>
        <w:spacing w:line="460" w:lineRule="exact"/>
        <w:ind w:firstLine="482"/>
        <w:jc w:val="center"/>
        <w:textAlignment w:val="auto"/>
        <w:rPr>
          <w:b/>
          <w:color w:val="000000"/>
          <w:sz w:val="24"/>
          <w:szCs w:val="24"/>
        </w:rPr>
      </w:pPr>
      <w:r>
        <w:rPr>
          <w:rFonts w:hAnsi="宋体"/>
          <w:b/>
          <w:color w:val="000000"/>
          <w:sz w:val="24"/>
          <w:szCs w:val="24"/>
        </w:rPr>
        <w:t>表</w:t>
      </w:r>
      <w:r>
        <w:rPr>
          <w:b/>
          <w:color w:val="000000"/>
          <w:sz w:val="24"/>
          <w:szCs w:val="24"/>
        </w:rPr>
        <w:t>4.</w:t>
      </w:r>
      <w:r>
        <w:rPr>
          <w:rFonts w:hint="eastAsia"/>
          <w:b/>
          <w:color w:val="000000"/>
          <w:sz w:val="24"/>
          <w:szCs w:val="24"/>
        </w:rPr>
        <w:t>3-9</w:t>
      </w:r>
      <w:r>
        <w:rPr>
          <w:b/>
          <w:color w:val="000000"/>
          <w:sz w:val="24"/>
          <w:szCs w:val="24"/>
        </w:rPr>
        <w:t xml:space="preserve"> </w:t>
      </w:r>
      <w:r>
        <w:rPr>
          <w:rFonts w:hint="eastAsia"/>
          <w:b/>
          <w:color w:val="000000"/>
          <w:sz w:val="24"/>
          <w:szCs w:val="24"/>
        </w:rPr>
        <w:t xml:space="preserve"> </w:t>
      </w:r>
      <w:r>
        <w:rPr>
          <w:rFonts w:hAnsi="宋体"/>
          <w:b/>
          <w:color w:val="000000"/>
          <w:sz w:val="24"/>
          <w:szCs w:val="24"/>
        </w:rPr>
        <w:t>水环境现状单因子指数表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726"/>
        <w:gridCol w:w="1274"/>
        <w:gridCol w:w="1003"/>
        <w:gridCol w:w="956"/>
        <w:gridCol w:w="789"/>
        <w:gridCol w:w="965"/>
        <w:gridCol w:w="1243"/>
        <w:gridCol w:w="813"/>
        <w:gridCol w:w="1303"/>
      </w:tblGrid>
      <w:tr w14:paraId="27B7FB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blHeader/>
        </w:trPr>
        <w:tc>
          <w:tcPr>
            <w:tcW w:w="400" w:type="pct"/>
            <w:vAlign w:val="center"/>
          </w:tcPr>
          <w:p w14:paraId="694F2606">
            <w:pPr>
              <w:pStyle w:val="25"/>
              <w:snapToGrid/>
              <w:spacing w:line="280" w:lineRule="exact"/>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序号</w:t>
            </w:r>
          </w:p>
        </w:tc>
        <w:tc>
          <w:tcPr>
            <w:tcW w:w="702" w:type="pct"/>
            <w:vAlign w:val="center"/>
          </w:tcPr>
          <w:p w14:paraId="1DB2E222">
            <w:pPr>
              <w:pStyle w:val="97"/>
              <w:spacing w:line="280" w:lineRule="exact"/>
              <w:rPr>
                <w:rFonts w:eastAsia="宋体"/>
                <w:b w:val="0"/>
                <w:color w:val="000000" w:themeColor="text1"/>
                <w:sz w:val="21"/>
                <w:szCs w:val="21"/>
                <w14:textFill>
                  <w14:solidFill>
                    <w14:schemeClr w14:val="tx1"/>
                  </w14:solidFill>
                </w14:textFill>
              </w:rPr>
            </w:pPr>
            <w:r>
              <w:rPr>
                <w:rFonts w:eastAsia="宋体"/>
                <w:b w:val="0"/>
                <w:color w:val="000000" w:themeColor="text1"/>
                <w:sz w:val="21"/>
                <w:szCs w:val="21"/>
                <w14:textFill>
                  <w14:solidFill>
                    <w14:schemeClr w14:val="tx1"/>
                  </w14:solidFill>
                </w14:textFill>
              </w:rPr>
              <w:t>pH</w:t>
            </w:r>
          </w:p>
        </w:tc>
        <w:tc>
          <w:tcPr>
            <w:tcW w:w="553" w:type="pct"/>
            <w:vAlign w:val="center"/>
          </w:tcPr>
          <w:p w14:paraId="6664FF6E">
            <w:pPr>
              <w:spacing w:line="2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p>
        </w:tc>
        <w:tc>
          <w:tcPr>
            <w:tcW w:w="527" w:type="pct"/>
            <w:vAlign w:val="center"/>
          </w:tcPr>
          <w:p w14:paraId="03DC700B">
            <w:pPr>
              <w:spacing w:line="2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BOD</w:t>
            </w:r>
            <w:r>
              <w:rPr>
                <w:color w:val="000000" w:themeColor="text1"/>
                <w:sz w:val="21"/>
                <w:szCs w:val="21"/>
                <w:vertAlign w:val="subscript"/>
                <w14:textFill>
                  <w14:solidFill>
                    <w14:schemeClr w14:val="tx1"/>
                  </w14:solidFill>
                </w14:textFill>
              </w:rPr>
              <w:t>5</w:t>
            </w:r>
          </w:p>
        </w:tc>
        <w:tc>
          <w:tcPr>
            <w:tcW w:w="435" w:type="pct"/>
            <w:vAlign w:val="center"/>
          </w:tcPr>
          <w:p w14:paraId="1AC72C3C">
            <w:pPr>
              <w:spacing w:line="2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SS</w:t>
            </w:r>
          </w:p>
        </w:tc>
        <w:tc>
          <w:tcPr>
            <w:tcW w:w="532" w:type="pct"/>
            <w:vAlign w:val="center"/>
          </w:tcPr>
          <w:p w14:paraId="3B4CA362">
            <w:pPr>
              <w:spacing w:line="2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DO</w:t>
            </w:r>
          </w:p>
        </w:tc>
        <w:tc>
          <w:tcPr>
            <w:tcW w:w="685" w:type="pct"/>
            <w:vAlign w:val="center"/>
          </w:tcPr>
          <w:p w14:paraId="60ED703C">
            <w:pPr>
              <w:spacing w:line="280" w:lineRule="exact"/>
              <w:jc w:val="center"/>
              <w:rPr>
                <w:color w:val="000000" w:themeColor="text1"/>
                <w:spacing w:val="-20"/>
                <w:sz w:val="21"/>
                <w:szCs w:val="21"/>
                <w14:textFill>
                  <w14:solidFill>
                    <w14:schemeClr w14:val="tx1"/>
                  </w14:solidFill>
                </w14:textFill>
              </w:rPr>
            </w:pPr>
            <w:r>
              <w:rPr>
                <w:color w:val="000000" w:themeColor="text1"/>
                <w:sz w:val="21"/>
                <w:szCs w:val="21"/>
                <w14:textFill>
                  <w14:solidFill>
                    <w14:schemeClr w14:val="tx1"/>
                  </w14:solidFill>
                </w14:textFill>
              </w:rPr>
              <w:t>NH</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-N</w:t>
            </w:r>
          </w:p>
        </w:tc>
        <w:tc>
          <w:tcPr>
            <w:tcW w:w="448" w:type="pct"/>
            <w:tcBorders>
              <w:right w:val="single" w:color="auto" w:sz="4" w:space="0"/>
            </w:tcBorders>
            <w:vAlign w:val="center"/>
          </w:tcPr>
          <w:p w14:paraId="70AECD7F">
            <w:pPr>
              <w:spacing w:line="2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TP</w:t>
            </w:r>
          </w:p>
        </w:tc>
        <w:tc>
          <w:tcPr>
            <w:tcW w:w="718" w:type="pct"/>
            <w:tcBorders>
              <w:left w:val="single" w:color="auto" w:sz="4" w:space="0"/>
            </w:tcBorders>
            <w:vAlign w:val="center"/>
          </w:tcPr>
          <w:p w14:paraId="16C555F6">
            <w:pPr>
              <w:spacing w:line="280" w:lineRule="exact"/>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粪大肠菌群</w:t>
            </w:r>
          </w:p>
        </w:tc>
      </w:tr>
      <w:tr w14:paraId="13A722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400" w:type="pct"/>
            <w:vAlign w:val="center"/>
          </w:tcPr>
          <w:p w14:paraId="2B80FBA0">
            <w:pPr>
              <w:spacing w:line="2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W1</w:t>
            </w:r>
          </w:p>
        </w:tc>
        <w:tc>
          <w:tcPr>
            <w:tcW w:w="702" w:type="pct"/>
            <w:vAlign w:val="center"/>
          </w:tcPr>
          <w:p w14:paraId="0C8603D9">
            <w:pPr>
              <w:pStyle w:val="25"/>
              <w:snapToGrid/>
              <w:spacing w:line="280" w:lineRule="exact"/>
              <w:jc w:val="center"/>
              <w:rPr>
                <w:color w:val="000000" w:themeColor="text1"/>
                <w:sz w:val="21"/>
                <w:szCs w:val="21"/>
                <w14:textFill>
                  <w14:solidFill>
                    <w14:schemeClr w14:val="tx1"/>
                  </w14:solidFill>
                </w14:textFill>
              </w:rPr>
            </w:pPr>
          </w:p>
        </w:tc>
        <w:tc>
          <w:tcPr>
            <w:tcW w:w="553" w:type="pct"/>
            <w:vAlign w:val="center"/>
          </w:tcPr>
          <w:p w14:paraId="77152C86">
            <w:pPr>
              <w:pStyle w:val="25"/>
              <w:snapToGrid/>
              <w:spacing w:line="280" w:lineRule="exact"/>
              <w:jc w:val="center"/>
              <w:rPr>
                <w:color w:val="000000" w:themeColor="text1"/>
                <w:sz w:val="21"/>
                <w:szCs w:val="21"/>
                <w14:textFill>
                  <w14:solidFill>
                    <w14:schemeClr w14:val="tx1"/>
                  </w14:solidFill>
                </w14:textFill>
              </w:rPr>
            </w:pPr>
          </w:p>
        </w:tc>
        <w:tc>
          <w:tcPr>
            <w:tcW w:w="527" w:type="pct"/>
            <w:vAlign w:val="center"/>
          </w:tcPr>
          <w:p w14:paraId="163B8DF7">
            <w:pPr>
              <w:pStyle w:val="25"/>
              <w:snapToGrid/>
              <w:spacing w:line="280" w:lineRule="exact"/>
              <w:jc w:val="center"/>
              <w:rPr>
                <w:color w:val="000000" w:themeColor="text1"/>
                <w:sz w:val="21"/>
                <w:szCs w:val="21"/>
                <w14:textFill>
                  <w14:solidFill>
                    <w14:schemeClr w14:val="tx1"/>
                  </w14:solidFill>
                </w14:textFill>
              </w:rPr>
            </w:pPr>
          </w:p>
        </w:tc>
        <w:tc>
          <w:tcPr>
            <w:tcW w:w="435" w:type="pct"/>
            <w:vAlign w:val="center"/>
          </w:tcPr>
          <w:p w14:paraId="27187BA4">
            <w:pPr>
              <w:pStyle w:val="25"/>
              <w:snapToGrid/>
              <w:spacing w:line="280" w:lineRule="exact"/>
              <w:jc w:val="center"/>
              <w:rPr>
                <w:color w:val="000000" w:themeColor="text1"/>
                <w:sz w:val="21"/>
                <w:szCs w:val="21"/>
                <w14:textFill>
                  <w14:solidFill>
                    <w14:schemeClr w14:val="tx1"/>
                  </w14:solidFill>
                </w14:textFill>
              </w:rPr>
            </w:pPr>
          </w:p>
        </w:tc>
        <w:tc>
          <w:tcPr>
            <w:tcW w:w="532" w:type="pct"/>
            <w:vAlign w:val="center"/>
          </w:tcPr>
          <w:p w14:paraId="51C7D2F5">
            <w:pPr>
              <w:pStyle w:val="25"/>
              <w:snapToGrid/>
              <w:spacing w:line="280" w:lineRule="exact"/>
              <w:jc w:val="center"/>
              <w:rPr>
                <w:color w:val="000000" w:themeColor="text1"/>
                <w:sz w:val="21"/>
                <w:szCs w:val="21"/>
                <w14:textFill>
                  <w14:solidFill>
                    <w14:schemeClr w14:val="tx1"/>
                  </w14:solidFill>
                </w14:textFill>
              </w:rPr>
            </w:pPr>
          </w:p>
        </w:tc>
        <w:tc>
          <w:tcPr>
            <w:tcW w:w="685" w:type="pct"/>
            <w:vAlign w:val="center"/>
          </w:tcPr>
          <w:p w14:paraId="46EE6C7E">
            <w:pPr>
              <w:pStyle w:val="25"/>
              <w:snapToGrid/>
              <w:spacing w:line="280" w:lineRule="exact"/>
              <w:jc w:val="center"/>
              <w:rPr>
                <w:color w:val="000000" w:themeColor="text1"/>
                <w:sz w:val="21"/>
                <w:szCs w:val="21"/>
                <w14:textFill>
                  <w14:solidFill>
                    <w14:schemeClr w14:val="tx1"/>
                  </w14:solidFill>
                </w14:textFill>
              </w:rPr>
            </w:pPr>
          </w:p>
        </w:tc>
        <w:tc>
          <w:tcPr>
            <w:tcW w:w="448" w:type="pct"/>
            <w:tcBorders>
              <w:right w:val="single" w:color="auto" w:sz="4" w:space="0"/>
            </w:tcBorders>
            <w:vAlign w:val="center"/>
          </w:tcPr>
          <w:p w14:paraId="4A775364">
            <w:pPr>
              <w:pStyle w:val="25"/>
              <w:snapToGrid/>
              <w:spacing w:line="280" w:lineRule="exact"/>
              <w:jc w:val="center"/>
              <w:rPr>
                <w:color w:val="000000" w:themeColor="text1"/>
                <w:sz w:val="21"/>
                <w:szCs w:val="21"/>
                <w14:textFill>
                  <w14:solidFill>
                    <w14:schemeClr w14:val="tx1"/>
                  </w14:solidFill>
                </w14:textFill>
              </w:rPr>
            </w:pPr>
          </w:p>
        </w:tc>
        <w:tc>
          <w:tcPr>
            <w:tcW w:w="718" w:type="pct"/>
            <w:tcBorders>
              <w:left w:val="single" w:color="auto" w:sz="4" w:space="0"/>
            </w:tcBorders>
            <w:vAlign w:val="center"/>
          </w:tcPr>
          <w:p w14:paraId="6E242F87">
            <w:pPr>
              <w:pStyle w:val="25"/>
              <w:snapToGrid/>
              <w:spacing w:line="280" w:lineRule="exact"/>
              <w:jc w:val="center"/>
              <w:rPr>
                <w:color w:val="000000" w:themeColor="text1"/>
                <w:sz w:val="21"/>
                <w:szCs w:val="21"/>
                <w14:textFill>
                  <w14:solidFill>
                    <w14:schemeClr w14:val="tx1"/>
                  </w14:solidFill>
                </w14:textFill>
              </w:rPr>
            </w:pPr>
          </w:p>
        </w:tc>
      </w:tr>
    </w:tbl>
    <w:p w14:paraId="449ACED5">
      <w:pPr>
        <w:spacing w:line="480" w:lineRule="exact"/>
        <w:ind w:firstLine="480" w:firstLineChars="200"/>
      </w:pPr>
      <w:r>
        <w:rPr>
          <w:rFonts w:hint="eastAsia"/>
        </w:rPr>
        <w:t>根据上表可知，颜倪河水质较好，能够</w:t>
      </w:r>
      <w:r>
        <w:t>满足</w:t>
      </w:r>
      <w:r>
        <w:rPr>
          <w:rFonts w:hint="eastAsia"/>
        </w:rPr>
        <w:t>《地表水环境质量标准》（GB3838－2002）Ⅲ类标准要求。</w:t>
      </w:r>
    </w:p>
    <w:p w14:paraId="55534224">
      <w:pPr>
        <w:pStyle w:val="7"/>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声环境质量现状监测与评价</w:t>
      </w:r>
    </w:p>
    <w:p w14:paraId="5F5EBDE8">
      <w:pPr>
        <w:spacing w:line="480" w:lineRule="exact"/>
        <w:ind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（1）监测点位及监测项目</w:t>
      </w:r>
    </w:p>
    <w:p w14:paraId="286B3836">
      <w:pPr>
        <w:snapToGrid w:val="0"/>
        <w:spacing w:line="480" w:lineRule="exact"/>
        <w:ind w:firstLine="480" w:firstLineChars="200"/>
        <w:rPr>
          <w:rFonts w:ascii="Times New Roman"/>
          <w:szCs w:val="24"/>
        </w:rPr>
      </w:pPr>
      <w:r>
        <w:rPr>
          <w:rFonts w:ascii="Times New Roman"/>
          <w:szCs w:val="24"/>
        </w:rPr>
        <w:t>根据本项目的位置，结合企业厂区布置和声环境特征，</w:t>
      </w:r>
      <w:r>
        <w:rPr>
          <w:rFonts w:hint="eastAsia" w:ascii="Times New Roman"/>
          <w:szCs w:val="24"/>
        </w:rPr>
        <w:t>在项目周围</w:t>
      </w:r>
      <w:r>
        <w:rPr>
          <w:rFonts w:ascii="Times New Roman"/>
          <w:szCs w:val="24"/>
        </w:rPr>
        <w:t>共布设</w:t>
      </w:r>
      <w:r>
        <w:rPr>
          <w:rFonts w:hint="eastAsia" w:ascii="Times New Roman"/>
          <w:szCs w:val="24"/>
        </w:rPr>
        <w:t>4</w:t>
      </w:r>
      <w:r>
        <w:rPr>
          <w:rFonts w:ascii="Times New Roman"/>
          <w:szCs w:val="24"/>
        </w:rPr>
        <w:t>个厂界噪声监测点，</w:t>
      </w:r>
      <w:r>
        <w:rPr>
          <w:rFonts w:hint="eastAsia" w:ascii="Times New Roman"/>
          <w:szCs w:val="24"/>
        </w:rPr>
        <w:t>在项目西北侧（戴庄）及西南侧（油坊庄）各布设1个敏感点监测点，</w:t>
      </w:r>
      <w:r>
        <w:rPr>
          <w:rFonts w:ascii="Times New Roman"/>
          <w:szCs w:val="24"/>
        </w:rPr>
        <w:t>具体点位见表</w:t>
      </w:r>
      <w:r>
        <w:rPr>
          <w:rFonts w:ascii="Times New Roman"/>
          <w:color w:val="000000"/>
          <w:szCs w:val="24"/>
        </w:rPr>
        <w:t>4.3-</w:t>
      </w:r>
      <w:r>
        <w:rPr>
          <w:rFonts w:hint="eastAsia" w:ascii="Times New Roman"/>
          <w:color w:val="000000"/>
          <w:szCs w:val="24"/>
        </w:rPr>
        <w:t>10</w:t>
      </w:r>
      <w:r>
        <w:rPr>
          <w:rFonts w:ascii="Times New Roman"/>
          <w:szCs w:val="24"/>
        </w:rPr>
        <w:t>及</w:t>
      </w:r>
      <w:r>
        <w:rPr>
          <w:rFonts w:ascii="Times New Roman"/>
          <w:b/>
          <w:bCs/>
          <w:color w:val="000000"/>
          <w:szCs w:val="24"/>
        </w:rPr>
        <w:t>图4.3-1</w:t>
      </w:r>
      <w:r>
        <w:rPr>
          <w:rFonts w:ascii="Times New Roman"/>
          <w:color w:val="000000"/>
          <w:szCs w:val="24"/>
        </w:rPr>
        <w:t>。</w:t>
      </w:r>
    </w:p>
    <w:p w14:paraId="45137F6B">
      <w:pPr>
        <w:snapToGrid w:val="0"/>
        <w:spacing w:line="480" w:lineRule="exact"/>
        <w:ind w:firstLine="539"/>
        <w:rPr>
          <w:rFonts w:ascii="Times New Roman"/>
          <w:szCs w:val="24"/>
        </w:rPr>
      </w:pPr>
      <w:r>
        <w:rPr>
          <w:rFonts w:ascii="Times New Roman"/>
          <w:szCs w:val="24"/>
        </w:rPr>
        <w:t>监测项目：等效连续A声级。</w:t>
      </w:r>
    </w:p>
    <w:p w14:paraId="57857DFB">
      <w:pPr>
        <w:snapToGrid w:val="0"/>
        <w:spacing w:line="480" w:lineRule="exact"/>
        <w:ind w:firstLine="482" w:firstLineChars="200"/>
        <w:jc w:val="center"/>
        <w:rPr>
          <w:rFonts w:ascii="Times New Roman"/>
          <w:b/>
          <w:bCs/>
          <w:color w:val="000000"/>
          <w:szCs w:val="24"/>
        </w:rPr>
      </w:pPr>
      <w:r>
        <w:rPr>
          <w:rFonts w:ascii="Times New Roman"/>
          <w:b/>
          <w:bCs/>
          <w:color w:val="000000"/>
          <w:szCs w:val="24"/>
        </w:rPr>
        <w:t>表4.</w:t>
      </w:r>
      <w:r>
        <w:rPr>
          <w:rFonts w:hint="eastAsia" w:ascii="Times New Roman"/>
          <w:b/>
          <w:bCs/>
          <w:color w:val="000000"/>
          <w:szCs w:val="24"/>
        </w:rPr>
        <w:t>3-10</w:t>
      </w:r>
      <w:r>
        <w:rPr>
          <w:rFonts w:ascii="Times New Roman"/>
          <w:b/>
          <w:bCs/>
          <w:color w:val="000000"/>
          <w:szCs w:val="24"/>
        </w:rPr>
        <w:t xml:space="preserve"> 噪声监测点情况表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5455"/>
        <w:gridCol w:w="1754"/>
        <w:gridCol w:w="2079"/>
      </w:tblGrid>
      <w:tr w14:paraId="5B2CB3C0">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97" w:hRule="atLeast"/>
          <w:jc w:val="center"/>
        </w:trPr>
        <w:tc>
          <w:tcPr>
            <w:tcW w:w="2936" w:type="pct"/>
            <w:vAlign w:val="center"/>
          </w:tcPr>
          <w:p w14:paraId="3AF1EE61">
            <w:pPr>
              <w:adjustRightInd w:val="0"/>
              <w:snapToGrid w:val="0"/>
              <w:spacing w:line="300" w:lineRule="exact"/>
              <w:jc w:val="center"/>
              <w:rPr>
                <w:rFonts w:ascii="Times New Roman"/>
                <w:sz w:val="21"/>
                <w:szCs w:val="21"/>
              </w:rPr>
            </w:pPr>
            <w:r>
              <w:rPr>
                <w:rFonts w:ascii="Times New Roman"/>
                <w:sz w:val="21"/>
                <w:szCs w:val="21"/>
              </w:rPr>
              <w:t>监测点位</w:t>
            </w:r>
          </w:p>
        </w:tc>
        <w:tc>
          <w:tcPr>
            <w:tcW w:w="944" w:type="pct"/>
            <w:vAlign w:val="center"/>
          </w:tcPr>
          <w:p w14:paraId="473C70AF">
            <w:pPr>
              <w:adjustRightInd w:val="0"/>
              <w:snapToGrid w:val="0"/>
              <w:spacing w:line="300" w:lineRule="exact"/>
              <w:jc w:val="center"/>
              <w:rPr>
                <w:rFonts w:ascii="Times New Roman"/>
                <w:sz w:val="21"/>
                <w:szCs w:val="21"/>
              </w:rPr>
            </w:pPr>
            <w:r>
              <w:rPr>
                <w:rFonts w:ascii="Times New Roman"/>
                <w:sz w:val="21"/>
                <w:szCs w:val="21"/>
              </w:rPr>
              <w:t>点位编号</w:t>
            </w:r>
          </w:p>
        </w:tc>
        <w:tc>
          <w:tcPr>
            <w:tcW w:w="1119" w:type="pct"/>
            <w:vAlign w:val="center"/>
          </w:tcPr>
          <w:p w14:paraId="623F4247">
            <w:pPr>
              <w:adjustRightInd w:val="0"/>
              <w:snapToGrid w:val="0"/>
              <w:spacing w:line="300" w:lineRule="exact"/>
              <w:jc w:val="center"/>
              <w:rPr>
                <w:rFonts w:ascii="Times New Roman"/>
                <w:sz w:val="21"/>
                <w:szCs w:val="21"/>
              </w:rPr>
            </w:pPr>
            <w:r>
              <w:rPr>
                <w:rFonts w:ascii="Times New Roman"/>
                <w:sz w:val="21"/>
                <w:szCs w:val="21"/>
              </w:rPr>
              <w:t>监测项目</w:t>
            </w:r>
          </w:p>
        </w:tc>
      </w:tr>
      <w:tr w14:paraId="10D9A171">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97" w:hRule="atLeast"/>
          <w:jc w:val="center"/>
        </w:trPr>
        <w:tc>
          <w:tcPr>
            <w:tcW w:w="2936" w:type="pct"/>
            <w:vAlign w:val="center"/>
          </w:tcPr>
          <w:p w14:paraId="71C02F9E">
            <w:pPr>
              <w:adjustRightInd w:val="0"/>
              <w:snapToGrid w:val="0"/>
              <w:spacing w:line="300" w:lineRule="exact"/>
              <w:jc w:val="center"/>
              <w:rPr>
                <w:rFonts w:ascii="Times New Roman"/>
                <w:sz w:val="21"/>
                <w:szCs w:val="21"/>
              </w:rPr>
            </w:pPr>
            <w:r>
              <w:rPr>
                <w:rFonts w:ascii="Times New Roman"/>
                <w:sz w:val="21"/>
                <w:szCs w:val="21"/>
              </w:rPr>
              <w:t>厂界外东1m</w:t>
            </w:r>
          </w:p>
        </w:tc>
        <w:tc>
          <w:tcPr>
            <w:tcW w:w="944" w:type="pct"/>
            <w:vAlign w:val="center"/>
          </w:tcPr>
          <w:p w14:paraId="490DD974">
            <w:pPr>
              <w:adjustRightInd w:val="0"/>
              <w:snapToGrid w:val="0"/>
              <w:spacing w:line="300" w:lineRule="exact"/>
              <w:jc w:val="center"/>
              <w:rPr>
                <w:rFonts w:ascii="Times New Roman"/>
                <w:sz w:val="21"/>
                <w:szCs w:val="21"/>
              </w:rPr>
            </w:pPr>
            <w:r>
              <w:rPr>
                <w:rFonts w:ascii="Times New Roman"/>
                <w:sz w:val="21"/>
                <w:szCs w:val="21"/>
              </w:rPr>
              <w:t>N1</w:t>
            </w:r>
          </w:p>
        </w:tc>
        <w:tc>
          <w:tcPr>
            <w:tcW w:w="1119" w:type="pct"/>
            <w:vMerge w:val="restart"/>
            <w:vAlign w:val="center"/>
          </w:tcPr>
          <w:p w14:paraId="3E53B09B">
            <w:pPr>
              <w:adjustRightInd w:val="0"/>
              <w:snapToGrid w:val="0"/>
              <w:spacing w:line="300" w:lineRule="exact"/>
              <w:jc w:val="center"/>
              <w:rPr>
                <w:rFonts w:ascii="Times New Roman"/>
                <w:sz w:val="21"/>
                <w:szCs w:val="21"/>
              </w:rPr>
            </w:pPr>
            <w:r>
              <w:rPr>
                <w:rFonts w:ascii="Times New Roman"/>
                <w:sz w:val="21"/>
                <w:szCs w:val="21"/>
              </w:rPr>
              <w:t>连续等效A声级</w:t>
            </w:r>
          </w:p>
        </w:tc>
      </w:tr>
      <w:tr w14:paraId="4E59F675">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97" w:hRule="atLeast"/>
          <w:jc w:val="center"/>
        </w:trPr>
        <w:tc>
          <w:tcPr>
            <w:tcW w:w="2936" w:type="pct"/>
            <w:vAlign w:val="center"/>
          </w:tcPr>
          <w:p w14:paraId="7F1F991F">
            <w:pPr>
              <w:adjustRightInd w:val="0"/>
              <w:snapToGrid w:val="0"/>
              <w:spacing w:line="300" w:lineRule="exact"/>
              <w:jc w:val="center"/>
              <w:rPr>
                <w:rFonts w:ascii="Times New Roman"/>
                <w:sz w:val="21"/>
                <w:szCs w:val="21"/>
              </w:rPr>
            </w:pPr>
            <w:r>
              <w:rPr>
                <w:rFonts w:ascii="Times New Roman"/>
                <w:sz w:val="21"/>
                <w:szCs w:val="21"/>
              </w:rPr>
              <w:t>厂界外南1m</w:t>
            </w:r>
          </w:p>
        </w:tc>
        <w:tc>
          <w:tcPr>
            <w:tcW w:w="944" w:type="pct"/>
            <w:vAlign w:val="center"/>
          </w:tcPr>
          <w:p w14:paraId="222D0BE5">
            <w:pPr>
              <w:adjustRightInd w:val="0"/>
              <w:snapToGrid w:val="0"/>
              <w:spacing w:line="300" w:lineRule="exact"/>
              <w:jc w:val="center"/>
              <w:rPr>
                <w:rFonts w:ascii="Times New Roman"/>
                <w:sz w:val="21"/>
                <w:szCs w:val="21"/>
              </w:rPr>
            </w:pPr>
            <w:r>
              <w:rPr>
                <w:rFonts w:ascii="Times New Roman"/>
                <w:sz w:val="21"/>
                <w:szCs w:val="21"/>
              </w:rPr>
              <w:t>N</w:t>
            </w:r>
            <w:r>
              <w:rPr>
                <w:rFonts w:hint="eastAsia" w:ascii="Times New Roman"/>
                <w:sz w:val="21"/>
                <w:szCs w:val="21"/>
              </w:rPr>
              <w:t>2</w:t>
            </w:r>
          </w:p>
        </w:tc>
        <w:tc>
          <w:tcPr>
            <w:tcW w:w="1119" w:type="pct"/>
            <w:vMerge w:val="continue"/>
            <w:vAlign w:val="center"/>
          </w:tcPr>
          <w:p w14:paraId="60D0B198">
            <w:pPr>
              <w:adjustRightInd w:val="0"/>
              <w:snapToGrid w:val="0"/>
              <w:spacing w:line="300" w:lineRule="exact"/>
              <w:jc w:val="center"/>
              <w:rPr>
                <w:rFonts w:ascii="Times New Roman"/>
                <w:sz w:val="21"/>
                <w:szCs w:val="21"/>
              </w:rPr>
            </w:pPr>
          </w:p>
        </w:tc>
      </w:tr>
      <w:tr w14:paraId="2D015114">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97" w:hRule="atLeast"/>
          <w:jc w:val="center"/>
        </w:trPr>
        <w:tc>
          <w:tcPr>
            <w:tcW w:w="2936" w:type="pct"/>
            <w:vAlign w:val="center"/>
          </w:tcPr>
          <w:p w14:paraId="68F34336">
            <w:pPr>
              <w:adjustRightInd w:val="0"/>
              <w:snapToGrid w:val="0"/>
              <w:spacing w:line="300" w:lineRule="exact"/>
              <w:jc w:val="center"/>
              <w:rPr>
                <w:rFonts w:ascii="Times New Roman"/>
                <w:sz w:val="21"/>
                <w:szCs w:val="21"/>
              </w:rPr>
            </w:pPr>
            <w:r>
              <w:rPr>
                <w:rFonts w:ascii="Times New Roman"/>
                <w:sz w:val="21"/>
                <w:szCs w:val="21"/>
              </w:rPr>
              <w:t>厂界外西1m</w:t>
            </w:r>
          </w:p>
        </w:tc>
        <w:tc>
          <w:tcPr>
            <w:tcW w:w="944" w:type="pct"/>
            <w:vAlign w:val="center"/>
          </w:tcPr>
          <w:p w14:paraId="2264B693">
            <w:pPr>
              <w:adjustRightInd w:val="0"/>
              <w:snapToGrid w:val="0"/>
              <w:spacing w:line="300" w:lineRule="exact"/>
              <w:jc w:val="center"/>
              <w:rPr>
                <w:rFonts w:ascii="Times New Roman"/>
                <w:sz w:val="21"/>
                <w:szCs w:val="21"/>
              </w:rPr>
            </w:pPr>
            <w:r>
              <w:rPr>
                <w:rFonts w:ascii="Times New Roman"/>
                <w:sz w:val="21"/>
                <w:szCs w:val="21"/>
              </w:rPr>
              <w:t>N</w:t>
            </w:r>
            <w:r>
              <w:rPr>
                <w:rFonts w:hint="eastAsia" w:ascii="Times New Roman"/>
                <w:sz w:val="21"/>
                <w:szCs w:val="21"/>
              </w:rPr>
              <w:t>3</w:t>
            </w:r>
          </w:p>
        </w:tc>
        <w:tc>
          <w:tcPr>
            <w:tcW w:w="1119" w:type="pct"/>
            <w:vMerge w:val="continue"/>
            <w:vAlign w:val="center"/>
          </w:tcPr>
          <w:p w14:paraId="0991E1F6">
            <w:pPr>
              <w:adjustRightInd w:val="0"/>
              <w:snapToGrid w:val="0"/>
              <w:spacing w:line="300" w:lineRule="exact"/>
              <w:jc w:val="center"/>
              <w:rPr>
                <w:rFonts w:ascii="Times New Roman"/>
                <w:sz w:val="21"/>
                <w:szCs w:val="21"/>
              </w:rPr>
            </w:pPr>
          </w:p>
        </w:tc>
      </w:tr>
      <w:tr w14:paraId="3DFF0B33">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97" w:hRule="atLeast"/>
          <w:jc w:val="center"/>
        </w:trPr>
        <w:tc>
          <w:tcPr>
            <w:tcW w:w="2936" w:type="pct"/>
            <w:vAlign w:val="center"/>
          </w:tcPr>
          <w:p w14:paraId="0A63A393">
            <w:pPr>
              <w:adjustRightInd w:val="0"/>
              <w:snapToGrid w:val="0"/>
              <w:spacing w:line="300" w:lineRule="exact"/>
              <w:jc w:val="center"/>
              <w:rPr>
                <w:rFonts w:ascii="Times New Roman"/>
                <w:sz w:val="21"/>
                <w:szCs w:val="21"/>
              </w:rPr>
            </w:pPr>
            <w:r>
              <w:rPr>
                <w:rFonts w:ascii="Times New Roman"/>
                <w:sz w:val="21"/>
                <w:szCs w:val="21"/>
              </w:rPr>
              <w:t>厂界外北1m</w:t>
            </w:r>
          </w:p>
        </w:tc>
        <w:tc>
          <w:tcPr>
            <w:tcW w:w="944" w:type="pct"/>
            <w:vAlign w:val="center"/>
          </w:tcPr>
          <w:p w14:paraId="71AEB1B7">
            <w:pPr>
              <w:adjustRightInd w:val="0"/>
              <w:snapToGrid w:val="0"/>
              <w:spacing w:line="300" w:lineRule="exact"/>
              <w:jc w:val="center"/>
              <w:rPr>
                <w:rFonts w:ascii="Times New Roman"/>
                <w:sz w:val="21"/>
                <w:szCs w:val="21"/>
              </w:rPr>
            </w:pPr>
            <w:r>
              <w:rPr>
                <w:rFonts w:ascii="Times New Roman"/>
                <w:sz w:val="21"/>
                <w:szCs w:val="21"/>
              </w:rPr>
              <w:t>N</w:t>
            </w:r>
            <w:r>
              <w:rPr>
                <w:rFonts w:hint="eastAsia" w:ascii="Times New Roman"/>
                <w:sz w:val="21"/>
                <w:szCs w:val="21"/>
              </w:rPr>
              <w:t>4</w:t>
            </w:r>
          </w:p>
        </w:tc>
        <w:tc>
          <w:tcPr>
            <w:tcW w:w="1119" w:type="pct"/>
            <w:vMerge w:val="continue"/>
            <w:vAlign w:val="center"/>
          </w:tcPr>
          <w:p w14:paraId="1B82BE45">
            <w:pPr>
              <w:adjustRightInd w:val="0"/>
              <w:snapToGrid w:val="0"/>
              <w:spacing w:line="300" w:lineRule="exact"/>
              <w:jc w:val="center"/>
              <w:rPr>
                <w:rFonts w:ascii="Times New Roman"/>
                <w:sz w:val="21"/>
                <w:szCs w:val="21"/>
              </w:rPr>
            </w:pPr>
          </w:p>
        </w:tc>
      </w:tr>
      <w:tr w14:paraId="5F1F2B94">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97" w:hRule="atLeast"/>
          <w:jc w:val="center"/>
        </w:trPr>
        <w:tc>
          <w:tcPr>
            <w:tcW w:w="2936" w:type="pct"/>
            <w:vAlign w:val="center"/>
          </w:tcPr>
          <w:p w14:paraId="0EE8935F">
            <w:pPr>
              <w:adjustRightInd w:val="0"/>
              <w:snapToGrid w:val="0"/>
              <w:spacing w:line="300" w:lineRule="exact"/>
              <w:jc w:val="center"/>
              <w:rPr>
                <w:rFonts w:ascii="Times New Roman"/>
                <w:sz w:val="21"/>
                <w:szCs w:val="21"/>
              </w:rPr>
            </w:pPr>
            <w:r>
              <w:rPr>
                <w:rFonts w:ascii="Times New Roman"/>
                <w:sz w:val="21"/>
                <w:szCs w:val="21"/>
              </w:rPr>
              <w:t>厂界西</w:t>
            </w:r>
            <w:r>
              <w:rPr>
                <w:rFonts w:hint="eastAsia" w:ascii="Times New Roman"/>
                <w:sz w:val="21"/>
                <w:szCs w:val="21"/>
              </w:rPr>
              <w:t>北</w:t>
            </w:r>
            <w:r>
              <w:rPr>
                <w:rFonts w:ascii="Times New Roman"/>
                <w:sz w:val="21"/>
                <w:szCs w:val="21"/>
              </w:rPr>
              <w:t>侧</w:t>
            </w:r>
            <w:r>
              <w:rPr>
                <w:rFonts w:hint="eastAsia" w:ascii="Times New Roman"/>
                <w:sz w:val="21"/>
                <w:szCs w:val="21"/>
              </w:rPr>
              <w:t>（戴庄）60</w:t>
            </w:r>
            <w:r>
              <w:rPr>
                <w:rFonts w:ascii="Times New Roman"/>
                <w:sz w:val="21"/>
                <w:szCs w:val="21"/>
              </w:rPr>
              <w:t>m</w:t>
            </w:r>
            <w:r>
              <w:rPr>
                <w:rFonts w:hint="eastAsia"/>
                <w:b w:val="0"/>
                <w:bCs w:val="0"/>
                <w:sz w:val="21"/>
                <w:szCs w:val="21"/>
                <w:lang w:eastAsia="zh-CN"/>
              </w:rPr>
              <w:t>（</w:t>
            </w:r>
            <w:r>
              <w:rPr>
                <w:rFonts w:hint="eastAsia"/>
                <w:b w:val="0"/>
                <w:bCs w:val="0"/>
                <w:sz w:val="21"/>
                <w:szCs w:val="21"/>
                <w:lang w:val="en-US" w:eastAsia="zh-CN"/>
              </w:rPr>
              <w:t>与本项目边界相距145m</w:t>
            </w:r>
            <w:r>
              <w:rPr>
                <w:rFonts w:hint="eastAsia"/>
                <w:b w:val="0"/>
                <w:bCs w:val="0"/>
                <w:sz w:val="21"/>
                <w:szCs w:val="21"/>
                <w:lang w:eastAsia="zh-CN"/>
              </w:rPr>
              <w:t>）</w:t>
            </w:r>
          </w:p>
        </w:tc>
        <w:tc>
          <w:tcPr>
            <w:tcW w:w="944" w:type="pct"/>
            <w:vAlign w:val="center"/>
          </w:tcPr>
          <w:p w14:paraId="52CBFAFD">
            <w:pPr>
              <w:adjustRightInd w:val="0"/>
              <w:snapToGrid w:val="0"/>
              <w:spacing w:line="300" w:lineRule="exact"/>
              <w:jc w:val="center"/>
              <w:rPr>
                <w:rFonts w:ascii="Times New Roman"/>
                <w:sz w:val="21"/>
                <w:szCs w:val="21"/>
              </w:rPr>
            </w:pPr>
            <w:r>
              <w:rPr>
                <w:rFonts w:hint="eastAsia" w:ascii="Times New Roman"/>
                <w:sz w:val="21"/>
                <w:szCs w:val="21"/>
              </w:rPr>
              <w:t>N5</w:t>
            </w:r>
          </w:p>
        </w:tc>
        <w:tc>
          <w:tcPr>
            <w:tcW w:w="1119" w:type="pct"/>
            <w:vMerge w:val="continue"/>
            <w:vAlign w:val="center"/>
          </w:tcPr>
          <w:p w14:paraId="3E9D62B8">
            <w:pPr>
              <w:adjustRightInd w:val="0"/>
              <w:snapToGrid w:val="0"/>
              <w:spacing w:line="300" w:lineRule="exact"/>
              <w:jc w:val="center"/>
              <w:rPr>
                <w:rFonts w:ascii="Times New Roman"/>
                <w:sz w:val="21"/>
                <w:szCs w:val="21"/>
              </w:rPr>
            </w:pPr>
          </w:p>
        </w:tc>
      </w:tr>
      <w:tr w14:paraId="31B61198">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97" w:hRule="atLeast"/>
          <w:jc w:val="center"/>
        </w:trPr>
        <w:tc>
          <w:tcPr>
            <w:tcW w:w="2936" w:type="pct"/>
            <w:vAlign w:val="center"/>
          </w:tcPr>
          <w:p w14:paraId="3D10D3A8">
            <w:pPr>
              <w:adjustRightInd w:val="0"/>
              <w:snapToGrid w:val="0"/>
              <w:spacing w:line="300" w:lineRule="exact"/>
              <w:jc w:val="center"/>
              <w:rPr>
                <w:rFonts w:ascii="Times New Roman"/>
                <w:sz w:val="21"/>
                <w:szCs w:val="21"/>
              </w:rPr>
            </w:pPr>
            <w:r>
              <w:rPr>
                <w:rFonts w:ascii="Times New Roman"/>
                <w:sz w:val="21"/>
                <w:szCs w:val="21"/>
              </w:rPr>
              <w:t>厂界</w:t>
            </w:r>
            <w:r>
              <w:rPr>
                <w:rFonts w:hint="eastAsia" w:ascii="Times New Roman"/>
                <w:sz w:val="21"/>
                <w:szCs w:val="21"/>
              </w:rPr>
              <w:t>西南</w:t>
            </w:r>
            <w:r>
              <w:rPr>
                <w:rFonts w:ascii="Times New Roman"/>
                <w:sz w:val="21"/>
                <w:szCs w:val="21"/>
              </w:rPr>
              <w:t>侧</w:t>
            </w:r>
            <w:r>
              <w:rPr>
                <w:rFonts w:hint="eastAsia" w:ascii="Times New Roman"/>
                <w:sz w:val="21"/>
                <w:szCs w:val="21"/>
              </w:rPr>
              <w:t>（油坊庄）</w:t>
            </w:r>
            <w:r>
              <w:rPr>
                <w:rFonts w:ascii="Times New Roman"/>
                <w:sz w:val="21"/>
                <w:szCs w:val="21"/>
              </w:rPr>
              <w:t>1</w:t>
            </w:r>
            <w:r>
              <w:rPr>
                <w:rFonts w:hint="eastAsia" w:ascii="Times New Roman"/>
                <w:sz w:val="21"/>
                <w:szCs w:val="21"/>
              </w:rPr>
              <w:t>90</w:t>
            </w:r>
            <w:r>
              <w:rPr>
                <w:rFonts w:ascii="Times New Roman"/>
                <w:sz w:val="21"/>
                <w:szCs w:val="21"/>
              </w:rPr>
              <w:t>m</w:t>
            </w:r>
            <w:r>
              <w:rPr>
                <w:rFonts w:hint="eastAsia"/>
                <w:b w:val="0"/>
                <w:bCs w:val="0"/>
                <w:sz w:val="21"/>
                <w:szCs w:val="21"/>
                <w:lang w:eastAsia="zh-CN"/>
              </w:rPr>
              <w:t>（</w:t>
            </w:r>
            <w:r>
              <w:rPr>
                <w:rFonts w:hint="eastAsia"/>
                <w:b w:val="0"/>
                <w:bCs w:val="0"/>
                <w:sz w:val="21"/>
                <w:szCs w:val="21"/>
                <w:lang w:val="en-US" w:eastAsia="zh-CN"/>
              </w:rPr>
              <w:t>与本项目边界相距245m</w:t>
            </w:r>
            <w:r>
              <w:rPr>
                <w:rFonts w:hint="eastAsia"/>
                <w:b w:val="0"/>
                <w:bCs w:val="0"/>
                <w:sz w:val="21"/>
                <w:szCs w:val="21"/>
                <w:lang w:eastAsia="zh-CN"/>
              </w:rPr>
              <w:t>）</w:t>
            </w:r>
          </w:p>
        </w:tc>
        <w:tc>
          <w:tcPr>
            <w:tcW w:w="944" w:type="pct"/>
            <w:vAlign w:val="center"/>
          </w:tcPr>
          <w:p w14:paraId="4932D4F9">
            <w:pPr>
              <w:adjustRightInd w:val="0"/>
              <w:snapToGrid w:val="0"/>
              <w:spacing w:line="300" w:lineRule="exact"/>
              <w:jc w:val="center"/>
              <w:rPr>
                <w:rFonts w:ascii="Times New Roman"/>
                <w:sz w:val="21"/>
                <w:szCs w:val="21"/>
              </w:rPr>
            </w:pPr>
            <w:r>
              <w:rPr>
                <w:rFonts w:hint="eastAsia" w:ascii="Times New Roman"/>
                <w:sz w:val="21"/>
                <w:szCs w:val="21"/>
              </w:rPr>
              <w:t>N6</w:t>
            </w:r>
          </w:p>
        </w:tc>
        <w:tc>
          <w:tcPr>
            <w:tcW w:w="1119" w:type="pct"/>
            <w:vMerge w:val="continue"/>
            <w:vAlign w:val="center"/>
          </w:tcPr>
          <w:p w14:paraId="25F41277">
            <w:pPr>
              <w:adjustRightInd w:val="0"/>
              <w:snapToGrid w:val="0"/>
              <w:spacing w:line="300" w:lineRule="exact"/>
              <w:jc w:val="center"/>
              <w:rPr>
                <w:rFonts w:ascii="Times New Roman"/>
                <w:sz w:val="21"/>
                <w:szCs w:val="21"/>
              </w:rPr>
            </w:pPr>
          </w:p>
        </w:tc>
      </w:tr>
    </w:tbl>
    <w:p w14:paraId="4E19A7FE">
      <w:pPr>
        <w:spacing w:line="500" w:lineRule="exact"/>
        <w:ind w:firstLine="480" w:firstLineChars="200"/>
      </w:pPr>
      <w:r>
        <w:rPr>
          <w:rFonts w:hint="eastAsia"/>
        </w:rPr>
        <w:t>（2）监测时间及频次</w:t>
      </w:r>
    </w:p>
    <w:p w14:paraId="16FF6B98">
      <w:pPr>
        <w:spacing w:line="500" w:lineRule="exact"/>
        <w:ind w:firstLine="480" w:firstLineChars="200"/>
      </w:pPr>
      <w:r>
        <w:rPr>
          <w:rFonts w:hint="eastAsia"/>
        </w:rPr>
        <w:t>本次环评声环境现状监测委托江苏迈斯特环境检测有限公司进行，监测时间2024年7月2日～2024年7月3日（N1～N4），连续监测2天，昼夜各监测一次。</w:t>
      </w:r>
    </w:p>
    <w:p w14:paraId="1A67A25B">
      <w:pPr>
        <w:spacing w:line="500" w:lineRule="exact"/>
        <w:ind w:firstLine="480" w:firstLineChars="200"/>
      </w:pPr>
      <w:r>
        <w:rPr>
          <w:rFonts w:hint="eastAsia"/>
        </w:rPr>
        <w:t>（3）监测方法</w:t>
      </w:r>
    </w:p>
    <w:p w14:paraId="42E21B04">
      <w:pPr>
        <w:spacing w:line="500" w:lineRule="exact"/>
        <w:ind w:firstLine="480" w:firstLineChars="200"/>
      </w:pPr>
      <w:r>
        <w:rPr>
          <w:rFonts w:hint="eastAsia"/>
        </w:rPr>
        <w:t>监测方法执行《声环境质量标准》（GB3906-2008）中附录B声环境功能区监测方法的规定，使用符合国家计量规定的声级计进行监测。</w:t>
      </w:r>
    </w:p>
    <w:p w14:paraId="6664D536">
      <w:pPr>
        <w:spacing w:line="500" w:lineRule="exact"/>
        <w:ind w:firstLine="480" w:firstLineChars="200"/>
        <w:rPr>
          <w:szCs w:val="24"/>
        </w:rPr>
      </w:pPr>
      <w:r>
        <w:rPr>
          <w:rFonts w:hint="eastAsia"/>
          <w:szCs w:val="24"/>
        </w:rPr>
        <w:t>（4）声环境质量现状监测结果与评价</w:t>
      </w:r>
    </w:p>
    <w:p w14:paraId="15F24E94">
      <w:pPr>
        <w:keepNext w:val="0"/>
        <w:keepLines w:val="0"/>
        <w:pageBreakBefore w:val="0"/>
        <w:widowControl w:val="0"/>
        <w:kinsoku/>
        <w:wordWrap/>
        <w:overflowPunct/>
        <w:topLinePunct w:val="0"/>
        <w:autoSpaceDE/>
        <w:autoSpaceDN/>
        <w:bidi w:val="0"/>
        <w:snapToGrid/>
        <w:spacing w:line="480" w:lineRule="exact"/>
        <w:ind w:firstLine="480"/>
        <w:textAlignment w:val="auto"/>
        <w:rPr>
          <w:rFonts w:ascii="Times New Roman"/>
          <w:color w:val="000000"/>
          <w:szCs w:val="24"/>
        </w:rPr>
      </w:pPr>
      <w:r>
        <w:rPr>
          <w:rFonts w:ascii="Times New Roman"/>
          <w:color w:val="000000"/>
          <w:szCs w:val="24"/>
        </w:rPr>
        <w:t>1）评价方法</w:t>
      </w:r>
    </w:p>
    <w:p w14:paraId="2AA64C8D">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rPr>
          <w:rFonts w:ascii="Times New Roman"/>
          <w:color w:val="000000"/>
          <w:szCs w:val="24"/>
        </w:rPr>
      </w:pPr>
      <w:r>
        <w:rPr>
          <w:rFonts w:ascii="Times New Roman"/>
          <w:color w:val="000000"/>
          <w:szCs w:val="24"/>
        </w:rPr>
        <w:t>用监测结果与评价标准对比对评价区声环境质量进行评价。</w:t>
      </w:r>
    </w:p>
    <w:p w14:paraId="575D1A17">
      <w:pPr>
        <w:keepNext w:val="0"/>
        <w:keepLines w:val="0"/>
        <w:pageBreakBefore w:val="0"/>
        <w:widowControl w:val="0"/>
        <w:kinsoku/>
        <w:wordWrap/>
        <w:overflowPunct/>
        <w:topLinePunct w:val="0"/>
        <w:autoSpaceDE/>
        <w:autoSpaceDN/>
        <w:bidi w:val="0"/>
        <w:snapToGrid/>
        <w:spacing w:line="480" w:lineRule="exact"/>
        <w:ind w:firstLine="480"/>
        <w:textAlignment w:val="auto"/>
        <w:rPr>
          <w:rFonts w:ascii="Times New Roman"/>
          <w:color w:val="000000"/>
          <w:szCs w:val="24"/>
        </w:rPr>
      </w:pPr>
      <w:r>
        <w:rPr>
          <w:rFonts w:ascii="Times New Roman"/>
          <w:color w:val="000000"/>
          <w:szCs w:val="24"/>
        </w:rPr>
        <w:t>2）评价标准</w:t>
      </w:r>
    </w:p>
    <w:p w14:paraId="20397D7D">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rPr>
          <w:rFonts w:ascii="Times New Roman"/>
          <w:color w:val="000000"/>
          <w:szCs w:val="24"/>
        </w:rPr>
      </w:pPr>
      <w:r>
        <w:rPr>
          <w:rFonts w:hint="eastAsia" w:ascii="Times New Roman"/>
          <w:color w:val="000000"/>
          <w:szCs w:val="24"/>
        </w:rPr>
        <w:t>项目厂界</w:t>
      </w:r>
      <w:r>
        <w:rPr>
          <w:rFonts w:ascii="Times New Roman"/>
          <w:color w:val="000000"/>
          <w:szCs w:val="24"/>
        </w:rPr>
        <w:t>噪声执行《声环境质量标准》（GB3096-2008）</w:t>
      </w:r>
      <w:r>
        <w:rPr>
          <w:rFonts w:hint="eastAsia" w:ascii="Times New Roman"/>
          <w:color w:val="000000"/>
          <w:szCs w:val="24"/>
        </w:rPr>
        <w:t>1</w:t>
      </w:r>
      <w:r>
        <w:rPr>
          <w:rFonts w:ascii="Times New Roman"/>
          <w:color w:val="000000"/>
          <w:szCs w:val="24"/>
        </w:rPr>
        <w:t>类标准，即昼间</w:t>
      </w:r>
      <w:r>
        <w:rPr>
          <w:rFonts w:hint="eastAsia" w:ascii="Times New Roman"/>
          <w:color w:val="000000"/>
          <w:szCs w:val="24"/>
        </w:rPr>
        <w:t>5</w:t>
      </w:r>
      <w:r>
        <w:rPr>
          <w:rFonts w:ascii="Times New Roman"/>
          <w:color w:val="000000"/>
          <w:szCs w:val="24"/>
        </w:rPr>
        <w:t>5dB(A)、夜间</w:t>
      </w:r>
      <w:r>
        <w:rPr>
          <w:rFonts w:hint="eastAsia" w:ascii="Times New Roman"/>
          <w:color w:val="000000"/>
          <w:szCs w:val="24"/>
        </w:rPr>
        <w:t>4</w:t>
      </w:r>
      <w:r>
        <w:rPr>
          <w:rFonts w:ascii="Times New Roman"/>
          <w:color w:val="000000"/>
          <w:szCs w:val="24"/>
        </w:rPr>
        <w:t>5dB(A)</w:t>
      </w:r>
      <w:r>
        <w:rPr>
          <w:rFonts w:hint="eastAsia" w:ascii="Times New Roman"/>
          <w:color w:val="000000"/>
          <w:szCs w:val="24"/>
        </w:rPr>
        <w:t>；周边敏感点</w:t>
      </w:r>
      <w:r>
        <w:rPr>
          <w:rFonts w:ascii="Times New Roman"/>
          <w:color w:val="000000"/>
          <w:szCs w:val="24"/>
        </w:rPr>
        <w:t>噪声执行《声环境质量标准》（GB3096-2008）</w:t>
      </w:r>
      <w:r>
        <w:rPr>
          <w:rFonts w:hint="eastAsia" w:ascii="Times New Roman"/>
          <w:color w:val="000000"/>
          <w:szCs w:val="24"/>
        </w:rPr>
        <w:t>1</w:t>
      </w:r>
      <w:r>
        <w:rPr>
          <w:rFonts w:ascii="Times New Roman"/>
          <w:color w:val="000000"/>
          <w:szCs w:val="24"/>
        </w:rPr>
        <w:t>类标准，即昼间</w:t>
      </w:r>
      <w:r>
        <w:rPr>
          <w:rFonts w:hint="eastAsia" w:ascii="Times New Roman"/>
          <w:color w:val="000000"/>
          <w:szCs w:val="24"/>
        </w:rPr>
        <w:t>55</w:t>
      </w:r>
      <w:r>
        <w:rPr>
          <w:rFonts w:ascii="Times New Roman"/>
          <w:color w:val="000000"/>
          <w:szCs w:val="24"/>
        </w:rPr>
        <w:t>dB(A)、夜间</w:t>
      </w:r>
      <w:r>
        <w:rPr>
          <w:rFonts w:hint="eastAsia" w:ascii="Times New Roman"/>
          <w:color w:val="000000"/>
          <w:szCs w:val="24"/>
        </w:rPr>
        <w:t>45</w:t>
      </w:r>
      <w:r>
        <w:rPr>
          <w:rFonts w:ascii="Times New Roman"/>
          <w:color w:val="000000"/>
          <w:szCs w:val="24"/>
        </w:rPr>
        <w:t>dB(A)。</w:t>
      </w:r>
    </w:p>
    <w:p w14:paraId="73222E3A">
      <w:pPr>
        <w:keepNext w:val="0"/>
        <w:keepLines w:val="0"/>
        <w:pageBreakBefore w:val="0"/>
        <w:widowControl w:val="0"/>
        <w:kinsoku/>
        <w:wordWrap/>
        <w:overflowPunct/>
        <w:topLinePunct w:val="0"/>
        <w:autoSpaceDE/>
        <w:autoSpaceDN/>
        <w:bidi w:val="0"/>
        <w:snapToGrid/>
        <w:spacing w:line="480" w:lineRule="exact"/>
        <w:ind w:firstLine="480"/>
        <w:textAlignment w:val="auto"/>
        <w:rPr>
          <w:rFonts w:ascii="Times New Roman"/>
          <w:color w:val="000000"/>
          <w:szCs w:val="24"/>
        </w:rPr>
      </w:pPr>
      <w:r>
        <w:rPr>
          <w:rFonts w:ascii="Times New Roman"/>
          <w:color w:val="000000"/>
          <w:szCs w:val="24"/>
        </w:rPr>
        <w:t>3）监测结果与评价</w:t>
      </w:r>
    </w:p>
    <w:p w14:paraId="0E4F1EB7">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rPr>
          <w:rFonts w:ascii="Times New Roman"/>
          <w:color w:val="000000"/>
          <w:szCs w:val="24"/>
        </w:rPr>
      </w:pPr>
      <w:r>
        <w:rPr>
          <w:rFonts w:ascii="Times New Roman"/>
          <w:color w:val="000000"/>
          <w:szCs w:val="24"/>
        </w:rPr>
        <w:t>噪声监测结果见表4.3-</w:t>
      </w:r>
      <w:r>
        <w:rPr>
          <w:rFonts w:hint="eastAsia" w:ascii="Times New Roman"/>
          <w:color w:val="000000"/>
          <w:szCs w:val="24"/>
        </w:rPr>
        <w:t>11</w:t>
      </w:r>
      <w:r>
        <w:rPr>
          <w:rFonts w:ascii="Times New Roman"/>
          <w:color w:val="000000"/>
          <w:szCs w:val="24"/>
        </w:rPr>
        <w:t>。</w:t>
      </w:r>
    </w:p>
    <w:p w14:paraId="7229441E">
      <w:pPr>
        <w:keepNext w:val="0"/>
        <w:keepLines w:val="0"/>
        <w:pageBreakBefore w:val="0"/>
        <w:widowControl w:val="0"/>
        <w:kinsoku/>
        <w:wordWrap/>
        <w:overflowPunct/>
        <w:topLinePunct w:val="0"/>
        <w:autoSpaceDE/>
        <w:autoSpaceDN/>
        <w:bidi w:val="0"/>
        <w:adjustRightInd w:val="0"/>
        <w:snapToGrid/>
        <w:spacing w:line="480" w:lineRule="exact"/>
        <w:jc w:val="center"/>
        <w:textAlignment w:val="auto"/>
        <w:rPr>
          <w:rFonts w:ascii="Times New Roman"/>
          <w:b/>
          <w:bCs/>
          <w:szCs w:val="24"/>
        </w:rPr>
      </w:pPr>
      <w:r>
        <w:rPr>
          <w:rFonts w:ascii="Times New Roman" w:hAnsi="宋体"/>
          <w:b/>
          <w:bCs/>
          <w:szCs w:val="24"/>
        </w:rPr>
        <w:t>表</w:t>
      </w:r>
      <w:r>
        <w:rPr>
          <w:rFonts w:ascii="Times New Roman"/>
          <w:b/>
          <w:bCs/>
          <w:szCs w:val="24"/>
        </w:rPr>
        <w:t>4.3</w:t>
      </w:r>
      <w:r>
        <w:rPr>
          <w:rFonts w:hint="eastAsia" w:ascii="Times New Roman"/>
          <w:b/>
          <w:bCs/>
          <w:szCs w:val="24"/>
        </w:rPr>
        <w:t>-11</w:t>
      </w:r>
      <w:r>
        <w:rPr>
          <w:rFonts w:ascii="Times New Roman"/>
          <w:b/>
          <w:bCs/>
          <w:szCs w:val="24"/>
        </w:rPr>
        <w:t xml:space="preserve"> </w:t>
      </w:r>
      <w:r>
        <w:rPr>
          <w:rFonts w:ascii="Times New Roman" w:hAnsi="宋体"/>
          <w:b/>
          <w:bCs/>
          <w:szCs w:val="24"/>
        </w:rPr>
        <w:t>项目</w:t>
      </w:r>
      <w:r>
        <w:rPr>
          <w:rFonts w:ascii="Times New Roman"/>
          <w:b/>
          <w:bCs/>
          <w:color w:val="000000"/>
          <w:szCs w:val="24"/>
        </w:rPr>
        <w:t>声环境质量现状监测结果</w:t>
      </w:r>
      <w:r>
        <w:rPr>
          <w:rFonts w:ascii="Times New Roman" w:hAnsi="宋体"/>
          <w:b/>
          <w:bCs/>
          <w:szCs w:val="24"/>
        </w:rPr>
        <w:t>统计表（单位：</w:t>
      </w:r>
      <w:r>
        <w:rPr>
          <w:rFonts w:ascii="Times New Roman"/>
          <w:b/>
          <w:bCs/>
          <w:szCs w:val="24"/>
        </w:rPr>
        <w:t>dB (A)</w:t>
      </w:r>
      <w:r>
        <w:rPr>
          <w:rFonts w:ascii="Times New Roman" w:hAnsi="宋体"/>
          <w:b/>
          <w:bCs/>
          <w:szCs w:val="24"/>
        </w:rPr>
        <w:t>）</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1193"/>
        <w:gridCol w:w="1001"/>
        <w:gridCol w:w="1001"/>
        <w:gridCol w:w="903"/>
        <w:gridCol w:w="1120"/>
        <w:gridCol w:w="1020"/>
        <w:gridCol w:w="1020"/>
        <w:gridCol w:w="854"/>
        <w:gridCol w:w="1176"/>
      </w:tblGrid>
      <w:tr w14:paraId="51A34EC7">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restart"/>
            <w:vAlign w:val="center"/>
          </w:tcPr>
          <w:p w14:paraId="35D4C973">
            <w:pPr>
              <w:pStyle w:val="58"/>
              <w:tabs>
                <w:tab w:val="left" w:pos="0"/>
              </w:tabs>
              <w:spacing w:line="300" w:lineRule="exact"/>
            </w:pPr>
            <w:r>
              <w:t>监测点位</w:t>
            </w:r>
          </w:p>
        </w:tc>
        <w:tc>
          <w:tcPr>
            <w:tcW w:w="4357" w:type="pct"/>
            <w:gridSpan w:val="8"/>
            <w:vAlign w:val="center"/>
          </w:tcPr>
          <w:p w14:paraId="1488110B">
            <w:pPr>
              <w:pStyle w:val="58"/>
              <w:tabs>
                <w:tab w:val="left" w:pos="0"/>
              </w:tabs>
              <w:spacing w:line="300" w:lineRule="exact"/>
            </w:pPr>
            <w:r>
              <w:t>等效声级</w:t>
            </w:r>
          </w:p>
        </w:tc>
      </w:tr>
      <w:tr w14:paraId="272999B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vAlign w:val="center"/>
          </w:tcPr>
          <w:p w14:paraId="7BE81129">
            <w:pPr>
              <w:pStyle w:val="58"/>
              <w:tabs>
                <w:tab w:val="left" w:pos="0"/>
              </w:tabs>
              <w:spacing w:line="300" w:lineRule="exact"/>
            </w:pPr>
          </w:p>
        </w:tc>
        <w:tc>
          <w:tcPr>
            <w:tcW w:w="2167" w:type="pct"/>
            <w:gridSpan w:val="4"/>
            <w:vAlign w:val="center"/>
          </w:tcPr>
          <w:p w14:paraId="2F26FD1E">
            <w:pPr>
              <w:pStyle w:val="58"/>
              <w:tabs>
                <w:tab w:val="left" w:pos="0"/>
              </w:tabs>
              <w:spacing w:line="300" w:lineRule="exact"/>
            </w:pPr>
            <w:r>
              <w:t>昼间</w:t>
            </w:r>
          </w:p>
        </w:tc>
        <w:tc>
          <w:tcPr>
            <w:tcW w:w="2189" w:type="pct"/>
            <w:gridSpan w:val="4"/>
            <w:vAlign w:val="center"/>
          </w:tcPr>
          <w:p w14:paraId="69DC7A40">
            <w:pPr>
              <w:pStyle w:val="58"/>
              <w:tabs>
                <w:tab w:val="left" w:pos="0"/>
              </w:tabs>
              <w:spacing w:line="300" w:lineRule="exact"/>
            </w:pPr>
            <w:r>
              <w:t>夜间</w:t>
            </w:r>
          </w:p>
        </w:tc>
      </w:tr>
      <w:tr w14:paraId="1ED1D7A0">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shd w:val="clear" w:color="auto" w:fill="auto"/>
            <w:vAlign w:val="center"/>
          </w:tcPr>
          <w:p w14:paraId="5F28F846">
            <w:pPr>
              <w:pStyle w:val="58"/>
              <w:tabs>
                <w:tab w:val="left" w:pos="0"/>
              </w:tabs>
              <w:spacing w:line="300" w:lineRule="exact"/>
            </w:pPr>
          </w:p>
        </w:tc>
        <w:tc>
          <w:tcPr>
            <w:tcW w:w="539" w:type="pct"/>
            <w:shd w:val="clear" w:color="auto" w:fill="auto"/>
            <w:vAlign w:val="center"/>
          </w:tcPr>
          <w:p w14:paraId="4A555174">
            <w:pPr>
              <w:pStyle w:val="58"/>
              <w:tabs>
                <w:tab w:val="left" w:pos="0"/>
              </w:tabs>
              <w:spacing w:line="300" w:lineRule="exact"/>
            </w:pPr>
            <w:r>
              <w:rPr>
                <w:rFonts w:hint="eastAsia"/>
              </w:rPr>
              <w:t>2024.7.2</w:t>
            </w:r>
          </w:p>
        </w:tc>
        <w:tc>
          <w:tcPr>
            <w:tcW w:w="539" w:type="pct"/>
            <w:shd w:val="clear" w:color="auto" w:fill="auto"/>
            <w:vAlign w:val="center"/>
          </w:tcPr>
          <w:p w14:paraId="6F875415">
            <w:pPr>
              <w:pStyle w:val="58"/>
              <w:tabs>
                <w:tab w:val="left" w:pos="0"/>
              </w:tabs>
              <w:spacing w:line="300" w:lineRule="exact"/>
            </w:pPr>
            <w:r>
              <w:rPr>
                <w:rFonts w:hint="eastAsia"/>
              </w:rPr>
              <w:t>2024.7.3</w:t>
            </w:r>
          </w:p>
        </w:tc>
        <w:tc>
          <w:tcPr>
            <w:tcW w:w="486" w:type="pct"/>
            <w:shd w:val="clear" w:color="auto" w:fill="auto"/>
            <w:vAlign w:val="center"/>
          </w:tcPr>
          <w:p w14:paraId="1DC50371">
            <w:pPr>
              <w:pStyle w:val="58"/>
              <w:tabs>
                <w:tab w:val="left" w:pos="0"/>
              </w:tabs>
              <w:spacing w:line="300" w:lineRule="exact"/>
            </w:pPr>
            <w:r>
              <w:t>标准</w:t>
            </w:r>
          </w:p>
        </w:tc>
        <w:tc>
          <w:tcPr>
            <w:tcW w:w="601" w:type="pct"/>
            <w:shd w:val="clear" w:color="auto" w:fill="BEBEBE"/>
            <w:vAlign w:val="center"/>
          </w:tcPr>
          <w:p w14:paraId="738A19AF">
            <w:pPr>
              <w:pStyle w:val="58"/>
              <w:tabs>
                <w:tab w:val="left" w:pos="0"/>
              </w:tabs>
              <w:spacing w:line="300" w:lineRule="exact"/>
            </w:pPr>
            <w:r>
              <w:t>评价</w:t>
            </w:r>
            <w:r>
              <w:rPr>
                <w:rFonts w:hint="eastAsia"/>
              </w:rPr>
              <w:t>结果</w:t>
            </w:r>
          </w:p>
        </w:tc>
        <w:tc>
          <w:tcPr>
            <w:tcW w:w="1021" w:type="dxa"/>
            <w:shd w:val="clear" w:color="auto" w:fill="auto"/>
            <w:vAlign w:val="center"/>
          </w:tcPr>
          <w:p w14:paraId="126C0ACB">
            <w:pPr>
              <w:pStyle w:val="58"/>
              <w:tabs>
                <w:tab w:val="left" w:pos="0"/>
              </w:tabs>
              <w:spacing w:line="300" w:lineRule="exact"/>
            </w:pPr>
            <w:r>
              <w:rPr>
                <w:rFonts w:hint="eastAsia"/>
              </w:rPr>
              <w:t>2024.7.2</w:t>
            </w:r>
          </w:p>
        </w:tc>
        <w:tc>
          <w:tcPr>
            <w:tcW w:w="1021" w:type="dxa"/>
            <w:shd w:val="clear" w:color="auto" w:fill="auto"/>
            <w:vAlign w:val="center"/>
          </w:tcPr>
          <w:p w14:paraId="0426D3BA">
            <w:pPr>
              <w:pStyle w:val="58"/>
              <w:tabs>
                <w:tab w:val="left" w:pos="0"/>
              </w:tabs>
              <w:spacing w:line="300" w:lineRule="exact"/>
            </w:pPr>
            <w:r>
              <w:rPr>
                <w:rFonts w:hint="eastAsia"/>
              </w:rPr>
              <w:t>2024.7.3</w:t>
            </w:r>
          </w:p>
        </w:tc>
        <w:tc>
          <w:tcPr>
            <w:tcW w:w="460" w:type="pct"/>
            <w:shd w:val="clear" w:color="auto" w:fill="auto"/>
            <w:vAlign w:val="center"/>
          </w:tcPr>
          <w:p w14:paraId="29B2A932">
            <w:pPr>
              <w:pStyle w:val="58"/>
              <w:tabs>
                <w:tab w:val="left" w:pos="0"/>
              </w:tabs>
              <w:spacing w:line="300" w:lineRule="exact"/>
            </w:pPr>
            <w:r>
              <w:t>标准</w:t>
            </w:r>
          </w:p>
        </w:tc>
        <w:tc>
          <w:tcPr>
            <w:tcW w:w="629" w:type="pct"/>
            <w:shd w:val="clear" w:color="auto" w:fill="BEBEBE"/>
            <w:vAlign w:val="center"/>
          </w:tcPr>
          <w:p w14:paraId="3E27B779">
            <w:pPr>
              <w:pStyle w:val="58"/>
              <w:tabs>
                <w:tab w:val="left" w:pos="0"/>
              </w:tabs>
              <w:spacing w:line="300" w:lineRule="exact"/>
            </w:pPr>
            <w:r>
              <w:t>评价</w:t>
            </w:r>
            <w:r>
              <w:rPr>
                <w:rFonts w:hint="eastAsia"/>
              </w:rPr>
              <w:t>结果</w:t>
            </w:r>
          </w:p>
        </w:tc>
      </w:tr>
      <w:tr w14:paraId="0A19C032">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642" w:type="pct"/>
            <w:shd w:val="clear" w:color="auto" w:fill="auto"/>
            <w:vAlign w:val="center"/>
          </w:tcPr>
          <w:p w14:paraId="3D43D348">
            <w:pPr>
              <w:widowControl/>
              <w:spacing w:line="300" w:lineRule="exact"/>
              <w:jc w:val="center"/>
              <w:rPr>
                <w:rFonts w:ascii="Times New Roman" w:eastAsia="宋体"/>
                <w:sz w:val="21"/>
                <w:szCs w:val="21"/>
              </w:rPr>
            </w:pPr>
            <w:r>
              <w:rPr>
                <w:rFonts w:ascii="Times New Roman" w:eastAsia="宋体"/>
                <w:sz w:val="21"/>
                <w:szCs w:val="21"/>
              </w:rPr>
              <w:t>N1</w:t>
            </w:r>
          </w:p>
        </w:tc>
        <w:tc>
          <w:tcPr>
            <w:tcW w:w="539" w:type="pct"/>
            <w:shd w:val="clear" w:color="auto" w:fill="auto"/>
            <w:vAlign w:val="center"/>
          </w:tcPr>
          <w:p w14:paraId="7154F43E">
            <w:pPr>
              <w:widowControl/>
              <w:spacing w:line="300" w:lineRule="exact"/>
              <w:jc w:val="center"/>
              <w:rPr>
                <w:rFonts w:ascii="Times New Roman" w:eastAsia="宋体"/>
                <w:sz w:val="21"/>
                <w:szCs w:val="21"/>
              </w:rPr>
            </w:pPr>
          </w:p>
        </w:tc>
        <w:tc>
          <w:tcPr>
            <w:tcW w:w="539" w:type="pct"/>
            <w:shd w:val="clear" w:color="auto" w:fill="auto"/>
            <w:vAlign w:val="center"/>
          </w:tcPr>
          <w:p w14:paraId="4E598212">
            <w:pPr>
              <w:widowControl/>
              <w:spacing w:line="300" w:lineRule="exact"/>
              <w:jc w:val="center"/>
              <w:rPr>
                <w:rFonts w:ascii="Times New Roman" w:eastAsia="宋体"/>
                <w:sz w:val="21"/>
                <w:szCs w:val="21"/>
              </w:rPr>
            </w:pPr>
          </w:p>
        </w:tc>
        <w:tc>
          <w:tcPr>
            <w:tcW w:w="486" w:type="pct"/>
            <w:shd w:val="clear" w:color="auto" w:fill="auto"/>
            <w:vAlign w:val="center"/>
          </w:tcPr>
          <w:p w14:paraId="1EBB6D04">
            <w:pPr>
              <w:pStyle w:val="58"/>
              <w:tabs>
                <w:tab w:val="left" w:pos="0"/>
              </w:tabs>
              <w:spacing w:line="300" w:lineRule="exact"/>
            </w:pPr>
            <w:r>
              <w:rPr>
                <w:rFonts w:hint="eastAsia"/>
              </w:rPr>
              <w:t>55</w:t>
            </w:r>
          </w:p>
        </w:tc>
        <w:tc>
          <w:tcPr>
            <w:tcW w:w="601" w:type="pct"/>
            <w:shd w:val="clear" w:color="auto" w:fill="BEBEBE"/>
            <w:vAlign w:val="center"/>
          </w:tcPr>
          <w:p w14:paraId="4A78892F">
            <w:pPr>
              <w:pStyle w:val="58"/>
              <w:tabs>
                <w:tab w:val="left" w:pos="0"/>
              </w:tabs>
              <w:spacing w:line="300" w:lineRule="exact"/>
            </w:pPr>
            <w:r>
              <w:t>达标</w:t>
            </w:r>
          </w:p>
        </w:tc>
        <w:tc>
          <w:tcPr>
            <w:tcW w:w="549" w:type="pct"/>
            <w:shd w:val="clear" w:color="auto" w:fill="auto"/>
            <w:vAlign w:val="center"/>
          </w:tcPr>
          <w:p w14:paraId="1E478757">
            <w:pPr>
              <w:widowControl/>
              <w:spacing w:line="300" w:lineRule="exact"/>
              <w:jc w:val="center"/>
              <w:rPr>
                <w:rFonts w:ascii="Times New Roman" w:eastAsia="宋体"/>
                <w:sz w:val="21"/>
                <w:szCs w:val="21"/>
              </w:rPr>
            </w:pPr>
          </w:p>
        </w:tc>
        <w:tc>
          <w:tcPr>
            <w:tcW w:w="549" w:type="pct"/>
            <w:shd w:val="clear" w:color="auto" w:fill="auto"/>
            <w:vAlign w:val="center"/>
          </w:tcPr>
          <w:p w14:paraId="272A27C7">
            <w:pPr>
              <w:widowControl/>
              <w:spacing w:line="300" w:lineRule="exact"/>
              <w:jc w:val="center"/>
              <w:rPr>
                <w:rFonts w:ascii="Times New Roman" w:eastAsia="宋体"/>
                <w:sz w:val="21"/>
                <w:szCs w:val="21"/>
              </w:rPr>
            </w:pPr>
          </w:p>
        </w:tc>
        <w:tc>
          <w:tcPr>
            <w:tcW w:w="460" w:type="pct"/>
            <w:shd w:val="clear" w:color="auto" w:fill="auto"/>
            <w:vAlign w:val="center"/>
          </w:tcPr>
          <w:p w14:paraId="27C2497F">
            <w:pPr>
              <w:pStyle w:val="58"/>
              <w:tabs>
                <w:tab w:val="left" w:pos="0"/>
              </w:tabs>
              <w:spacing w:line="300" w:lineRule="exact"/>
            </w:pPr>
            <w:r>
              <w:rPr>
                <w:rFonts w:hint="eastAsia"/>
              </w:rPr>
              <w:t>45</w:t>
            </w:r>
          </w:p>
        </w:tc>
        <w:tc>
          <w:tcPr>
            <w:tcW w:w="629" w:type="pct"/>
            <w:shd w:val="clear" w:color="auto" w:fill="BEBEBE"/>
            <w:vAlign w:val="center"/>
          </w:tcPr>
          <w:p w14:paraId="6EA03104">
            <w:pPr>
              <w:pStyle w:val="58"/>
              <w:tabs>
                <w:tab w:val="left" w:pos="0"/>
              </w:tabs>
              <w:spacing w:line="300" w:lineRule="exact"/>
            </w:pPr>
            <w:r>
              <w:t>达标</w:t>
            </w:r>
          </w:p>
        </w:tc>
      </w:tr>
      <w:tr w14:paraId="0A3E4F1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642" w:type="pct"/>
            <w:shd w:val="clear" w:color="auto" w:fill="auto"/>
            <w:vAlign w:val="center"/>
          </w:tcPr>
          <w:p w14:paraId="4A439681">
            <w:pPr>
              <w:widowControl/>
              <w:spacing w:line="300" w:lineRule="exact"/>
              <w:jc w:val="center"/>
              <w:rPr>
                <w:rFonts w:ascii="Times New Roman" w:eastAsia="宋体"/>
                <w:sz w:val="21"/>
                <w:szCs w:val="21"/>
              </w:rPr>
            </w:pPr>
            <w:r>
              <w:rPr>
                <w:rFonts w:ascii="Times New Roman" w:eastAsia="宋体"/>
                <w:sz w:val="21"/>
                <w:szCs w:val="21"/>
              </w:rPr>
              <w:t>N2</w:t>
            </w:r>
          </w:p>
        </w:tc>
        <w:tc>
          <w:tcPr>
            <w:tcW w:w="539" w:type="pct"/>
            <w:shd w:val="clear" w:color="auto" w:fill="auto"/>
            <w:vAlign w:val="center"/>
          </w:tcPr>
          <w:p w14:paraId="32EF7DBE">
            <w:pPr>
              <w:widowControl/>
              <w:spacing w:line="300" w:lineRule="exact"/>
              <w:jc w:val="center"/>
              <w:rPr>
                <w:rFonts w:ascii="Times New Roman" w:eastAsia="宋体"/>
                <w:sz w:val="21"/>
                <w:szCs w:val="21"/>
              </w:rPr>
            </w:pPr>
          </w:p>
        </w:tc>
        <w:tc>
          <w:tcPr>
            <w:tcW w:w="539" w:type="pct"/>
            <w:shd w:val="clear" w:color="auto" w:fill="auto"/>
            <w:vAlign w:val="center"/>
          </w:tcPr>
          <w:p w14:paraId="63B3FF42">
            <w:pPr>
              <w:widowControl/>
              <w:spacing w:line="300" w:lineRule="exact"/>
              <w:jc w:val="center"/>
              <w:rPr>
                <w:rFonts w:ascii="Times New Roman" w:eastAsia="宋体"/>
                <w:sz w:val="21"/>
                <w:szCs w:val="21"/>
              </w:rPr>
            </w:pPr>
          </w:p>
        </w:tc>
        <w:tc>
          <w:tcPr>
            <w:tcW w:w="486" w:type="pct"/>
            <w:shd w:val="clear" w:color="auto" w:fill="auto"/>
            <w:vAlign w:val="center"/>
          </w:tcPr>
          <w:p w14:paraId="2A5459E3">
            <w:pPr>
              <w:pStyle w:val="58"/>
              <w:tabs>
                <w:tab w:val="left" w:pos="0"/>
              </w:tabs>
              <w:spacing w:line="300" w:lineRule="exact"/>
            </w:pPr>
            <w:r>
              <w:rPr>
                <w:rFonts w:hint="eastAsia"/>
              </w:rPr>
              <w:t>55</w:t>
            </w:r>
          </w:p>
        </w:tc>
        <w:tc>
          <w:tcPr>
            <w:tcW w:w="601" w:type="pct"/>
            <w:shd w:val="clear" w:color="auto" w:fill="BEBEBE"/>
            <w:vAlign w:val="center"/>
          </w:tcPr>
          <w:p w14:paraId="07013769">
            <w:pPr>
              <w:pStyle w:val="58"/>
              <w:tabs>
                <w:tab w:val="left" w:pos="0"/>
              </w:tabs>
              <w:spacing w:line="300" w:lineRule="exact"/>
            </w:pPr>
            <w:r>
              <w:t>达标</w:t>
            </w:r>
          </w:p>
        </w:tc>
        <w:tc>
          <w:tcPr>
            <w:tcW w:w="549" w:type="pct"/>
            <w:shd w:val="clear" w:color="auto" w:fill="auto"/>
            <w:vAlign w:val="center"/>
          </w:tcPr>
          <w:p w14:paraId="5763E3FD">
            <w:pPr>
              <w:widowControl/>
              <w:spacing w:line="300" w:lineRule="exact"/>
              <w:jc w:val="center"/>
              <w:rPr>
                <w:rFonts w:ascii="Times New Roman" w:eastAsia="宋体"/>
                <w:sz w:val="21"/>
                <w:szCs w:val="21"/>
              </w:rPr>
            </w:pPr>
          </w:p>
        </w:tc>
        <w:tc>
          <w:tcPr>
            <w:tcW w:w="549" w:type="pct"/>
            <w:shd w:val="clear" w:color="auto" w:fill="auto"/>
            <w:vAlign w:val="center"/>
          </w:tcPr>
          <w:p w14:paraId="17C41DE3">
            <w:pPr>
              <w:widowControl/>
              <w:spacing w:line="300" w:lineRule="exact"/>
              <w:jc w:val="center"/>
              <w:rPr>
                <w:rFonts w:ascii="Times New Roman" w:eastAsia="宋体"/>
                <w:sz w:val="21"/>
                <w:szCs w:val="21"/>
              </w:rPr>
            </w:pPr>
          </w:p>
        </w:tc>
        <w:tc>
          <w:tcPr>
            <w:tcW w:w="460" w:type="pct"/>
            <w:shd w:val="clear" w:color="auto" w:fill="auto"/>
          </w:tcPr>
          <w:p w14:paraId="215BBB79">
            <w:pPr>
              <w:pStyle w:val="58"/>
              <w:tabs>
                <w:tab w:val="left" w:pos="0"/>
              </w:tabs>
              <w:spacing w:line="300" w:lineRule="exact"/>
            </w:pPr>
            <w:r>
              <w:rPr>
                <w:rFonts w:hint="eastAsia"/>
              </w:rPr>
              <w:t>45</w:t>
            </w:r>
          </w:p>
        </w:tc>
        <w:tc>
          <w:tcPr>
            <w:tcW w:w="629" w:type="pct"/>
            <w:shd w:val="clear" w:color="auto" w:fill="BEBEBE"/>
            <w:vAlign w:val="center"/>
          </w:tcPr>
          <w:p w14:paraId="1B59B25D">
            <w:pPr>
              <w:pStyle w:val="58"/>
              <w:tabs>
                <w:tab w:val="left" w:pos="0"/>
              </w:tabs>
              <w:spacing w:line="300" w:lineRule="exact"/>
            </w:pPr>
            <w:r>
              <w:t>达标</w:t>
            </w:r>
          </w:p>
        </w:tc>
      </w:tr>
      <w:tr w14:paraId="645871E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642" w:type="pct"/>
            <w:shd w:val="clear" w:color="auto" w:fill="auto"/>
            <w:vAlign w:val="center"/>
          </w:tcPr>
          <w:p w14:paraId="495F937D">
            <w:pPr>
              <w:widowControl/>
              <w:spacing w:line="300" w:lineRule="exact"/>
              <w:jc w:val="center"/>
              <w:rPr>
                <w:rFonts w:ascii="Times New Roman" w:eastAsia="宋体"/>
                <w:sz w:val="21"/>
                <w:szCs w:val="21"/>
              </w:rPr>
            </w:pPr>
            <w:r>
              <w:rPr>
                <w:rFonts w:ascii="Times New Roman" w:eastAsia="宋体"/>
                <w:sz w:val="21"/>
                <w:szCs w:val="21"/>
              </w:rPr>
              <w:t>N3</w:t>
            </w:r>
          </w:p>
        </w:tc>
        <w:tc>
          <w:tcPr>
            <w:tcW w:w="539" w:type="pct"/>
            <w:shd w:val="clear" w:color="auto" w:fill="auto"/>
            <w:vAlign w:val="center"/>
          </w:tcPr>
          <w:p w14:paraId="6CAF94F7">
            <w:pPr>
              <w:widowControl/>
              <w:spacing w:line="300" w:lineRule="exact"/>
              <w:jc w:val="center"/>
              <w:rPr>
                <w:rFonts w:ascii="Times New Roman" w:eastAsia="宋体"/>
                <w:sz w:val="21"/>
                <w:szCs w:val="21"/>
              </w:rPr>
            </w:pPr>
          </w:p>
        </w:tc>
        <w:tc>
          <w:tcPr>
            <w:tcW w:w="539" w:type="pct"/>
            <w:shd w:val="clear" w:color="auto" w:fill="auto"/>
            <w:vAlign w:val="center"/>
          </w:tcPr>
          <w:p w14:paraId="0200F0C1">
            <w:pPr>
              <w:widowControl/>
              <w:spacing w:line="300" w:lineRule="exact"/>
              <w:jc w:val="center"/>
              <w:rPr>
                <w:rFonts w:ascii="Times New Roman" w:eastAsia="宋体"/>
                <w:sz w:val="21"/>
                <w:szCs w:val="21"/>
              </w:rPr>
            </w:pPr>
          </w:p>
        </w:tc>
        <w:tc>
          <w:tcPr>
            <w:tcW w:w="486" w:type="pct"/>
            <w:shd w:val="clear" w:color="auto" w:fill="auto"/>
            <w:vAlign w:val="center"/>
          </w:tcPr>
          <w:p w14:paraId="1F31F71B">
            <w:pPr>
              <w:pStyle w:val="58"/>
              <w:tabs>
                <w:tab w:val="left" w:pos="0"/>
              </w:tabs>
              <w:spacing w:line="300" w:lineRule="exact"/>
            </w:pPr>
            <w:r>
              <w:rPr>
                <w:rFonts w:hint="eastAsia"/>
              </w:rPr>
              <w:t>55</w:t>
            </w:r>
          </w:p>
        </w:tc>
        <w:tc>
          <w:tcPr>
            <w:tcW w:w="601" w:type="pct"/>
            <w:shd w:val="clear" w:color="auto" w:fill="BEBEBE"/>
            <w:vAlign w:val="center"/>
          </w:tcPr>
          <w:p w14:paraId="1DA5421F">
            <w:pPr>
              <w:pStyle w:val="58"/>
              <w:tabs>
                <w:tab w:val="left" w:pos="0"/>
              </w:tabs>
              <w:spacing w:line="300" w:lineRule="exact"/>
            </w:pPr>
            <w:r>
              <w:t>达标</w:t>
            </w:r>
          </w:p>
        </w:tc>
        <w:tc>
          <w:tcPr>
            <w:tcW w:w="549" w:type="pct"/>
            <w:shd w:val="clear" w:color="auto" w:fill="auto"/>
            <w:vAlign w:val="center"/>
          </w:tcPr>
          <w:p w14:paraId="7FB2B8E4">
            <w:pPr>
              <w:widowControl/>
              <w:spacing w:line="300" w:lineRule="exact"/>
              <w:jc w:val="center"/>
              <w:rPr>
                <w:rFonts w:ascii="Times New Roman" w:eastAsia="宋体"/>
                <w:sz w:val="21"/>
                <w:szCs w:val="21"/>
              </w:rPr>
            </w:pPr>
          </w:p>
        </w:tc>
        <w:tc>
          <w:tcPr>
            <w:tcW w:w="549" w:type="pct"/>
            <w:shd w:val="clear" w:color="auto" w:fill="auto"/>
            <w:vAlign w:val="center"/>
          </w:tcPr>
          <w:p w14:paraId="2F844D40">
            <w:pPr>
              <w:widowControl/>
              <w:spacing w:line="300" w:lineRule="exact"/>
              <w:jc w:val="center"/>
              <w:rPr>
                <w:rFonts w:ascii="Times New Roman" w:eastAsia="宋体"/>
                <w:sz w:val="21"/>
                <w:szCs w:val="21"/>
              </w:rPr>
            </w:pPr>
          </w:p>
        </w:tc>
        <w:tc>
          <w:tcPr>
            <w:tcW w:w="460" w:type="pct"/>
            <w:shd w:val="clear" w:color="auto" w:fill="auto"/>
          </w:tcPr>
          <w:p w14:paraId="66A26966">
            <w:pPr>
              <w:pStyle w:val="58"/>
              <w:tabs>
                <w:tab w:val="left" w:pos="0"/>
              </w:tabs>
              <w:spacing w:line="300" w:lineRule="exact"/>
            </w:pPr>
            <w:r>
              <w:rPr>
                <w:rFonts w:hint="eastAsia"/>
              </w:rPr>
              <w:t>45</w:t>
            </w:r>
          </w:p>
        </w:tc>
        <w:tc>
          <w:tcPr>
            <w:tcW w:w="629" w:type="pct"/>
            <w:shd w:val="clear" w:color="auto" w:fill="BEBEBE"/>
            <w:vAlign w:val="center"/>
          </w:tcPr>
          <w:p w14:paraId="0B18C7F2">
            <w:pPr>
              <w:pStyle w:val="58"/>
              <w:tabs>
                <w:tab w:val="left" w:pos="0"/>
              </w:tabs>
              <w:spacing w:line="300" w:lineRule="exact"/>
            </w:pPr>
            <w:r>
              <w:t>达标</w:t>
            </w:r>
          </w:p>
        </w:tc>
      </w:tr>
      <w:tr w14:paraId="4B64019F">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642" w:type="pct"/>
            <w:shd w:val="clear" w:color="auto" w:fill="auto"/>
            <w:vAlign w:val="center"/>
          </w:tcPr>
          <w:p w14:paraId="015F42CA">
            <w:pPr>
              <w:widowControl/>
              <w:spacing w:line="300" w:lineRule="exact"/>
              <w:jc w:val="center"/>
              <w:rPr>
                <w:rFonts w:ascii="Times New Roman" w:eastAsia="宋体"/>
                <w:sz w:val="21"/>
                <w:szCs w:val="21"/>
              </w:rPr>
            </w:pPr>
            <w:r>
              <w:rPr>
                <w:rFonts w:ascii="Times New Roman" w:eastAsia="宋体"/>
                <w:sz w:val="21"/>
                <w:szCs w:val="21"/>
              </w:rPr>
              <w:t>N4</w:t>
            </w:r>
          </w:p>
        </w:tc>
        <w:tc>
          <w:tcPr>
            <w:tcW w:w="539" w:type="pct"/>
            <w:shd w:val="clear" w:color="auto" w:fill="auto"/>
            <w:vAlign w:val="center"/>
          </w:tcPr>
          <w:p w14:paraId="7B190FA9">
            <w:pPr>
              <w:widowControl/>
              <w:spacing w:line="300" w:lineRule="exact"/>
              <w:jc w:val="center"/>
              <w:rPr>
                <w:rFonts w:ascii="Times New Roman" w:eastAsia="宋体"/>
                <w:sz w:val="21"/>
                <w:szCs w:val="21"/>
              </w:rPr>
            </w:pPr>
          </w:p>
        </w:tc>
        <w:tc>
          <w:tcPr>
            <w:tcW w:w="539" w:type="pct"/>
            <w:shd w:val="clear" w:color="auto" w:fill="auto"/>
            <w:vAlign w:val="center"/>
          </w:tcPr>
          <w:p w14:paraId="18C0B2F9">
            <w:pPr>
              <w:widowControl/>
              <w:spacing w:line="300" w:lineRule="exact"/>
              <w:jc w:val="center"/>
              <w:rPr>
                <w:rFonts w:ascii="Times New Roman" w:eastAsia="宋体"/>
                <w:sz w:val="21"/>
                <w:szCs w:val="21"/>
              </w:rPr>
            </w:pPr>
          </w:p>
        </w:tc>
        <w:tc>
          <w:tcPr>
            <w:tcW w:w="486" w:type="pct"/>
            <w:shd w:val="clear" w:color="auto" w:fill="auto"/>
            <w:vAlign w:val="center"/>
          </w:tcPr>
          <w:p w14:paraId="745AC9FA">
            <w:pPr>
              <w:pStyle w:val="58"/>
              <w:tabs>
                <w:tab w:val="left" w:pos="0"/>
              </w:tabs>
              <w:spacing w:line="300" w:lineRule="exact"/>
            </w:pPr>
            <w:r>
              <w:rPr>
                <w:rFonts w:hint="eastAsia"/>
              </w:rPr>
              <w:t>55</w:t>
            </w:r>
          </w:p>
        </w:tc>
        <w:tc>
          <w:tcPr>
            <w:tcW w:w="601" w:type="pct"/>
            <w:shd w:val="clear" w:color="auto" w:fill="BEBEBE"/>
            <w:vAlign w:val="center"/>
          </w:tcPr>
          <w:p w14:paraId="7A71A2B1">
            <w:pPr>
              <w:pStyle w:val="58"/>
              <w:tabs>
                <w:tab w:val="left" w:pos="0"/>
              </w:tabs>
              <w:spacing w:line="300" w:lineRule="exact"/>
            </w:pPr>
            <w:r>
              <w:t>达标</w:t>
            </w:r>
          </w:p>
        </w:tc>
        <w:tc>
          <w:tcPr>
            <w:tcW w:w="549" w:type="pct"/>
            <w:shd w:val="clear" w:color="auto" w:fill="auto"/>
            <w:vAlign w:val="center"/>
          </w:tcPr>
          <w:p w14:paraId="3D7BEDA7">
            <w:pPr>
              <w:widowControl/>
              <w:spacing w:line="300" w:lineRule="exact"/>
              <w:jc w:val="center"/>
              <w:rPr>
                <w:rFonts w:ascii="Times New Roman" w:eastAsia="宋体"/>
                <w:sz w:val="21"/>
                <w:szCs w:val="21"/>
              </w:rPr>
            </w:pPr>
          </w:p>
        </w:tc>
        <w:tc>
          <w:tcPr>
            <w:tcW w:w="549" w:type="pct"/>
            <w:shd w:val="clear" w:color="auto" w:fill="auto"/>
            <w:vAlign w:val="center"/>
          </w:tcPr>
          <w:p w14:paraId="6435579F">
            <w:pPr>
              <w:widowControl/>
              <w:spacing w:line="300" w:lineRule="exact"/>
              <w:jc w:val="center"/>
              <w:rPr>
                <w:rFonts w:ascii="Times New Roman" w:eastAsia="宋体"/>
                <w:sz w:val="21"/>
                <w:szCs w:val="21"/>
              </w:rPr>
            </w:pPr>
          </w:p>
        </w:tc>
        <w:tc>
          <w:tcPr>
            <w:tcW w:w="460" w:type="pct"/>
            <w:shd w:val="clear" w:color="auto" w:fill="auto"/>
          </w:tcPr>
          <w:p w14:paraId="6401E4F6">
            <w:pPr>
              <w:pStyle w:val="58"/>
              <w:tabs>
                <w:tab w:val="left" w:pos="0"/>
              </w:tabs>
              <w:spacing w:line="300" w:lineRule="exact"/>
            </w:pPr>
            <w:r>
              <w:rPr>
                <w:rFonts w:hint="eastAsia"/>
              </w:rPr>
              <w:t>45</w:t>
            </w:r>
          </w:p>
        </w:tc>
        <w:tc>
          <w:tcPr>
            <w:tcW w:w="629" w:type="pct"/>
            <w:shd w:val="clear" w:color="auto" w:fill="BEBEBE"/>
            <w:vAlign w:val="center"/>
          </w:tcPr>
          <w:p w14:paraId="1CBDBCC2">
            <w:pPr>
              <w:pStyle w:val="58"/>
              <w:tabs>
                <w:tab w:val="left" w:pos="0"/>
              </w:tabs>
              <w:spacing w:line="300" w:lineRule="exact"/>
            </w:pPr>
            <w:r>
              <w:t>达标</w:t>
            </w:r>
          </w:p>
        </w:tc>
      </w:tr>
      <w:tr w14:paraId="2C0B3C94">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642" w:type="pct"/>
            <w:shd w:val="clear" w:color="auto" w:fill="auto"/>
            <w:vAlign w:val="center"/>
          </w:tcPr>
          <w:p w14:paraId="78DF7990">
            <w:pPr>
              <w:widowControl/>
              <w:spacing w:line="300" w:lineRule="exact"/>
              <w:jc w:val="center"/>
              <w:rPr>
                <w:rFonts w:ascii="Times New Roman" w:eastAsia="宋体"/>
                <w:sz w:val="21"/>
                <w:szCs w:val="21"/>
              </w:rPr>
            </w:pPr>
            <w:r>
              <w:rPr>
                <w:rFonts w:ascii="Times New Roman" w:eastAsia="宋体"/>
                <w:sz w:val="21"/>
                <w:szCs w:val="21"/>
              </w:rPr>
              <w:t>N5</w:t>
            </w:r>
          </w:p>
        </w:tc>
        <w:tc>
          <w:tcPr>
            <w:tcW w:w="539" w:type="pct"/>
            <w:shd w:val="clear" w:color="auto" w:fill="auto"/>
            <w:vAlign w:val="center"/>
          </w:tcPr>
          <w:p w14:paraId="42ECF742">
            <w:pPr>
              <w:widowControl/>
              <w:spacing w:line="300" w:lineRule="exact"/>
              <w:jc w:val="center"/>
              <w:rPr>
                <w:rFonts w:ascii="Times New Roman" w:eastAsia="宋体"/>
                <w:sz w:val="21"/>
                <w:szCs w:val="21"/>
              </w:rPr>
            </w:pPr>
          </w:p>
        </w:tc>
        <w:tc>
          <w:tcPr>
            <w:tcW w:w="539" w:type="pct"/>
            <w:shd w:val="clear" w:color="auto" w:fill="auto"/>
            <w:vAlign w:val="center"/>
          </w:tcPr>
          <w:p w14:paraId="5C8B2896">
            <w:pPr>
              <w:widowControl/>
              <w:spacing w:line="300" w:lineRule="exact"/>
              <w:jc w:val="center"/>
              <w:rPr>
                <w:rFonts w:ascii="Times New Roman" w:eastAsia="宋体"/>
                <w:sz w:val="21"/>
                <w:szCs w:val="21"/>
              </w:rPr>
            </w:pPr>
          </w:p>
        </w:tc>
        <w:tc>
          <w:tcPr>
            <w:tcW w:w="486" w:type="pct"/>
            <w:shd w:val="clear" w:color="auto" w:fill="auto"/>
            <w:vAlign w:val="center"/>
          </w:tcPr>
          <w:p w14:paraId="2A2186B1">
            <w:pPr>
              <w:pStyle w:val="58"/>
              <w:tabs>
                <w:tab w:val="left" w:pos="0"/>
              </w:tabs>
              <w:spacing w:line="300" w:lineRule="exact"/>
            </w:pPr>
            <w:r>
              <w:rPr>
                <w:rFonts w:hint="eastAsia"/>
              </w:rPr>
              <w:t>55</w:t>
            </w:r>
          </w:p>
        </w:tc>
        <w:tc>
          <w:tcPr>
            <w:tcW w:w="601" w:type="pct"/>
            <w:shd w:val="clear" w:color="auto" w:fill="BEBEBE"/>
            <w:vAlign w:val="center"/>
          </w:tcPr>
          <w:p w14:paraId="0ACCACE2">
            <w:pPr>
              <w:pStyle w:val="58"/>
              <w:tabs>
                <w:tab w:val="left" w:pos="0"/>
              </w:tabs>
              <w:spacing w:line="300" w:lineRule="exact"/>
            </w:pPr>
            <w:r>
              <w:t>达标</w:t>
            </w:r>
          </w:p>
        </w:tc>
        <w:tc>
          <w:tcPr>
            <w:tcW w:w="549" w:type="pct"/>
            <w:shd w:val="clear" w:color="auto" w:fill="auto"/>
            <w:vAlign w:val="center"/>
          </w:tcPr>
          <w:p w14:paraId="2BF17FAD">
            <w:pPr>
              <w:widowControl/>
              <w:spacing w:line="300" w:lineRule="exact"/>
              <w:jc w:val="center"/>
              <w:rPr>
                <w:rFonts w:ascii="Times New Roman" w:eastAsia="宋体"/>
                <w:sz w:val="21"/>
                <w:szCs w:val="21"/>
              </w:rPr>
            </w:pPr>
          </w:p>
        </w:tc>
        <w:tc>
          <w:tcPr>
            <w:tcW w:w="549" w:type="pct"/>
            <w:shd w:val="clear" w:color="auto" w:fill="auto"/>
            <w:vAlign w:val="center"/>
          </w:tcPr>
          <w:p w14:paraId="091007E2">
            <w:pPr>
              <w:widowControl/>
              <w:spacing w:line="300" w:lineRule="exact"/>
              <w:jc w:val="center"/>
              <w:rPr>
                <w:rFonts w:ascii="Times New Roman" w:eastAsia="宋体"/>
                <w:sz w:val="21"/>
                <w:szCs w:val="21"/>
              </w:rPr>
            </w:pPr>
          </w:p>
        </w:tc>
        <w:tc>
          <w:tcPr>
            <w:tcW w:w="460" w:type="pct"/>
            <w:shd w:val="clear" w:color="auto" w:fill="auto"/>
          </w:tcPr>
          <w:p w14:paraId="1C40CACE">
            <w:pPr>
              <w:pStyle w:val="58"/>
              <w:tabs>
                <w:tab w:val="left" w:pos="0"/>
              </w:tabs>
              <w:spacing w:line="300" w:lineRule="exact"/>
            </w:pPr>
            <w:r>
              <w:rPr>
                <w:rFonts w:hint="eastAsia"/>
              </w:rPr>
              <w:t>45</w:t>
            </w:r>
          </w:p>
        </w:tc>
        <w:tc>
          <w:tcPr>
            <w:tcW w:w="629" w:type="pct"/>
            <w:shd w:val="clear" w:color="auto" w:fill="BEBEBE"/>
            <w:vAlign w:val="center"/>
          </w:tcPr>
          <w:p w14:paraId="39175866">
            <w:pPr>
              <w:pStyle w:val="58"/>
              <w:tabs>
                <w:tab w:val="left" w:pos="0"/>
              </w:tabs>
              <w:spacing w:line="300" w:lineRule="exact"/>
            </w:pPr>
            <w:r>
              <w:t>达标</w:t>
            </w:r>
          </w:p>
        </w:tc>
      </w:tr>
      <w:tr w14:paraId="38D22DE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642" w:type="pct"/>
            <w:shd w:val="clear" w:color="auto" w:fill="auto"/>
            <w:vAlign w:val="center"/>
          </w:tcPr>
          <w:p w14:paraId="63019904">
            <w:pPr>
              <w:widowControl/>
              <w:spacing w:line="300" w:lineRule="exact"/>
              <w:jc w:val="center"/>
              <w:rPr>
                <w:rFonts w:ascii="Times New Roman" w:eastAsia="宋体"/>
                <w:sz w:val="21"/>
                <w:szCs w:val="21"/>
              </w:rPr>
            </w:pPr>
            <w:r>
              <w:rPr>
                <w:rFonts w:ascii="Times New Roman" w:eastAsia="宋体"/>
                <w:sz w:val="21"/>
                <w:szCs w:val="21"/>
              </w:rPr>
              <w:t>N6</w:t>
            </w:r>
          </w:p>
        </w:tc>
        <w:tc>
          <w:tcPr>
            <w:tcW w:w="539" w:type="pct"/>
            <w:shd w:val="clear" w:color="auto" w:fill="auto"/>
            <w:vAlign w:val="center"/>
          </w:tcPr>
          <w:p w14:paraId="305D53D9">
            <w:pPr>
              <w:widowControl/>
              <w:spacing w:line="300" w:lineRule="exact"/>
              <w:jc w:val="center"/>
              <w:rPr>
                <w:rFonts w:ascii="Times New Roman" w:eastAsia="宋体"/>
                <w:sz w:val="21"/>
                <w:szCs w:val="21"/>
              </w:rPr>
            </w:pPr>
          </w:p>
        </w:tc>
        <w:tc>
          <w:tcPr>
            <w:tcW w:w="539" w:type="pct"/>
            <w:shd w:val="clear" w:color="auto" w:fill="auto"/>
            <w:vAlign w:val="center"/>
          </w:tcPr>
          <w:p w14:paraId="00A48562">
            <w:pPr>
              <w:widowControl/>
              <w:spacing w:line="300" w:lineRule="exact"/>
              <w:jc w:val="center"/>
              <w:rPr>
                <w:rFonts w:ascii="Times New Roman" w:eastAsia="宋体"/>
                <w:sz w:val="21"/>
                <w:szCs w:val="21"/>
              </w:rPr>
            </w:pPr>
          </w:p>
        </w:tc>
        <w:tc>
          <w:tcPr>
            <w:tcW w:w="486" w:type="pct"/>
            <w:shd w:val="clear" w:color="auto" w:fill="auto"/>
            <w:vAlign w:val="center"/>
          </w:tcPr>
          <w:p w14:paraId="3D3B81B2">
            <w:pPr>
              <w:pStyle w:val="58"/>
              <w:tabs>
                <w:tab w:val="left" w:pos="0"/>
              </w:tabs>
              <w:spacing w:line="300" w:lineRule="exact"/>
            </w:pPr>
            <w:r>
              <w:rPr>
                <w:rFonts w:hint="eastAsia"/>
              </w:rPr>
              <w:t>55</w:t>
            </w:r>
          </w:p>
        </w:tc>
        <w:tc>
          <w:tcPr>
            <w:tcW w:w="601" w:type="pct"/>
            <w:shd w:val="clear" w:color="auto" w:fill="BEBEBE"/>
            <w:vAlign w:val="center"/>
          </w:tcPr>
          <w:p w14:paraId="0BBB61C9">
            <w:pPr>
              <w:pStyle w:val="58"/>
              <w:tabs>
                <w:tab w:val="left" w:pos="0"/>
              </w:tabs>
              <w:spacing w:line="300" w:lineRule="exact"/>
            </w:pPr>
            <w:r>
              <w:t>达标</w:t>
            </w:r>
          </w:p>
        </w:tc>
        <w:tc>
          <w:tcPr>
            <w:tcW w:w="549" w:type="pct"/>
            <w:shd w:val="clear" w:color="auto" w:fill="auto"/>
            <w:vAlign w:val="center"/>
          </w:tcPr>
          <w:p w14:paraId="4A2FEB93">
            <w:pPr>
              <w:widowControl/>
              <w:spacing w:line="300" w:lineRule="exact"/>
              <w:jc w:val="center"/>
              <w:rPr>
                <w:rFonts w:ascii="Times New Roman" w:eastAsia="宋体"/>
                <w:sz w:val="21"/>
                <w:szCs w:val="21"/>
              </w:rPr>
            </w:pPr>
          </w:p>
        </w:tc>
        <w:tc>
          <w:tcPr>
            <w:tcW w:w="549" w:type="pct"/>
            <w:shd w:val="clear" w:color="auto" w:fill="auto"/>
            <w:vAlign w:val="center"/>
          </w:tcPr>
          <w:p w14:paraId="2C6956D7">
            <w:pPr>
              <w:widowControl/>
              <w:spacing w:line="300" w:lineRule="exact"/>
              <w:jc w:val="center"/>
              <w:rPr>
                <w:rFonts w:ascii="Times New Roman" w:eastAsia="宋体"/>
                <w:sz w:val="21"/>
                <w:szCs w:val="21"/>
              </w:rPr>
            </w:pPr>
          </w:p>
        </w:tc>
        <w:tc>
          <w:tcPr>
            <w:tcW w:w="460" w:type="pct"/>
            <w:shd w:val="clear" w:color="auto" w:fill="auto"/>
          </w:tcPr>
          <w:p w14:paraId="24D19F59">
            <w:pPr>
              <w:pStyle w:val="58"/>
              <w:tabs>
                <w:tab w:val="left" w:pos="0"/>
              </w:tabs>
              <w:spacing w:line="300" w:lineRule="exact"/>
            </w:pPr>
            <w:r>
              <w:rPr>
                <w:rFonts w:hint="eastAsia"/>
              </w:rPr>
              <w:t>45</w:t>
            </w:r>
          </w:p>
        </w:tc>
        <w:tc>
          <w:tcPr>
            <w:tcW w:w="629" w:type="pct"/>
            <w:shd w:val="clear" w:color="auto" w:fill="BEBEBE"/>
            <w:vAlign w:val="center"/>
          </w:tcPr>
          <w:p w14:paraId="310FD79A">
            <w:pPr>
              <w:pStyle w:val="58"/>
              <w:tabs>
                <w:tab w:val="left" w:pos="0"/>
              </w:tabs>
              <w:spacing w:line="300" w:lineRule="exact"/>
            </w:pPr>
            <w:r>
              <w:t>达标</w:t>
            </w:r>
          </w:p>
        </w:tc>
      </w:tr>
      <w:tr w14:paraId="00F2A24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9"/>
            <w:vAlign w:val="center"/>
          </w:tcPr>
          <w:p w14:paraId="02F6C710">
            <w:pPr>
              <w:pStyle w:val="58"/>
              <w:tabs>
                <w:tab w:val="left" w:pos="0"/>
              </w:tabs>
              <w:spacing w:line="300" w:lineRule="exact"/>
              <w:ind w:firstLine="420" w:firstLineChars="200"/>
              <w:jc w:val="both"/>
            </w:pPr>
            <w:r>
              <w:t>注：</w:t>
            </w:r>
            <w:r>
              <w:rPr>
                <w:rFonts w:hint="eastAsia"/>
              </w:rPr>
              <w:t>2024.7.2</w:t>
            </w:r>
            <w:r>
              <w:t>天气：</w:t>
            </w:r>
            <w:r>
              <w:rPr>
                <w:rFonts w:hint="eastAsia"/>
              </w:rPr>
              <w:t>阴</w:t>
            </w:r>
            <w:r>
              <w:t>，风速：</w:t>
            </w:r>
            <w:r>
              <w:rPr>
                <w:rFonts w:hint="eastAsia"/>
              </w:rPr>
              <w:t>1.8-</w:t>
            </w:r>
            <w:r>
              <w:t>2.</w:t>
            </w:r>
            <w:r>
              <w:rPr>
                <w:rFonts w:hint="eastAsia"/>
              </w:rPr>
              <w:t>4</w:t>
            </w:r>
            <w:r>
              <w:t>m/s；</w:t>
            </w:r>
            <w:r>
              <w:rPr>
                <w:rFonts w:hint="eastAsia"/>
              </w:rPr>
              <w:t>2024.7.3</w:t>
            </w:r>
            <w:r>
              <w:t>天气：晴，风速：</w:t>
            </w:r>
            <w:r>
              <w:rPr>
                <w:rFonts w:hint="eastAsia"/>
              </w:rPr>
              <w:t>1.7-</w:t>
            </w:r>
            <w:r>
              <w:t>2.</w:t>
            </w:r>
            <w:r>
              <w:rPr>
                <w:rFonts w:hint="eastAsia"/>
              </w:rPr>
              <w:t>4</w:t>
            </w:r>
            <w:r>
              <w:t>m/s</w:t>
            </w:r>
            <w:r>
              <w:rPr>
                <w:rFonts w:hint="eastAsia"/>
              </w:rPr>
              <w:t>。</w:t>
            </w:r>
          </w:p>
        </w:tc>
      </w:tr>
    </w:tbl>
    <w:p w14:paraId="30D95A99">
      <w:pPr>
        <w:spacing w:line="480" w:lineRule="exact"/>
        <w:ind w:firstLine="480" w:firstLineChars="200"/>
        <w:rPr>
          <w:rFonts w:ascii="Times New Roman"/>
          <w:szCs w:val="24"/>
        </w:rPr>
      </w:pPr>
      <w:r>
        <w:rPr>
          <w:rFonts w:ascii="Times New Roman"/>
          <w:szCs w:val="24"/>
        </w:rPr>
        <w:t>由</w:t>
      </w:r>
      <w:r>
        <w:rPr>
          <w:rFonts w:hint="eastAsia" w:ascii="Times New Roman"/>
          <w:szCs w:val="24"/>
        </w:rPr>
        <w:t>上表</w:t>
      </w:r>
      <w:r>
        <w:rPr>
          <w:rFonts w:ascii="Times New Roman"/>
          <w:szCs w:val="24"/>
        </w:rPr>
        <w:t>监测结果可知，</w:t>
      </w:r>
      <w:r>
        <w:rPr>
          <w:rFonts w:hint="eastAsia" w:ascii="Times New Roman"/>
          <w:szCs w:val="24"/>
        </w:rPr>
        <w:t>项目各</w:t>
      </w:r>
      <w:r>
        <w:rPr>
          <w:rFonts w:ascii="Times New Roman"/>
          <w:szCs w:val="24"/>
        </w:rPr>
        <w:t>厂界噪声监测值均符合《声环境质量标准》(GB3096-2008)中的</w:t>
      </w:r>
      <w:r>
        <w:rPr>
          <w:rFonts w:hint="eastAsia" w:ascii="Times New Roman"/>
          <w:szCs w:val="24"/>
        </w:rPr>
        <w:t>1</w:t>
      </w:r>
      <w:r>
        <w:rPr>
          <w:rFonts w:ascii="Times New Roman"/>
          <w:szCs w:val="24"/>
        </w:rPr>
        <w:t>类标准要求</w:t>
      </w:r>
      <w:r>
        <w:rPr>
          <w:rFonts w:hint="eastAsia" w:ascii="Times New Roman"/>
          <w:szCs w:val="24"/>
        </w:rPr>
        <w:t>；周边敏感点噪声</w:t>
      </w:r>
      <w:r>
        <w:rPr>
          <w:rFonts w:ascii="Times New Roman"/>
          <w:szCs w:val="24"/>
        </w:rPr>
        <w:t>监测值</w:t>
      </w:r>
      <w:r>
        <w:rPr>
          <w:rFonts w:hint="eastAsia" w:ascii="Times New Roman"/>
          <w:szCs w:val="24"/>
        </w:rPr>
        <w:t>均</w:t>
      </w:r>
      <w:r>
        <w:rPr>
          <w:rFonts w:ascii="Times New Roman"/>
          <w:szCs w:val="24"/>
        </w:rPr>
        <w:t>符合《声环境质量标准》(GB3096-2008)中的</w:t>
      </w:r>
      <w:r>
        <w:rPr>
          <w:rFonts w:hint="eastAsia" w:ascii="Times New Roman"/>
          <w:szCs w:val="24"/>
        </w:rPr>
        <w:t>1</w:t>
      </w:r>
      <w:r>
        <w:rPr>
          <w:rFonts w:ascii="Times New Roman"/>
          <w:szCs w:val="24"/>
        </w:rPr>
        <w:t>类标准要求，说明项目所在地声环境质量较好。</w:t>
      </w:r>
    </w:p>
    <w:p w14:paraId="5103013A">
      <w:pPr>
        <w:pStyle w:val="7"/>
        <w:spacing w:line="480" w:lineRule="exact"/>
      </w:pPr>
      <w:r>
        <w:rPr>
          <w:rFonts w:hint="eastAsia"/>
        </w:rPr>
        <w:t>4</w:t>
      </w:r>
      <w:r>
        <w:t>.</w:t>
      </w:r>
      <w:r>
        <w:rPr>
          <w:rFonts w:hint="eastAsia"/>
        </w:rPr>
        <w:t>3</w:t>
      </w:r>
      <w:r>
        <w:t xml:space="preserve">.4 </w:t>
      </w:r>
      <w:r>
        <w:rPr>
          <w:rFonts w:hint="eastAsia"/>
        </w:rPr>
        <w:t>土壤环境质量现状监测与评价</w:t>
      </w:r>
    </w:p>
    <w:p w14:paraId="0A9F30E5">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（1）数据来源</w:t>
      </w:r>
    </w:p>
    <w:p w14:paraId="455BEE08">
      <w:pPr>
        <w:spacing w:line="480" w:lineRule="exact"/>
        <w:ind w:firstLine="480" w:firstLineChars="200"/>
        <w:rPr>
          <w:color w:val="000000" w:themeColor="text1"/>
          <w:szCs w:val="24"/>
          <w14:textFill>
            <w14:solidFill>
              <w14:schemeClr w14:val="tx1"/>
            </w14:solidFill>
          </w14:textFill>
        </w:rPr>
      </w:pPr>
      <w:r>
        <w:rPr>
          <w:rFonts w:hAnsi="宋体"/>
          <w:color w:val="000000" w:themeColor="text1"/>
          <w:szCs w:val="24"/>
          <w14:textFill>
            <w14:solidFill>
              <w14:schemeClr w14:val="tx1"/>
            </w14:solidFill>
          </w14:textFill>
        </w:rPr>
        <w:t>项目土壤监测数据由</w:t>
      </w:r>
      <w:r>
        <w:rPr>
          <w:rFonts w:hint="eastAsia"/>
          <w:color w:val="000000" w:themeColor="text1"/>
          <w14:textFill>
            <w14:solidFill>
              <w14:schemeClr w14:val="tx1"/>
            </w14:solidFill>
          </w14:textFill>
        </w:rPr>
        <w:t>江苏迈斯特环境检测有限公司出具的监测报告（报告编号：MST20240702003-1）</w:t>
      </w:r>
      <w:r>
        <w:rPr>
          <w:rFonts w:hAnsi="宋体"/>
          <w:color w:val="000000" w:themeColor="text1"/>
          <w:szCs w:val="24"/>
          <w14:textFill>
            <w14:solidFill>
              <w14:schemeClr w14:val="tx1"/>
            </w14:solidFill>
          </w14:textFill>
        </w:rPr>
        <w:t>提供。</w:t>
      </w:r>
    </w:p>
    <w:p w14:paraId="76FA0FAA">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（2）监测点位及监测项目</w:t>
      </w:r>
    </w:p>
    <w:p w14:paraId="148A6A45">
      <w:pPr>
        <w:spacing w:line="480" w:lineRule="exact"/>
        <w:ind w:firstLine="480" w:firstLineChars="200"/>
        <w:rPr>
          <w:rFonts w:hAnsi="宋体"/>
          <w:color w:val="000000" w:themeColor="text1"/>
          <w:szCs w:val="24"/>
          <w14:textFill>
            <w14:solidFill>
              <w14:schemeClr w14:val="tx1"/>
            </w14:solidFill>
          </w14:textFill>
        </w:rPr>
      </w:pPr>
      <w:r>
        <w:rPr>
          <w:rFonts w:hAnsi="宋体"/>
          <w:color w:val="000000" w:themeColor="text1"/>
          <w:szCs w:val="24"/>
          <w14:textFill>
            <w14:solidFill>
              <w14:schemeClr w14:val="tx1"/>
            </w14:solidFill>
          </w14:textFill>
        </w:rPr>
        <w:t>根据《环境影响评价技术导则 土壤环境（试行）》(HJ 964-2018)，本项目为</w:t>
      </w:r>
      <w:r>
        <w:rPr>
          <w:rFonts w:hint="eastAsia" w:hAnsi="宋体"/>
          <w:color w:val="000000" w:themeColor="text1"/>
          <w:szCs w:val="24"/>
          <w14:textFill>
            <w14:solidFill>
              <w14:schemeClr w14:val="tx1"/>
            </w14:solidFill>
          </w14:textFill>
        </w:rPr>
        <w:t>三</w:t>
      </w:r>
      <w:r>
        <w:rPr>
          <w:rFonts w:hAnsi="宋体"/>
          <w:color w:val="000000" w:themeColor="text1"/>
          <w:szCs w:val="24"/>
          <w14:textFill>
            <w14:solidFill>
              <w14:schemeClr w14:val="tx1"/>
            </w14:solidFill>
          </w14:textFill>
        </w:rPr>
        <w:t>级评价的污染影响型项目，因此占地范围内需布设</w:t>
      </w:r>
      <w:r>
        <w:rPr>
          <w:rFonts w:hint="eastAsia" w:hAnsi="宋体"/>
          <w:color w:val="000000" w:themeColor="text1"/>
          <w:szCs w:val="24"/>
          <w14:textFill>
            <w14:solidFill>
              <w14:schemeClr w14:val="tx1"/>
            </w14:solidFill>
          </w14:textFill>
        </w:rPr>
        <w:t>3</w:t>
      </w:r>
      <w:r>
        <w:rPr>
          <w:rFonts w:hAnsi="宋体"/>
          <w:color w:val="000000" w:themeColor="text1"/>
          <w:szCs w:val="24"/>
          <w14:textFill>
            <w14:solidFill>
              <w14:schemeClr w14:val="tx1"/>
            </w14:solidFill>
          </w14:textFill>
        </w:rPr>
        <w:t>个表层样监测点，土壤环境质量现状监测方案见表4.3-1</w:t>
      </w:r>
      <w:r>
        <w:rPr>
          <w:rFonts w:hint="eastAsia" w:hAnsi="宋体"/>
          <w:color w:val="000000" w:themeColor="text1"/>
          <w:szCs w:val="24"/>
          <w14:textFill>
            <w14:solidFill>
              <w14:schemeClr w14:val="tx1"/>
            </w14:solidFill>
          </w14:textFill>
        </w:rPr>
        <w:t>2</w:t>
      </w:r>
      <w:r>
        <w:rPr>
          <w:rFonts w:hAnsi="宋体"/>
          <w:color w:val="000000" w:themeColor="text1"/>
          <w:szCs w:val="24"/>
          <w14:textFill>
            <w14:solidFill>
              <w14:schemeClr w14:val="tx1"/>
            </w14:solidFill>
          </w14:textFill>
        </w:rPr>
        <w:t>，监测点位见</w:t>
      </w:r>
      <w:r>
        <w:rPr>
          <w:rFonts w:hAnsi="宋体"/>
          <w:b/>
          <w:bCs/>
          <w:color w:val="000000" w:themeColor="text1"/>
          <w:szCs w:val="24"/>
          <w14:textFill>
            <w14:solidFill>
              <w14:schemeClr w14:val="tx1"/>
            </w14:solidFill>
          </w14:textFill>
        </w:rPr>
        <w:t>图4.3-1</w:t>
      </w:r>
      <w:r>
        <w:rPr>
          <w:rFonts w:hint="eastAsia" w:hAnsi="宋体"/>
          <w:color w:val="000000" w:themeColor="text1"/>
          <w:szCs w:val="24"/>
          <w14:textFill>
            <w14:solidFill>
              <w14:schemeClr w14:val="tx1"/>
            </w14:solidFill>
          </w14:textFill>
        </w:rPr>
        <w:t>。</w:t>
      </w:r>
    </w:p>
    <w:p w14:paraId="5E130422">
      <w:pPr>
        <w:pStyle w:val="102"/>
        <w:spacing w:beforeLines="0" w:line="480" w:lineRule="exact"/>
        <w:rPr>
          <w:rFonts w:eastAsia="宋体"/>
          <w:b/>
          <w:sz w:val="24"/>
          <w:szCs w:val="24"/>
        </w:rPr>
      </w:pPr>
      <w:r>
        <w:rPr>
          <w:rFonts w:eastAsia="宋体"/>
          <w:b/>
          <w:sz w:val="24"/>
          <w:szCs w:val="24"/>
        </w:rPr>
        <w:t>表4.3-1</w:t>
      </w:r>
      <w:r>
        <w:rPr>
          <w:rFonts w:hint="eastAsia" w:eastAsia="宋体"/>
          <w:b/>
          <w:sz w:val="24"/>
          <w:szCs w:val="24"/>
        </w:rPr>
        <w:t>2</w:t>
      </w:r>
      <w:r>
        <w:rPr>
          <w:rFonts w:eastAsia="宋体"/>
          <w:b/>
          <w:sz w:val="24"/>
          <w:szCs w:val="24"/>
        </w:rPr>
        <w:t>土壤环境质量现状监测方案</w:t>
      </w:r>
    </w:p>
    <w:tbl>
      <w:tblPr>
        <w:tblStyle w:val="41"/>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848"/>
        <w:gridCol w:w="1335"/>
        <w:gridCol w:w="1560"/>
        <w:gridCol w:w="1906"/>
        <w:gridCol w:w="1971"/>
      </w:tblGrid>
      <w:tr w14:paraId="19C5B8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Align w:val="center"/>
          </w:tcPr>
          <w:p w14:paraId="6984A55D">
            <w:pPr>
              <w:pStyle w:val="2"/>
              <w:spacing w:after="0" w:line="300" w:lineRule="exact"/>
              <w:jc w:val="center"/>
              <w:rPr>
                <w:rFonts w:ascii="Times New Roman" w:hAnsi="Times New Roman" w:cs="Times New Roman"/>
                <w:bCs/>
                <w:sz w:val="21"/>
                <w:szCs w:val="21"/>
              </w:rPr>
            </w:pPr>
            <w:r>
              <w:rPr>
                <w:rFonts w:ascii="Times New Roman" w:hAnsi="Times New Roman" w:cs="Times New Roman"/>
                <w:bCs/>
                <w:sz w:val="21"/>
                <w:szCs w:val="21"/>
              </w:rPr>
              <w:t>编号</w:t>
            </w:r>
          </w:p>
        </w:tc>
        <w:tc>
          <w:tcPr>
            <w:tcW w:w="995" w:type="pct"/>
            <w:vAlign w:val="center"/>
          </w:tcPr>
          <w:p w14:paraId="72311CCE">
            <w:pPr>
              <w:pStyle w:val="2"/>
              <w:spacing w:after="0" w:line="300" w:lineRule="exact"/>
              <w:jc w:val="center"/>
              <w:rPr>
                <w:rFonts w:ascii="Times New Roman" w:hAnsi="Times New Roman" w:cs="Times New Roman"/>
                <w:bCs/>
                <w:sz w:val="21"/>
                <w:szCs w:val="21"/>
              </w:rPr>
            </w:pPr>
            <w:r>
              <w:rPr>
                <w:rFonts w:ascii="Times New Roman" w:hAnsi="Times New Roman" w:cs="Times New Roman"/>
                <w:bCs/>
                <w:sz w:val="21"/>
                <w:szCs w:val="21"/>
                <w:lang w:val="en-US"/>
              </w:rPr>
              <w:t>监测点</w:t>
            </w:r>
          </w:p>
        </w:tc>
        <w:tc>
          <w:tcPr>
            <w:tcW w:w="719" w:type="pct"/>
            <w:vAlign w:val="center"/>
          </w:tcPr>
          <w:p w14:paraId="4649BD4E">
            <w:pPr>
              <w:pStyle w:val="2"/>
              <w:spacing w:after="0" w:line="300" w:lineRule="exact"/>
              <w:jc w:val="center"/>
              <w:rPr>
                <w:rFonts w:ascii="Times New Roman" w:hAnsi="Times New Roman" w:cs="Times New Roman"/>
                <w:bCs/>
                <w:sz w:val="21"/>
                <w:szCs w:val="21"/>
                <w:lang w:val="en-US"/>
              </w:rPr>
            </w:pPr>
            <w:r>
              <w:rPr>
                <w:rFonts w:ascii="Times New Roman" w:hAnsi="Times New Roman" w:cs="Times New Roman"/>
                <w:bCs/>
                <w:sz w:val="21"/>
                <w:szCs w:val="21"/>
                <w:lang w:val="en-US"/>
              </w:rPr>
              <w:t>监测点位置</w:t>
            </w:r>
          </w:p>
        </w:tc>
        <w:tc>
          <w:tcPr>
            <w:tcW w:w="840" w:type="pct"/>
            <w:vAlign w:val="center"/>
          </w:tcPr>
          <w:p w14:paraId="3865B010">
            <w:pPr>
              <w:pStyle w:val="2"/>
              <w:spacing w:after="0" w:line="300" w:lineRule="exact"/>
              <w:jc w:val="center"/>
              <w:rPr>
                <w:rFonts w:ascii="Times New Roman" w:hAnsi="Times New Roman" w:cs="Times New Roman"/>
                <w:bCs/>
                <w:sz w:val="21"/>
                <w:szCs w:val="21"/>
              </w:rPr>
            </w:pPr>
            <w:r>
              <w:rPr>
                <w:rFonts w:ascii="Times New Roman" w:hAnsi="Times New Roman" w:cs="Times New Roman"/>
                <w:bCs/>
                <w:sz w:val="21"/>
                <w:szCs w:val="21"/>
              </w:rPr>
              <w:t>土地利用类型</w:t>
            </w:r>
          </w:p>
        </w:tc>
        <w:tc>
          <w:tcPr>
            <w:tcW w:w="1026" w:type="pct"/>
            <w:vAlign w:val="center"/>
          </w:tcPr>
          <w:p w14:paraId="434B50EB">
            <w:pPr>
              <w:pStyle w:val="2"/>
              <w:spacing w:after="0" w:line="300" w:lineRule="exact"/>
              <w:jc w:val="center"/>
              <w:rPr>
                <w:rFonts w:ascii="Times New Roman" w:hAnsi="Times New Roman" w:cs="Times New Roman"/>
                <w:bCs/>
                <w:sz w:val="21"/>
                <w:szCs w:val="21"/>
              </w:rPr>
            </w:pPr>
            <w:r>
              <w:rPr>
                <w:rFonts w:ascii="Times New Roman" w:hAnsi="Times New Roman" w:cs="Times New Roman"/>
                <w:bCs/>
                <w:sz w:val="21"/>
                <w:szCs w:val="21"/>
              </w:rPr>
              <w:t>监测要求</w:t>
            </w:r>
          </w:p>
        </w:tc>
        <w:tc>
          <w:tcPr>
            <w:tcW w:w="1061" w:type="pct"/>
            <w:vAlign w:val="center"/>
          </w:tcPr>
          <w:p w14:paraId="5CD271EA">
            <w:pPr>
              <w:pStyle w:val="2"/>
              <w:spacing w:after="0" w:line="300" w:lineRule="exact"/>
              <w:jc w:val="center"/>
              <w:rPr>
                <w:rFonts w:ascii="Times New Roman" w:hAnsi="Times New Roman" w:cs="Times New Roman"/>
                <w:bCs/>
                <w:sz w:val="21"/>
                <w:szCs w:val="21"/>
              </w:rPr>
            </w:pPr>
            <w:r>
              <w:rPr>
                <w:rFonts w:ascii="Times New Roman" w:hAnsi="Times New Roman" w:cs="Times New Roman"/>
                <w:bCs/>
                <w:sz w:val="21"/>
                <w:szCs w:val="21"/>
              </w:rPr>
              <w:t>监测因子</w:t>
            </w:r>
          </w:p>
        </w:tc>
      </w:tr>
      <w:tr w14:paraId="4A7158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Align w:val="center"/>
          </w:tcPr>
          <w:p w14:paraId="777663E3">
            <w:pPr>
              <w:pStyle w:val="2"/>
              <w:spacing w:after="0" w:line="300" w:lineRule="exact"/>
              <w:jc w:val="center"/>
              <w:rPr>
                <w:rFonts w:ascii="Times New Roman" w:hAnsi="Times New Roman" w:cs="Times New Roman"/>
                <w:bCs/>
                <w:sz w:val="21"/>
                <w:szCs w:val="21"/>
              </w:rPr>
            </w:pPr>
            <w:r>
              <w:rPr>
                <w:rFonts w:ascii="Times New Roman" w:hAnsi="Times New Roman" w:cs="Times New Roman"/>
                <w:bCs/>
                <w:sz w:val="21"/>
                <w:szCs w:val="21"/>
              </w:rPr>
              <w:t>T1</w:t>
            </w:r>
          </w:p>
        </w:tc>
        <w:tc>
          <w:tcPr>
            <w:tcW w:w="995" w:type="pct"/>
            <w:vAlign w:val="center"/>
          </w:tcPr>
          <w:p w14:paraId="7A939DFC">
            <w:pPr>
              <w:snapToGrid w:val="0"/>
              <w:spacing w:line="280" w:lineRule="exact"/>
              <w:jc w:val="center"/>
              <w:rPr>
                <w:rFonts w:ascii="Times New Roman" w:hAnsi="Times New Roman" w:eastAsia="宋体" w:cs="Times New Roman"/>
                <w:bCs/>
                <w:sz w:val="21"/>
                <w:szCs w:val="21"/>
              </w:rPr>
            </w:pPr>
            <w:r>
              <w:rPr>
                <w:rFonts w:ascii="Times New Roman" w:hAnsi="Times New Roman" w:eastAsia="宋体" w:cs="Times New Roman"/>
                <w:sz w:val="21"/>
                <w:szCs w:val="21"/>
              </w:rPr>
              <w:t>厂区内表层土1#</w:t>
            </w:r>
          </w:p>
        </w:tc>
        <w:tc>
          <w:tcPr>
            <w:tcW w:w="719" w:type="pct"/>
            <w:vAlign w:val="center"/>
          </w:tcPr>
          <w:p w14:paraId="141A386B">
            <w:pPr>
              <w:snapToGrid w:val="0"/>
              <w:spacing w:line="280" w:lineRule="exact"/>
              <w:jc w:val="center"/>
              <w:rPr>
                <w:rFonts w:ascii="Times New Roman" w:hAnsi="Times New Roman" w:eastAsia="宋体" w:cs="Times New Roman"/>
                <w:bCs/>
                <w:sz w:val="21"/>
                <w:szCs w:val="21"/>
              </w:rPr>
            </w:pPr>
            <w:r>
              <w:rPr>
                <w:rFonts w:ascii="Times New Roman" w:hAnsi="Times New Roman" w:eastAsia="宋体" w:cs="Times New Roman"/>
                <w:sz w:val="21"/>
                <w:szCs w:val="21"/>
              </w:rPr>
              <w:t>污水站</w:t>
            </w:r>
          </w:p>
        </w:tc>
        <w:tc>
          <w:tcPr>
            <w:tcW w:w="840" w:type="pct"/>
            <w:vMerge w:val="restart"/>
            <w:vAlign w:val="center"/>
          </w:tcPr>
          <w:p w14:paraId="731E27FD">
            <w:pPr>
              <w:pStyle w:val="2"/>
              <w:spacing w:after="0" w:line="300" w:lineRule="exact"/>
              <w:jc w:val="center"/>
              <w:rPr>
                <w:rFonts w:ascii="Times New Roman" w:hAnsi="Times New Roman" w:cs="Times New Roman"/>
                <w:bCs/>
                <w:sz w:val="21"/>
                <w:szCs w:val="21"/>
                <w:lang w:val="en-US"/>
              </w:rPr>
            </w:pPr>
            <w:r>
              <w:rPr>
                <w:rFonts w:ascii="Times New Roman" w:hAnsi="Times New Roman" w:cs="Times New Roman"/>
                <w:bCs/>
                <w:sz w:val="21"/>
                <w:szCs w:val="21"/>
                <w:lang w:val="en-US"/>
              </w:rPr>
              <w:t>设施农用地</w:t>
            </w:r>
          </w:p>
        </w:tc>
        <w:tc>
          <w:tcPr>
            <w:tcW w:w="1026" w:type="pct"/>
            <w:vMerge w:val="restart"/>
            <w:vAlign w:val="center"/>
          </w:tcPr>
          <w:p w14:paraId="6E7E7D57">
            <w:pPr>
              <w:pStyle w:val="2"/>
              <w:spacing w:after="0" w:line="300" w:lineRule="exact"/>
              <w:jc w:val="center"/>
              <w:rPr>
                <w:rFonts w:ascii="Times New Roman" w:hAnsi="Times New Roman" w:cs="Times New Roman"/>
                <w:bCs/>
                <w:sz w:val="21"/>
                <w:szCs w:val="21"/>
              </w:rPr>
            </w:pPr>
            <w:r>
              <w:rPr>
                <w:rFonts w:ascii="Times New Roman" w:hAnsi="Times New Roman" w:cs="Times New Roman"/>
                <w:bCs/>
                <w:sz w:val="21"/>
                <w:szCs w:val="21"/>
              </w:rPr>
              <w:t>表层样（0-0.2m）</w:t>
            </w:r>
          </w:p>
        </w:tc>
        <w:tc>
          <w:tcPr>
            <w:tcW w:w="1061" w:type="pct"/>
            <w:vMerge w:val="restart"/>
            <w:vAlign w:val="center"/>
          </w:tcPr>
          <w:p w14:paraId="6A55CEC3">
            <w:pPr>
              <w:pStyle w:val="2"/>
              <w:spacing w:after="0" w:line="300" w:lineRule="exact"/>
              <w:jc w:val="center"/>
              <w:rPr>
                <w:rFonts w:ascii="Times New Roman" w:hAnsi="Times New Roman" w:cs="Times New Roman"/>
                <w:bCs/>
                <w:sz w:val="21"/>
                <w:szCs w:val="21"/>
              </w:rPr>
            </w:pPr>
            <w:r>
              <w:rPr>
                <w:rFonts w:ascii="Times New Roman" w:hAnsi="Times New Roman" w:cs="Times New Roman"/>
                <w:sz w:val="21"/>
                <w:szCs w:val="21"/>
              </w:rPr>
              <w:t>pH、砷、铅、铜、镉、汞、铬、锌、镍</w:t>
            </w:r>
          </w:p>
        </w:tc>
      </w:tr>
      <w:tr w14:paraId="21093D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Align w:val="center"/>
          </w:tcPr>
          <w:p w14:paraId="029F142B">
            <w:pPr>
              <w:pStyle w:val="2"/>
              <w:spacing w:after="0" w:line="300" w:lineRule="exact"/>
              <w:jc w:val="center"/>
              <w:rPr>
                <w:rFonts w:ascii="Times New Roman" w:hAnsi="Times New Roman" w:cs="Times New Roman"/>
                <w:bCs/>
                <w:sz w:val="21"/>
                <w:szCs w:val="21"/>
              </w:rPr>
            </w:pPr>
            <w:r>
              <w:rPr>
                <w:rFonts w:ascii="Times New Roman" w:hAnsi="Times New Roman" w:cs="Times New Roman"/>
                <w:bCs/>
                <w:sz w:val="21"/>
                <w:szCs w:val="21"/>
              </w:rPr>
              <w:t>T2</w:t>
            </w:r>
          </w:p>
        </w:tc>
        <w:tc>
          <w:tcPr>
            <w:tcW w:w="995" w:type="pct"/>
            <w:vAlign w:val="center"/>
          </w:tcPr>
          <w:p w14:paraId="6B8CB33B">
            <w:pPr>
              <w:snapToGrid w:val="0"/>
              <w:spacing w:line="280" w:lineRule="exact"/>
              <w:jc w:val="center"/>
              <w:rPr>
                <w:rFonts w:ascii="Times New Roman" w:hAnsi="Times New Roman" w:eastAsia="宋体" w:cs="Times New Roman"/>
                <w:bCs/>
                <w:sz w:val="21"/>
                <w:szCs w:val="21"/>
              </w:rPr>
            </w:pPr>
            <w:r>
              <w:rPr>
                <w:rFonts w:ascii="Times New Roman" w:hAnsi="Times New Roman" w:eastAsia="宋体" w:cs="Times New Roman"/>
                <w:sz w:val="21"/>
                <w:szCs w:val="21"/>
              </w:rPr>
              <w:t>厂区内表层土2#</w:t>
            </w:r>
          </w:p>
        </w:tc>
        <w:tc>
          <w:tcPr>
            <w:tcW w:w="719" w:type="pct"/>
            <w:vAlign w:val="center"/>
          </w:tcPr>
          <w:p w14:paraId="0D4F0DD0">
            <w:pPr>
              <w:snapToGrid w:val="0"/>
              <w:spacing w:line="280" w:lineRule="exact"/>
              <w:jc w:val="center"/>
              <w:rPr>
                <w:rFonts w:ascii="Times New Roman" w:hAnsi="Times New Roman" w:eastAsia="宋体" w:cs="Times New Roman"/>
                <w:bCs/>
                <w:sz w:val="21"/>
                <w:szCs w:val="21"/>
              </w:rPr>
            </w:pPr>
            <w:r>
              <w:rPr>
                <w:rFonts w:ascii="Times New Roman" w:hAnsi="Times New Roman" w:eastAsia="宋体" w:cs="Times New Roman"/>
                <w:sz w:val="21"/>
                <w:szCs w:val="21"/>
              </w:rPr>
              <w:t>养殖区</w:t>
            </w:r>
          </w:p>
        </w:tc>
        <w:tc>
          <w:tcPr>
            <w:tcW w:w="840" w:type="pct"/>
            <w:vMerge w:val="continue"/>
            <w:vAlign w:val="center"/>
          </w:tcPr>
          <w:p w14:paraId="76353151">
            <w:pPr>
              <w:pStyle w:val="2"/>
              <w:spacing w:after="0" w:line="300" w:lineRule="exact"/>
              <w:jc w:val="center"/>
              <w:rPr>
                <w:rFonts w:ascii="Times New Roman" w:hAnsi="Times New Roman" w:cs="Times New Roman"/>
                <w:bCs/>
                <w:sz w:val="21"/>
                <w:szCs w:val="21"/>
              </w:rPr>
            </w:pPr>
          </w:p>
        </w:tc>
        <w:tc>
          <w:tcPr>
            <w:tcW w:w="1026" w:type="pct"/>
            <w:vMerge w:val="continue"/>
            <w:vAlign w:val="center"/>
          </w:tcPr>
          <w:p w14:paraId="4B8E525D">
            <w:pPr>
              <w:pStyle w:val="2"/>
              <w:spacing w:after="0" w:line="300" w:lineRule="exact"/>
              <w:jc w:val="center"/>
              <w:rPr>
                <w:rFonts w:ascii="Times New Roman" w:hAnsi="Times New Roman" w:cs="Times New Roman"/>
                <w:bCs/>
                <w:sz w:val="21"/>
                <w:szCs w:val="21"/>
              </w:rPr>
            </w:pPr>
          </w:p>
        </w:tc>
        <w:tc>
          <w:tcPr>
            <w:tcW w:w="1061" w:type="pct"/>
            <w:vMerge w:val="continue"/>
            <w:vAlign w:val="center"/>
          </w:tcPr>
          <w:p w14:paraId="3064C7AA">
            <w:pPr>
              <w:pStyle w:val="2"/>
              <w:spacing w:after="0" w:line="300" w:lineRule="exact"/>
              <w:jc w:val="center"/>
              <w:rPr>
                <w:rFonts w:ascii="Times New Roman" w:hAnsi="Times New Roman" w:cs="Times New Roman"/>
                <w:bCs/>
                <w:sz w:val="21"/>
                <w:szCs w:val="21"/>
              </w:rPr>
            </w:pPr>
          </w:p>
        </w:tc>
      </w:tr>
      <w:tr w14:paraId="05DF51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Align w:val="center"/>
          </w:tcPr>
          <w:p w14:paraId="2601A35F">
            <w:pPr>
              <w:pStyle w:val="2"/>
              <w:spacing w:after="0" w:line="300" w:lineRule="exact"/>
              <w:jc w:val="center"/>
              <w:rPr>
                <w:rFonts w:ascii="Times New Roman" w:hAnsi="Times New Roman" w:cs="Times New Roman"/>
                <w:bCs/>
                <w:sz w:val="21"/>
                <w:szCs w:val="21"/>
              </w:rPr>
            </w:pPr>
            <w:r>
              <w:rPr>
                <w:rFonts w:ascii="Times New Roman" w:hAnsi="Times New Roman" w:cs="Times New Roman"/>
                <w:bCs/>
                <w:sz w:val="21"/>
                <w:szCs w:val="21"/>
              </w:rPr>
              <w:t>T3</w:t>
            </w:r>
          </w:p>
        </w:tc>
        <w:tc>
          <w:tcPr>
            <w:tcW w:w="995" w:type="pct"/>
            <w:vAlign w:val="center"/>
          </w:tcPr>
          <w:p w14:paraId="0B17E04E">
            <w:pPr>
              <w:snapToGrid w:val="0"/>
              <w:jc w:val="center"/>
              <w:rPr>
                <w:rFonts w:ascii="Times New Roman" w:hAnsi="Times New Roman" w:eastAsia="宋体" w:cs="Times New Roman"/>
                <w:bCs/>
                <w:sz w:val="21"/>
                <w:szCs w:val="21"/>
              </w:rPr>
            </w:pPr>
            <w:r>
              <w:rPr>
                <w:rFonts w:ascii="Times New Roman" w:hAnsi="Times New Roman" w:eastAsia="宋体" w:cs="Times New Roman"/>
                <w:sz w:val="21"/>
                <w:szCs w:val="21"/>
              </w:rPr>
              <w:t>厂区内表层土3#</w:t>
            </w:r>
          </w:p>
        </w:tc>
        <w:tc>
          <w:tcPr>
            <w:tcW w:w="719" w:type="pct"/>
            <w:vAlign w:val="center"/>
          </w:tcPr>
          <w:p w14:paraId="76891C62">
            <w:pPr>
              <w:snapToGrid w:val="0"/>
              <w:spacing w:line="280" w:lineRule="exact"/>
              <w:jc w:val="center"/>
              <w:rPr>
                <w:rFonts w:ascii="Times New Roman" w:hAnsi="Times New Roman" w:eastAsia="宋体" w:cs="Times New Roman"/>
                <w:bCs/>
                <w:sz w:val="21"/>
                <w:szCs w:val="21"/>
              </w:rPr>
            </w:pPr>
            <w:r>
              <w:rPr>
                <w:rFonts w:ascii="Times New Roman" w:hAnsi="Times New Roman" w:eastAsia="宋体" w:cs="Times New Roman"/>
                <w:sz w:val="21"/>
                <w:szCs w:val="21"/>
              </w:rPr>
              <w:t>办公区</w:t>
            </w:r>
          </w:p>
        </w:tc>
        <w:tc>
          <w:tcPr>
            <w:tcW w:w="840" w:type="pct"/>
            <w:vMerge w:val="continue"/>
            <w:vAlign w:val="center"/>
          </w:tcPr>
          <w:p w14:paraId="4DC01725">
            <w:pPr>
              <w:pStyle w:val="2"/>
              <w:spacing w:after="0" w:line="300" w:lineRule="exact"/>
              <w:jc w:val="center"/>
              <w:rPr>
                <w:rFonts w:ascii="Times New Roman" w:hAnsi="Times New Roman" w:cs="Times New Roman"/>
                <w:bCs/>
                <w:sz w:val="21"/>
                <w:szCs w:val="21"/>
              </w:rPr>
            </w:pPr>
          </w:p>
        </w:tc>
        <w:tc>
          <w:tcPr>
            <w:tcW w:w="1026" w:type="pct"/>
            <w:vMerge w:val="continue"/>
            <w:vAlign w:val="center"/>
          </w:tcPr>
          <w:p w14:paraId="404D0790">
            <w:pPr>
              <w:pStyle w:val="2"/>
              <w:spacing w:after="0" w:line="300" w:lineRule="exact"/>
              <w:jc w:val="center"/>
              <w:rPr>
                <w:rFonts w:ascii="Times New Roman" w:hAnsi="Times New Roman" w:cs="Times New Roman"/>
                <w:bCs/>
                <w:sz w:val="21"/>
                <w:szCs w:val="21"/>
              </w:rPr>
            </w:pPr>
          </w:p>
        </w:tc>
        <w:tc>
          <w:tcPr>
            <w:tcW w:w="1061" w:type="pct"/>
            <w:vMerge w:val="continue"/>
            <w:vAlign w:val="center"/>
          </w:tcPr>
          <w:p w14:paraId="65259E01">
            <w:pPr>
              <w:pStyle w:val="2"/>
              <w:spacing w:after="0" w:line="300" w:lineRule="exact"/>
              <w:jc w:val="center"/>
              <w:rPr>
                <w:rFonts w:ascii="Times New Roman" w:hAnsi="Times New Roman" w:cs="Times New Roman"/>
                <w:bCs/>
                <w:sz w:val="21"/>
                <w:szCs w:val="21"/>
              </w:rPr>
            </w:pPr>
          </w:p>
        </w:tc>
      </w:tr>
    </w:tbl>
    <w:p w14:paraId="00F84C17">
      <w:pPr>
        <w:spacing w:line="480" w:lineRule="exact"/>
        <w:ind w:firstLine="480" w:firstLineChars="200"/>
      </w:pPr>
      <w:r>
        <w:rPr>
          <w:rFonts w:hint="eastAsia"/>
        </w:rPr>
        <w:t>（3）监测时间和频次</w:t>
      </w:r>
    </w:p>
    <w:p w14:paraId="7746F436">
      <w:pPr>
        <w:spacing w:line="480" w:lineRule="exact"/>
        <w:ind w:firstLine="480" w:firstLineChars="200"/>
      </w:pPr>
      <w:r>
        <w:rPr>
          <w:rFonts w:hint="eastAsia"/>
        </w:rPr>
        <w:t>本次环评土壤环境现状监测委托江苏迈斯特环境检测有限公司进行，监测时间2024年7月4日，每天采样一次。</w:t>
      </w:r>
    </w:p>
    <w:p w14:paraId="457CEBDE">
      <w:pPr>
        <w:spacing w:line="480" w:lineRule="exact"/>
        <w:ind w:firstLine="480" w:firstLineChars="200"/>
      </w:pPr>
      <w:r>
        <w:rPr>
          <w:rFonts w:hint="eastAsia"/>
        </w:rPr>
        <w:t>（4）监测方法</w:t>
      </w:r>
    </w:p>
    <w:p w14:paraId="55D7D417">
      <w:pPr>
        <w:spacing w:line="480" w:lineRule="exact"/>
        <w:ind w:firstLine="480" w:firstLineChars="200"/>
      </w:pPr>
      <w:r>
        <w:rPr>
          <w:rFonts w:hint="eastAsia"/>
        </w:rPr>
        <w:t>采样及分析方法执行原国家环保局颁发的《环境监测技术规范》和《环境监测分析方法》有关规定和要求进行，详见表4.3-13。</w:t>
      </w:r>
    </w:p>
    <w:p w14:paraId="5F36E439">
      <w:pPr>
        <w:pStyle w:val="31"/>
        <w:spacing w:before="0" w:line="480" w:lineRule="exact"/>
      </w:pPr>
      <w:r>
        <w:rPr>
          <w:rFonts w:hint="eastAsia"/>
        </w:rPr>
        <w:t>表</w:t>
      </w:r>
      <w:r>
        <w:t>4.</w:t>
      </w:r>
      <w:r>
        <w:rPr>
          <w:rFonts w:hint="eastAsia"/>
        </w:rPr>
        <w:t>3-13</w:t>
      </w:r>
      <w:r>
        <w:t xml:space="preserve"> </w:t>
      </w:r>
      <w:r>
        <w:rPr>
          <w:rFonts w:hint="eastAsia"/>
        </w:rPr>
        <w:t>土壤监测分析方法一览表</w:t>
      </w:r>
    </w:p>
    <w:tbl>
      <w:tblPr>
        <w:tblStyle w:val="41"/>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1077"/>
        <w:gridCol w:w="7308"/>
      </w:tblGrid>
      <w:tr w14:paraId="340BEB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3" w:type="pct"/>
            <w:vAlign w:val="center"/>
          </w:tcPr>
          <w:p w14:paraId="77F7E5E2">
            <w:pPr>
              <w:pStyle w:val="61"/>
              <w:spacing w:line="300" w:lineRule="exact"/>
              <w:rPr>
                <w:szCs w:val="21"/>
                <w:lang w:val="zh-CN"/>
              </w:rPr>
            </w:pPr>
            <w:r>
              <w:rPr>
                <w:szCs w:val="21"/>
              </w:rPr>
              <w:t>序号</w:t>
            </w:r>
          </w:p>
        </w:tc>
        <w:tc>
          <w:tcPr>
            <w:tcW w:w="580" w:type="pct"/>
            <w:vAlign w:val="center"/>
          </w:tcPr>
          <w:p w14:paraId="0F3FF33E">
            <w:pPr>
              <w:pStyle w:val="61"/>
              <w:spacing w:line="300" w:lineRule="exact"/>
              <w:rPr>
                <w:szCs w:val="21"/>
              </w:rPr>
            </w:pPr>
            <w:r>
              <w:rPr>
                <w:szCs w:val="21"/>
              </w:rPr>
              <w:t>监测项目</w:t>
            </w:r>
          </w:p>
        </w:tc>
        <w:tc>
          <w:tcPr>
            <w:tcW w:w="3936" w:type="pct"/>
            <w:vAlign w:val="center"/>
          </w:tcPr>
          <w:p w14:paraId="2CB5EED8">
            <w:pPr>
              <w:pStyle w:val="61"/>
              <w:spacing w:line="300" w:lineRule="exact"/>
              <w:rPr>
                <w:szCs w:val="21"/>
              </w:rPr>
            </w:pPr>
            <w:r>
              <w:rPr>
                <w:szCs w:val="21"/>
              </w:rPr>
              <w:t>检测标准（方法）名称及编号</w:t>
            </w:r>
          </w:p>
        </w:tc>
      </w:tr>
      <w:tr w14:paraId="3BC25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3" w:type="pct"/>
            <w:vAlign w:val="center"/>
          </w:tcPr>
          <w:p w14:paraId="6DD14795">
            <w:pPr>
              <w:pStyle w:val="61"/>
              <w:spacing w:line="300" w:lineRule="exact"/>
              <w:rPr>
                <w:szCs w:val="21"/>
              </w:rPr>
            </w:pPr>
            <w:r>
              <w:rPr>
                <w:szCs w:val="21"/>
              </w:rPr>
              <w:t>1</w:t>
            </w:r>
          </w:p>
        </w:tc>
        <w:tc>
          <w:tcPr>
            <w:tcW w:w="580" w:type="pct"/>
            <w:vAlign w:val="center"/>
          </w:tcPr>
          <w:p w14:paraId="705EECD5">
            <w:pPr>
              <w:pStyle w:val="61"/>
              <w:spacing w:line="300" w:lineRule="exact"/>
              <w:rPr>
                <w:szCs w:val="21"/>
              </w:rPr>
            </w:pPr>
            <w:r>
              <w:rPr>
                <w:szCs w:val="21"/>
              </w:rPr>
              <w:t>pH值</w:t>
            </w:r>
          </w:p>
        </w:tc>
        <w:tc>
          <w:tcPr>
            <w:tcW w:w="3936" w:type="pct"/>
            <w:vAlign w:val="center"/>
          </w:tcPr>
          <w:p w14:paraId="3DDB97C4">
            <w:pPr>
              <w:pStyle w:val="61"/>
              <w:spacing w:line="300" w:lineRule="exact"/>
              <w:rPr>
                <w:szCs w:val="21"/>
              </w:rPr>
            </w:pPr>
            <w:r>
              <w:rPr>
                <w:rFonts w:hint="eastAsia"/>
                <w:szCs w:val="21"/>
              </w:rPr>
              <w:t>《</w:t>
            </w:r>
            <w:r>
              <w:rPr>
                <w:szCs w:val="21"/>
              </w:rPr>
              <w:t>土壤</w:t>
            </w:r>
            <w:r>
              <w:rPr>
                <w:rFonts w:hint="eastAsia"/>
                <w:szCs w:val="21"/>
              </w:rPr>
              <w:t xml:space="preserve"> </w:t>
            </w:r>
            <w:r>
              <w:rPr>
                <w:szCs w:val="21"/>
              </w:rPr>
              <w:t xml:space="preserve"> pH</w:t>
            </w:r>
            <w:r>
              <w:rPr>
                <w:rFonts w:hint="eastAsia"/>
                <w:szCs w:val="21"/>
              </w:rPr>
              <w:t>值</w:t>
            </w:r>
            <w:r>
              <w:rPr>
                <w:szCs w:val="21"/>
              </w:rPr>
              <w:t>的测定 电位法</w:t>
            </w:r>
            <w:r>
              <w:rPr>
                <w:rFonts w:hint="eastAsia"/>
                <w:szCs w:val="21"/>
              </w:rPr>
              <w:t>》</w:t>
            </w:r>
            <w:r>
              <w:rPr>
                <w:szCs w:val="21"/>
              </w:rPr>
              <w:t xml:space="preserve"> </w:t>
            </w:r>
            <w:r>
              <w:rPr>
                <w:rFonts w:hint="eastAsia"/>
                <w:szCs w:val="21"/>
              </w:rPr>
              <w:t>（</w:t>
            </w:r>
            <w:r>
              <w:rPr>
                <w:szCs w:val="21"/>
              </w:rPr>
              <w:t>HJ 962-2018</w:t>
            </w:r>
            <w:r>
              <w:rPr>
                <w:rFonts w:hint="eastAsia"/>
                <w:szCs w:val="21"/>
              </w:rPr>
              <w:t>）</w:t>
            </w:r>
            <w:r>
              <w:rPr>
                <w:szCs w:val="21"/>
              </w:rPr>
              <w:t xml:space="preserve"> </w:t>
            </w:r>
          </w:p>
        </w:tc>
      </w:tr>
      <w:tr w14:paraId="68CA3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3" w:type="pct"/>
            <w:vAlign w:val="center"/>
          </w:tcPr>
          <w:p w14:paraId="2D4F80A9">
            <w:pPr>
              <w:pStyle w:val="61"/>
              <w:spacing w:line="300" w:lineRule="exact"/>
              <w:rPr>
                <w:szCs w:val="21"/>
              </w:rPr>
            </w:pPr>
            <w:r>
              <w:rPr>
                <w:szCs w:val="21"/>
              </w:rPr>
              <w:t>2</w:t>
            </w:r>
          </w:p>
        </w:tc>
        <w:tc>
          <w:tcPr>
            <w:tcW w:w="580" w:type="pct"/>
            <w:vAlign w:val="center"/>
          </w:tcPr>
          <w:p w14:paraId="31554EB3">
            <w:pPr>
              <w:widowControl/>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砷</w:t>
            </w:r>
          </w:p>
        </w:tc>
        <w:tc>
          <w:tcPr>
            <w:tcW w:w="3936" w:type="pct"/>
            <w:vAlign w:val="center"/>
          </w:tcPr>
          <w:p w14:paraId="0DA3CDE0">
            <w:pPr>
              <w:pStyle w:val="61"/>
              <w:spacing w:line="300" w:lineRule="exact"/>
              <w:rPr>
                <w:szCs w:val="21"/>
              </w:rPr>
            </w:pPr>
            <w:r>
              <w:rPr>
                <w:rFonts w:hint="eastAsia"/>
                <w:szCs w:val="21"/>
              </w:rPr>
              <w:t>《</w:t>
            </w:r>
            <w:r>
              <w:rPr>
                <w:szCs w:val="21"/>
              </w:rPr>
              <w:t xml:space="preserve">土壤质量 总汞、总砷、总铅的测定 原子荧光法 </w:t>
            </w:r>
            <w:r>
              <w:rPr>
                <w:rFonts w:hint="eastAsia"/>
                <w:szCs w:val="21"/>
              </w:rPr>
              <w:t xml:space="preserve"> </w:t>
            </w:r>
            <w:r>
              <w:rPr>
                <w:szCs w:val="21"/>
              </w:rPr>
              <w:t>第2部分</w:t>
            </w:r>
            <w:r>
              <w:rPr>
                <w:rFonts w:hint="eastAsia"/>
                <w:szCs w:val="21"/>
              </w:rPr>
              <w:t>：</w:t>
            </w:r>
            <w:r>
              <w:rPr>
                <w:szCs w:val="21"/>
              </w:rPr>
              <w:t xml:space="preserve">土壤中总砷的测定 </w:t>
            </w:r>
            <w:r>
              <w:rPr>
                <w:rFonts w:hint="eastAsia"/>
                <w:szCs w:val="21"/>
              </w:rPr>
              <w:t>》</w:t>
            </w:r>
            <w:r>
              <w:rPr>
                <w:szCs w:val="21"/>
              </w:rPr>
              <w:t xml:space="preserve"> </w:t>
            </w:r>
            <w:r>
              <w:rPr>
                <w:rFonts w:hint="eastAsia"/>
                <w:szCs w:val="21"/>
              </w:rPr>
              <w:t>（</w:t>
            </w:r>
            <w:r>
              <w:rPr>
                <w:szCs w:val="21"/>
              </w:rPr>
              <w:t>GB/T 22105.2-2008</w:t>
            </w:r>
            <w:r>
              <w:rPr>
                <w:rFonts w:hint="eastAsia"/>
                <w:szCs w:val="21"/>
              </w:rPr>
              <w:t>）</w:t>
            </w:r>
          </w:p>
        </w:tc>
      </w:tr>
      <w:tr w14:paraId="1CCD0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3" w:type="pct"/>
            <w:vAlign w:val="center"/>
          </w:tcPr>
          <w:p w14:paraId="7A14B670">
            <w:pPr>
              <w:pStyle w:val="61"/>
              <w:spacing w:line="300" w:lineRule="exact"/>
              <w:rPr>
                <w:szCs w:val="21"/>
              </w:rPr>
            </w:pPr>
            <w:r>
              <w:rPr>
                <w:szCs w:val="21"/>
              </w:rPr>
              <w:t>3</w:t>
            </w:r>
          </w:p>
        </w:tc>
        <w:tc>
          <w:tcPr>
            <w:tcW w:w="580" w:type="pct"/>
            <w:vAlign w:val="center"/>
          </w:tcPr>
          <w:p w14:paraId="5FD85BE9">
            <w:pPr>
              <w:pStyle w:val="61"/>
              <w:spacing w:line="300" w:lineRule="exact"/>
              <w:rPr>
                <w:szCs w:val="21"/>
              </w:rPr>
            </w:pPr>
            <w:r>
              <w:rPr>
                <w:szCs w:val="21"/>
              </w:rPr>
              <w:t>汞</w:t>
            </w:r>
          </w:p>
        </w:tc>
        <w:tc>
          <w:tcPr>
            <w:tcW w:w="3936" w:type="pct"/>
            <w:vAlign w:val="center"/>
          </w:tcPr>
          <w:p w14:paraId="6B5A4EDB">
            <w:pPr>
              <w:pStyle w:val="61"/>
              <w:spacing w:line="300" w:lineRule="exact"/>
              <w:rPr>
                <w:szCs w:val="21"/>
              </w:rPr>
            </w:pPr>
            <w:r>
              <w:rPr>
                <w:rFonts w:hint="eastAsia"/>
                <w:szCs w:val="21"/>
              </w:rPr>
              <w:t>《</w:t>
            </w:r>
            <w:r>
              <w:rPr>
                <w:szCs w:val="21"/>
              </w:rPr>
              <w:t xml:space="preserve">土壤质量 总汞、总砷、总铅的测定 原子荧光法 </w:t>
            </w:r>
            <w:r>
              <w:rPr>
                <w:rFonts w:hint="eastAsia"/>
                <w:szCs w:val="21"/>
              </w:rPr>
              <w:t xml:space="preserve"> </w:t>
            </w:r>
            <w:r>
              <w:rPr>
                <w:szCs w:val="21"/>
              </w:rPr>
              <w:t>第1部分</w:t>
            </w:r>
            <w:r>
              <w:rPr>
                <w:rFonts w:hint="eastAsia"/>
                <w:szCs w:val="21"/>
              </w:rPr>
              <w:t>：</w:t>
            </w:r>
            <w:r>
              <w:rPr>
                <w:szCs w:val="21"/>
              </w:rPr>
              <w:t>土壤中总汞的测定</w:t>
            </w:r>
            <w:r>
              <w:rPr>
                <w:rFonts w:hint="eastAsia"/>
                <w:szCs w:val="21"/>
              </w:rPr>
              <w:t>》</w:t>
            </w:r>
            <w:r>
              <w:rPr>
                <w:szCs w:val="21"/>
              </w:rPr>
              <w:t xml:space="preserve">  </w:t>
            </w:r>
            <w:r>
              <w:rPr>
                <w:rFonts w:hint="eastAsia"/>
                <w:szCs w:val="21"/>
              </w:rPr>
              <w:t>（</w:t>
            </w:r>
            <w:r>
              <w:rPr>
                <w:szCs w:val="21"/>
              </w:rPr>
              <w:t>GB/T 22105.1-2008</w:t>
            </w:r>
            <w:r>
              <w:rPr>
                <w:rFonts w:hint="eastAsia"/>
                <w:szCs w:val="21"/>
              </w:rPr>
              <w:t>）</w:t>
            </w:r>
          </w:p>
        </w:tc>
      </w:tr>
      <w:tr w14:paraId="6657D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3" w:type="pct"/>
            <w:vAlign w:val="center"/>
          </w:tcPr>
          <w:p w14:paraId="3BF62383">
            <w:pPr>
              <w:pStyle w:val="61"/>
              <w:spacing w:line="300" w:lineRule="exact"/>
              <w:rPr>
                <w:szCs w:val="21"/>
              </w:rPr>
            </w:pPr>
            <w:r>
              <w:rPr>
                <w:szCs w:val="21"/>
              </w:rPr>
              <w:t>4</w:t>
            </w:r>
          </w:p>
        </w:tc>
        <w:tc>
          <w:tcPr>
            <w:tcW w:w="580" w:type="pct"/>
            <w:vAlign w:val="center"/>
          </w:tcPr>
          <w:p w14:paraId="14BA816E">
            <w:pPr>
              <w:pStyle w:val="61"/>
              <w:spacing w:line="300" w:lineRule="exact"/>
              <w:rPr>
                <w:szCs w:val="21"/>
                <w:lang w:val="zh-CN"/>
              </w:rPr>
            </w:pPr>
            <w:r>
              <w:rPr>
                <w:szCs w:val="21"/>
              </w:rPr>
              <w:t>镉</w:t>
            </w:r>
          </w:p>
        </w:tc>
        <w:tc>
          <w:tcPr>
            <w:tcW w:w="3936" w:type="pct"/>
            <w:vMerge w:val="restart"/>
            <w:vAlign w:val="center"/>
          </w:tcPr>
          <w:p w14:paraId="123C75E7">
            <w:pPr>
              <w:pStyle w:val="61"/>
              <w:spacing w:line="300" w:lineRule="exact"/>
              <w:rPr>
                <w:szCs w:val="21"/>
              </w:rPr>
            </w:pPr>
            <w:r>
              <w:rPr>
                <w:rFonts w:hint="eastAsia"/>
                <w:szCs w:val="21"/>
              </w:rPr>
              <w:t>《</w:t>
            </w:r>
            <w:r>
              <w:rPr>
                <w:szCs w:val="21"/>
              </w:rPr>
              <w:t>土壤质量 铅</w:t>
            </w:r>
            <w:r>
              <w:rPr>
                <w:rFonts w:hint="eastAsia"/>
                <w:szCs w:val="21"/>
              </w:rPr>
              <w:t>、</w:t>
            </w:r>
            <w:r>
              <w:rPr>
                <w:szCs w:val="21"/>
              </w:rPr>
              <w:t xml:space="preserve">镉的测定 </w:t>
            </w:r>
            <w:r>
              <w:rPr>
                <w:rFonts w:hint="eastAsia"/>
                <w:szCs w:val="21"/>
              </w:rPr>
              <w:t>石墨炉</w:t>
            </w:r>
            <w:r>
              <w:rPr>
                <w:szCs w:val="21"/>
              </w:rPr>
              <w:t>原子吸收分光光度法</w:t>
            </w:r>
            <w:r>
              <w:rPr>
                <w:rFonts w:hint="eastAsia"/>
                <w:szCs w:val="21"/>
              </w:rPr>
              <w:t>》（</w:t>
            </w:r>
            <w:r>
              <w:rPr>
                <w:szCs w:val="21"/>
              </w:rPr>
              <w:t>GB/T17141-1997</w:t>
            </w:r>
            <w:r>
              <w:rPr>
                <w:rFonts w:hint="eastAsia"/>
                <w:szCs w:val="21"/>
              </w:rPr>
              <w:t>）</w:t>
            </w:r>
          </w:p>
        </w:tc>
      </w:tr>
      <w:tr w14:paraId="092E5E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3" w:type="pct"/>
            <w:vAlign w:val="center"/>
          </w:tcPr>
          <w:p w14:paraId="05F40D40">
            <w:pPr>
              <w:pStyle w:val="61"/>
              <w:spacing w:line="300" w:lineRule="exact"/>
              <w:rPr>
                <w:szCs w:val="21"/>
              </w:rPr>
            </w:pPr>
            <w:r>
              <w:rPr>
                <w:szCs w:val="21"/>
              </w:rPr>
              <w:t>5</w:t>
            </w:r>
          </w:p>
        </w:tc>
        <w:tc>
          <w:tcPr>
            <w:tcW w:w="580" w:type="pct"/>
            <w:vAlign w:val="center"/>
          </w:tcPr>
          <w:p w14:paraId="13698ACE">
            <w:pPr>
              <w:pStyle w:val="61"/>
              <w:spacing w:line="300" w:lineRule="exact"/>
              <w:rPr>
                <w:szCs w:val="21"/>
              </w:rPr>
            </w:pPr>
            <w:r>
              <w:rPr>
                <w:szCs w:val="21"/>
              </w:rPr>
              <w:t>铅</w:t>
            </w:r>
          </w:p>
        </w:tc>
        <w:tc>
          <w:tcPr>
            <w:tcW w:w="3936" w:type="pct"/>
            <w:vMerge w:val="continue"/>
            <w:vAlign w:val="center"/>
          </w:tcPr>
          <w:p w14:paraId="3168A5F3">
            <w:pPr>
              <w:pStyle w:val="61"/>
              <w:spacing w:line="300" w:lineRule="exact"/>
              <w:rPr>
                <w:szCs w:val="21"/>
              </w:rPr>
            </w:pPr>
          </w:p>
        </w:tc>
      </w:tr>
      <w:tr w14:paraId="3B3549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3" w:type="pct"/>
            <w:vAlign w:val="center"/>
          </w:tcPr>
          <w:p w14:paraId="6914A061">
            <w:pPr>
              <w:pStyle w:val="61"/>
              <w:spacing w:line="300" w:lineRule="exact"/>
              <w:rPr>
                <w:szCs w:val="21"/>
              </w:rPr>
            </w:pPr>
            <w:r>
              <w:rPr>
                <w:szCs w:val="21"/>
              </w:rPr>
              <w:t>6</w:t>
            </w:r>
          </w:p>
        </w:tc>
        <w:tc>
          <w:tcPr>
            <w:tcW w:w="580" w:type="pct"/>
            <w:vAlign w:val="center"/>
          </w:tcPr>
          <w:p w14:paraId="1C316658">
            <w:pPr>
              <w:pStyle w:val="61"/>
              <w:spacing w:line="300" w:lineRule="exact"/>
              <w:rPr>
                <w:szCs w:val="21"/>
              </w:rPr>
            </w:pPr>
            <w:r>
              <w:rPr>
                <w:szCs w:val="21"/>
              </w:rPr>
              <w:t>铜</w:t>
            </w:r>
          </w:p>
        </w:tc>
        <w:tc>
          <w:tcPr>
            <w:tcW w:w="3936" w:type="pct"/>
            <w:vMerge w:val="restart"/>
            <w:vAlign w:val="center"/>
          </w:tcPr>
          <w:p w14:paraId="1AA58C02">
            <w:pPr>
              <w:pStyle w:val="61"/>
              <w:spacing w:line="300" w:lineRule="exact"/>
              <w:rPr>
                <w:szCs w:val="21"/>
              </w:rPr>
            </w:pPr>
            <w:r>
              <w:rPr>
                <w:rFonts w:hint="eastAsia"/>
                <w:szCs w:val="21"/>
              </w:rPr>
              <w:t>《</w:t>
            </w:r>
            <w:r>
              <w:rPr>
                <w:szCs w:val="21"/>
              </w:rPr>
              <w:t>土壤和沉积物 铜、锌、铅、镍、铬的测定</w:t>
            </w:r>
            <w:r>
              <w:rPr>
                <w:rFonts w:hint="eastAsia"/>
                <w:szCs w:val="21"/>
              </w:rPr>
              <w:t xml:space="preserve"> </w:t>
            </w:r>
            <w:r>
              <w:rPr>
                <w:szCs w:val="21"/>
              </w:rPr>
              <w:t xml:space="preserve"> 火焰原子吸收分光光度法 </w:t>
            </w:r>
            <w:r>
              <w:rPr>
                <w:rFonts w:hint="eastAsia"/>
                <w:szCs w:val="21"/>
              </w:rPr>
              <w:t>》</w:t>
            </w:r>
            <w:r>
              <w:rPr>
                <w:szCs w:val="21"/>
              </w:rPr>
              <w:t xml:space="preserve"> </w:t>
            </w:r>
            <w:r>
              <w:rPr>
                <w:rFonts w:hint="eastAsia"/>
                <w:szCs w:val="21"/>
              </w:rPr>
              <w:t>（</w:t>
            </w:r>
            <w:r>
              <w:rPr>
                <w:szCs w:val="21"/>
              </w:rPr>
              <w:t>HJ 491-2019</w:t>
            </w:r>
            <w:r>
              <w:rPr>
                <w:rFonts w:hint="eastAsia"/>
                <w:szCs w:val="21"/>
              </w:rPr>
              <w:t>）</w:t>
            </w:r>
          </w:p>
        </w:tc>
      </w:tr>
      <w:tr w14:paraId="04A37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3" w:type="pct"/>
            <w:vAlign w:val="center"/>
          </w:tcPr>
          <w:p w14:paraId="6E5398BC">
            <w:pPr>
              <w:pStyle w:val="61"/>
              <w:spacing w:line="300" w:lineRule="exact"/>
              <w:rPr>
                <w:szCs w:val="21"/>
              </w:rPr>
            </w:pPr>
            <w:r>
              <w:rPr>
                <w:szCs w:val="21"/>
              </w:rPr>
              <w:t>7</w:t>
            </w:r>
          </w:p>
        </w:tc>
        <w:tc>
          <w:tcPr>
            <w:tcW w:w="580" w:type="pct"/>
            <w:vAlign w:val="center"/>
          </w:tcPr>
          <w:p w14:paraId="7C86C47A">
            <w:pPr>
              <w:pStyle w:val="61"/>
              <w:spacing w:line="300" w:lineRule="exact"/>
              <w:rPr>
                <w:szCs w:val="21"/>
              </w:rPr>
            </w:pPr>
            <w:r>
              <w:rPr>
                <w:szCs w:val="21"/>
              </w:rPr>
              <w:t>镍</w:t>
            </w:r>
          </w:p>
        </w:tc>
        <w:tc>
          <w:tcPr>
            <w:tcW w:w="3936" w:type="pct"/>
            <w:vMerge w:val="continue"/>
            <w:vAlign w:val="center"/>
          </w:tcPr>
          <w:p w14:paraId="530BCA36">
            <w:pPr>
              <w:pStyle w:val="61"/>
              <w:spacing w:line="300" w:lineRule="exact"/>
              <w:jc w:val="both"/>
              <w:rPr>
                <w:szCs w:val="21"/>
              </w:rPr>
            </w:pPr>
          </w:p>
        </w:tc>
      </w:tr>
      <w:tr w14:paraId="6B3CB6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3" w:type="pct"/>
            <w:vAlign w:val="center"/>
          </w:tcPr>
          <w:p w14:paraId="058F3CDD">
            <w:pPr>
              <w:pStyle w:val="61"/>
              <w:spacing w:line="300" w:lineRule="exact"/>
              <w:rPr>
                <w:szCs w:val="21"/>
              </w:rPr>
            </w:pPr>
            <w:r>
              <w:rPr>
                <w:szCs w:val="21"/>
              </w:rPr>
              <w:t>8</w:t>
            </w:r>
          </w:p>
        </w:tc>
        <w:tc>
          <w:tcPr>
            <w:tcW w:w="580" w:type="pct"/>
            <w:vAlign w:val="center"/>
          </w:tcPr>
          <w:p w14:paraId="5CCFE62B">
            <w:pPr>
              <w:pStyle w:val="61"/>
              <w:spacing w:line="300" w:lineRule="exact"/>
              <w:rPr>
                <w:szCs w:val="21"/>
              </w:rPr>
            </w:pPr>
            <w:r>
              <w:rPr>
                <w:szCs w:val="21"/>
              </w:rPr>
              <w:t>锌</w:t>
            </w:r>
          </w:p>
        </w:tc>
        <w:tc>
          <w:tcPr>
            <w:tcW w:w="3936" w:type="pct"/>
            <w:vMerge w:val="continue"/>
            <w:vAlign w:val="center"/>
          </w:tcPr>
          <w:p w14:paraId="4C020065">
            <w:pPr>
              <w:pStyle w:val="61"/>
              <w:spacing w:line="300" w:lineRule="exact"/>
              <w:jc w:val="both"/>
              <w:rPr>
                <w:szCs w:val="21"/>
              </w:rPr>
            </w:pPr>
          </w:p>
        </w:tc>
      </w:tr>
      <w:tr w14:paraId="0B290B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3" w:type="pct"/>
            <w:vAlign w:val="center"/>
          </w:tcPr>
          <w:p w14:paraId="3E513682">
            <w:pPr>
              <w:pStyle w:val="61"/>
              <w:spacing w:line="300" w:lineRule="exact"/>
              <w:rPr>
                <w:szCs w:val="21"/>
              </w:rPr>
            </w:pPr>
            <w:r>
              <w:rPr>
                <w:szCs w:val="21"/>
              </w:rPr>
              <w:t>9</w:t>
            </w:r>
          </w:p>
        </w:tc>
        <w:tc>
          <w:tcPr>
            <w:tcW w:w="580" w:type="pct"/>
            <w:vAlign w:val="center"/>
          </w:tcPr>
          <w:p w14:paraId="3FDBDD94">
            <w:pPr>
              <w:pStyle w:val="61"/>
              <w:spacing w:line="300" w:lineRule="exact"/>
              <w:rPr>
                <w:szCs w:val="21"/>
              </w:rPr>
            </w:pPr>
            <w:r>
              <w:rPr>
                <w:szCs w:val="21"/>
              </w:rPr>
              <w:t>铬</w:t>
            </w:r>
          </w:p>
        </w:tc>
        <w:tc>
          <w:tcPr>
            <w:tcW w:w="3936" w:type="pct"/>
            <w:vMerge w:val="continue"/>
            <w:vAlign w:val="center"/>
          </w:tcPr>
          <w:p w14:paraId="12E6F63C">
            <w:pPr>
              <w:pStyle w:val="61"/>
              <w:spacing w:line="300" w:lineRule="exact"/>
              <w:jc w:val="both"/>
              <w:rPr>
                <w:szCs w:val="21"/>
              </w:rPr>
            </w:pPr>
          </w:p>
        </w:tc>
      </w:tr>
    </w:tbl>
    <w:p w14:paraId="05E85CB0">
      <w:pPr>
        <w:spacing w:line="480" w:lineRule="exact"/>
        <w:ind w:firstLine="480" w:firstLineChars="200"/>
      </w:pPr>
      <w:r>
        <w:rPr>
          <w:rFonts w:hint="eastAsia"/>
        </w:rPr>
        <w:t>（5）土壤环境质量现状监测与评价</w:t>
      </w:r>
    </w:p>
    <w:p w14:paraId="5DC80824">
      <w:pPr>
        <w:spacing w:line="480" w:lineRule="exact"/>
        <w:ind w:firstLine="480" w:firstLineChars="200"/>
      </w:pPr>
      <w:r>
        <w:rPr>
          <w:rFonts w:hint="eastAsia" w:asciiTheme="minorEastAsia" w:hAnsiTheme="minorEastAsia"/>
        </w:rPr>
        <w:t>1）</w:t>
      </w:r>
      <w:r>
        <w:rPr>
          <w:rFonts w:hint="eastAsia"/>
        </w:rPr>
        <w:t>评价标准</w:t>
      </w:r>
    </w:p>
    <w:p w14:paraId="081E7457">
      <w:pPr>
        <w:spacing w:line="480" w:lineRule="exact"/>
        <w:ind w:firstLine="480" w:firstLineChars="200"/>
      </w:pPr>
      <w:r>
        <w:rPr>
          <w:rFonts w:hint="eastAsia"/>
        </w:rPr>
        <w:t>土壤执行《土壤环境质量农用地土壤污染风险管控标准》（GB15618-2018）中农用地土壤污染风险筛选值，具体见表2.4-5。</w:t>
      </w:r>
    </w:p>
    <w:p w14:paraId="22FC31DC">
      <w:pPr>
        <w:spacing w:line="480" w:lineRule="exact"/>
        <w:ind w:firstLine="480" w:firstLineChars="200"/>
      </w:pPr>
      <w:r>
        <w:rPr>
          <w:rFonts w:hint="eastAsia"/>
        </w:rPr>
        <w:t>2）评价结果</w:t>
      </w:r>
    </w:p>
    <w:p w14:paraId="6F614341">
      <w:pPr>
        <w:spacing w:line="480" w:lineRule="exact"/>
        <w:ind w:firstLine="480" w:firstLineChars="200"/>
      </w:pPr>
      <w:r>
        <w:rPr>
          <w:rFonts w:hint="eastAsia"/>
        </w:rPr>
        <w:t>根据江苏迈斯特环境检测有限公司的监测报告（报告编号：</w:t>
      </w:r>
      <w:r>
        <w:t>AHSC2022110421</w:t>
      </w:r>
      <w:r>
        <w:rPr>
          <w:rFonts w:hint="eastAsia"/>
        </w:rPr>
        <w:t>），本次土壤环境监测结果见表4.3-14。</w:t>
      </w:r>
    </w:p>
    <w:p w14:paraId="7CE9DDF6">
      <w:pPr>
        <w:pStyle w:val="31"/>
        <w:spacing w:before="0" w:line="480" w:lineRule="exact"/>
      </w:pPr>
      <w:r>
        <w:rPr>
          <w:rFonts w:hint="eastAsia"/>
        </w:rPr>
        <w:t>表</w:t>
      </w:r>
      <w:r>
        <w:t>4.</w:t>
      </w:r>
      <w:r>
        <w:rPr>
          <w:rFonts w:hint="eastAsia"/>
        </w:rPr>
        <w:t>3-14厂内土壤现状监测结果表</w:t>
      </w:r>
    </w:p>
    <w:tbl>
      <w:tblPr>
        <w:tblStyle w:val="4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426"/>
        <w:gridCol w:w="1517"/>
        <w:gridCol w:w="1517"/>
        <w:gridCol w:w="1521"/>
        <w:gridCol w:w="1521"/>
        <w:gridCol w:w="1621"/>
      </w:tblGrid>
      <w:tr w14:paraId="35F13B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781" w:type="pct"/>
            <w:vAlign w:val="center"/>
          </w:tcPr>
          <w:p w14:paraId="063947EF">
            <w:pPr>
              <w:pStyle w:val="61"/>
              <w:spacing w:line="300" w:lineRule="exact"/>
              <w:rPr>
                <w:szCs w:val="21"/>
                <w:lang w:val="zh-CN"/>
              </w:rPr>
            </w:pPr>
            <w:r>
              <w:rPr>
                <w:szCs w:val="21"/>
                <w:lang w:val="zh-CN"/>
              </w:rPr>
              <w:t>项目</w:t>
            </w:r>
          </w:p>
        </w:tc>
        <w:tc>
          <w:tcPr>
            <w:tcW w:w="831" w:type="pct"/>
            <w:vAlign w:val="center"/>
          </w:tcPr>
          <w:p w14:paraId="4D6D79B5">
            <w:pPr>
              <w:pStyle w:val="61"/>
              <w:spacing w:line="300" w:lineRule="exact"/>
              <w:rPr>
                <w:szCs w:val="21"/>
              </w:rPr>
            </w:pPr>
            <w:r>
              <w:rPr>
                <w:szCs w:val="21"/>
              </w:rPr>
              <w:t>单位</w:t>
            </w:r>
          </w:p>
        </w:tc>
        <w:tc>
          <w:tcPr>
            <w:tcW w:w="831" w:type="pct"/>
            <w:vAlign w:val="center"/>
          </w:tcPr>
          <w:p w14:paraId="4230656B">
            <w:pPr>
              <w:pStyle w:val="61"/>
              <w:spacing w:line="300" w:lineRule="exact"/>
              <w:rPr>
                <w:szCs w:val="21"/>
              </w:rPr>
            </w:pPr>
            <w:r>
              <w:rPr>
                <w:rFonts w:hint="eastAsia"/>
                <w:szCs w:val="21"/>
              </w:rPr>
              <w:t>T</w:t>
            </w:r>
            <w:r>
              <w:rPr>
                <w:szCs w:val="21"/>
              </w:rPr>
              <w:t>1</w:t>
            </w:r>
          </w:p>
        </w:tc>
        <w:tc>
          <w:tcPr>
            <w:tcW w:w="833" w:type="pct"/>
            <w:vAlign w:val="center"/>
          </w:tcPr>
          <w:p w14:paraId="006EDCEF">
            <w:pPr>
              <w:pStyle w:val="61"/>
              <w:spacing w:line="300" w:lineRule="exact"/>
              <w:rPr>
                <w:szCs w:val="21"/>
              </w:rPr>
            </w:pPr>
            <w:r>
              <w:rPr>
                <w:rFonts w:hint="eastAsia"/>
                <w:szCs w:val="21"/>
              </w:rPr>
              <w:t>T</w:t>
            </w:r>
            <w:r>
              <w:rPr>
                <w:szCs w:val="21"/>
              </w:rPr>
              <w:t>2</w:t>
            </w:r>
          </w:p>
        </w:tc>
        <w:tc>
          <w:tcPr>
            <w:tcW w:w="833" w:type="pct"/>
            <w:vAlign w:val="center"/>
          </w:tcPr>
          <w:p w14:paraId="6324C5AF">
            <w:pPr>
              <w:pStyle w:val="61"/>
              <w:spacing w:line="300" w:lineRule="exact"/>
              <w:rPr>
                <w:szCs w:val="21"/>
              </w:rPr>
            </w:pPr>
            <w:r>
              <w:rPr>
                <w:rFonts w:hint="eastAsia"/>
                <w:szCs w:val="21"/>
              </w:rPr>
              <w:t>T</w:t>
            </w:r>
            <w:r>
              <w:rPr>
                <w:szCs w:val="21"/>
              </w:rPr>
              <w:t>3</w:t>
            </w:r>
          </w:p>
        </w:tc>
        <w:tc>
          <w:tcPr>
            <w:tcW w:w="888" w:type="pct"/>
            <w:vMerge w:val="restart"/>
            <w:vAlign w:val="center"/>
          </w:tcPr>
          <w:p w14:paraId="70FBCD47">
            <w:pPr>
              <w:pStyle w:val="61"/>
              <w:spacing w:line="300" w:lineRule="exact"/>
              <w:rPr>
                <w:szCs w:val="21"/>
                <w:lang w:val="zh-CN"/>
              </w:rPr>
            </w:pPr>
            <w:r>
              <w:rPr>
                <w:szCs w:val="21"/>
                <w:lang w:val="zh-CN"/>
              </w:rPr>
              <w:t>农用地筛选值</w:t>
            </w:r>
          </w:p>
        </w:tc>
      </w:tr>
      <w:tr w14:paraId="65884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781" w:type="pct"/>
            <w:vAlign w:val="center"/>
          </w:tcPr>
          <w:p w14:paraId="7484A9F2">
            <w:pPr>
              <w:pStyle w:val="61"/>
              <w:spacing w:line="300" w:lineRule="exact"/>
              <w:rPr>
                <w:szCs w:val="21"/>
                <w:lang w:val="zh-CN"/>
              </w:rPr>
            </w:pPr>
            <w:r>
              <w:rPr>
                <w:szCs w:val="21"/>
                <w:lang w:val="zh-CN"/>
              </w:rPr>
              <w:t>采样深度</w:t>
            </w:r>
          </w:p>
        </w:tc>
        <w:tc>
          <w:tcPr>
            <w:tcW w:w="831" w:type="pct"/>
            <w:vAlign w:val="center"/>
          </w:tcPr>
          <w:p w14:paraId="30E8A379">
            <w:pPr>
              <w:pStyle w:val="61"/>
              <w:spacing w:line="300" w:lineRule="exact"/>
              <w:rPr>
                <w:szCs w:val="21"/>
              </w:rPr>
            </w:pPr>
            <w:r>
              <w:rPr>
                <w:szCs w:val="21"/>
              </w:rPr>
              <w:t>m</w:t>
            </w:r>
          </w:p>
        </w:tc>
        <w:tc>
          <w:tcPr>
            <w:tcW w:w="831" w:type="pct"/>
            <w:vAlign w:val="center"/>
          </w:tcPr>
          <w:p w14:paraId="0190A66D">
            <w:pPr>
              <w:pStyle w:val="61"/>
              <w:spacing w:line="300" w:lineRule="exact"/>
              <w:rPr>
                <w:szCs w:val="21"/>
              </w:rPr>
            </w:pPr>
          </w:p>
        </w:tc>
        <w:tc>
          <w:tcPr>
            <w:tcW w:w="833" w:type="pct"/>
            <w:vAlign w:val="center"/>
          </w:tcPr>
          <w:p w14:paraId="64C5EDB5">
            <w:pPr>
              <w:pStyle w:val="61"/>
              <w:spacing w:line="300" w:lineRule="exact"/>
              <w:rPr>
                <w:szCs w:val="21"/>
              </w:rPr>
            </w:pPr>
          </w:p>
        </w:tc>
        <w:tc>
          <w:tcPr>
            <w:tcW w:w="833" w:type="pct"/>
            <w:vAlign w:val="center"/>
          </w:tcPr>
          <w:p w14:paraId="1329ED75">
            <w:pPr>
              <w:pStyle w:val="61"/>
              <w:spacing w:line="300" w:lineRule="exact"/>
              <w:rPr>
                <w:szCs w:val="21"/>
              </w:rPr>
            </w:pPr>
          </w:p>
        </w:tc>
        <w:tc>
          <w:tcPr>
            <w:tcW w:w="888" w:type="pct"/>
            <w:vMerge w:val="continue"/>
            <w:vAlign w:val="center"/>
          </w:tcPr>
          <w:p w14:paraId="4A62CBCD">
            <w:pPr>
              <w:pStyle w:val="61"/>
              <w:spacing w:line="300" w:lineRule="exact"/>
              <w:rPr>
                <w:szCs w:val="21"/>
                <w:lang w:val="zh-CN"/>
              </w:rPr>
            </w:pPr>
          </w:p>
        </w:tc>
      </w:tr>
      <w:tr w14:paraId="36D56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781" w:type="pct"/>
            <w:vAlign w:val="center"/>
          </w:tcPr>
          <w:p w14:paraId="0693497A">
            <w:pPr>
              <w:pStyle w:val="61"/>
              <w:spacing w:line="300" w:lineRule="exact"/>
              <w:rPr>
                <w:szCs w:val="21"/>
                <w:lang w:val="zh-CN"/>
              </w:rPr>
            </w:pPr>
            <w:r>
              <w:rPr>
                <w:szCs w:val="21"/>
              </w:rPr>
              <w:t>pH</w:t>
            </w:r>
          </w:p>
        </w:tc>
        <w:tc>
          <w:tcPr>
            <w:tcW w:w="831" w:type="pct"/>
            <w:vAlign w:val="center"/>
          </w:tcPr>
          <w:p w14:paraId="3BF72B14">
            <w:pPr>
              <w:pStyle w:val="61"/>
              <w:spacing w:line="300" w:lineRule="exact"/>
              <w:rPr>
                <w:szCs w:val="21"/>
              </w:rPr>
            </w:pPr>
            <w:r>
              <w:rPr>
                <w:rFonts w:hint="eastAsia"/>
                <w:szCs w:val="21"/>
              </w:rPr>
              <w:t>无量纲</w:t>
            </w:r>
          </w:p>
        </w:tc>
        <w:tc>
          <w:tcPr>
            <w:tcW w:w="831" w:type="pct"/>
            <w:vAlign w:val="center"/>
          </w:tcPr>
          <w:p w14:paraId="7F0BDAEF">
            <w:pPr>
              <w:pStyle w:val="61"/>
              <w:spacing w:line="300" w:lineRule="exact"/>
              <w:rPr>
                <w:szCs w:val="21"/>
              </w:rPr>
            </w:pPr>
          </w:p>
        </w:tc>
        <w:tc>
          <w:tcPr>
            <w:tcW w:w="833" w:type="pct"/>
            <w:vAlign w:val="center"/>
          </w:tcPr>
          <w:p w14:paraId="778408F8">
            <w:pPr>
              <w:pStyle w:val="61"/>
              <w:spacing w:line="300" w:lineRule="exact"/>
              <w:rPr>
                <w:szCs w:val="21"/>
              </w:rPr>
            </w:pPr>
          </w:p>
        </w:tc>
        <w:tc>
          <w:tcPr>
            <w:tcW w:w="833" w:type="pct"/>
            <w:vAlign w:val="center"/>
          </w:tcPr>
          <w:p w14:paraId="67751AA5">
            <w:pPr>
              <w:pStyle w:val="61"/>
              <w:spacing w:line="300" w:lineRule="exact"/>
              <w:rPr>
                <w:szCs w:val="21"/>
              </w:rPr>
            </w:pPr>
          </w:p>
        </w:tc>
        <w:tc>
          <w:tcPr>
            <w:tcW w:w="888" w:type="pct"/>
            <w:vAlign w:val="center"/>
          </w:tcPr>
          <w:p w14:paraId="23A268F0">
            <w:pPr>
              <w:pStyle w:val="61"/>
              <w:spacing w:line="300" w:lineRule="exact"/>
              <w:rPr>
                <w:szCs w:val="21"/>
                <w:lang w:val="zh-CN"/>
              </w:rPr>
            </w:pPr>
            <w:r>
              <w:rPr>
                <w:szCs w:val="21"/>
                <w:lang w:val="zh-CN"/>
              </w:rPr>
              <w:t>/</w:t>
            </w:r>
          </w:p>
        </w:tc>
      </w:tr>
      <w:tr w14:paraId="3ABB26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781" w:type="pct"/>
            <w:vAlign w:val="center"/>
          </w:tcPr>
          <w:p w14:paraId="32792195">
            <w:pPr>
              <w:pStyle w:val="61"/>
              <w:spacing w:line="300" w:lineRule="exact"/>
              <w:rPr>
                <w:szCs w:val="21"/>
                <w:lang w:val="zh-CN"/>
              </w:rPr>
            </w:pPr>
            <w:r>
              <w:rPr>
                <w:szCs w:val="21"/>
              </w:rPr>
              <w:t>砷</w:t>
            </w:r>
          </w:p>
        </w:tc>
        <w:tc>
          <w:tcPr>
            <w:tcW w:w="831" w:type="pct"/>
            <w:vAlign w:val="center"/>
          </w:tcPr>
          <w:p w14:paraId="72CF1179">
            <w:pPr>
              <w:pStyle w:val="61"/>
              <w:spacing w:line="300" w:lineRule="exact"/>
              <w:rPr>
                <w:szCs w:val="21"/>
              </w:rPr>
            </w:pPr>
            <w:r>
              <w:rPr>
                <w:szCs w:val="21"/>
              </w:rPr>
              <w:t>mg/kg</w:t>
            </w:r>
          </w:p>
        </w:tc>
        <w:tc>
          <w:tcPr>
            <w:tcW w:w="831" w:type="pct"/>
            <w:vAlign w:val="center"/>
          </w:tcPr>
          <w:p w14:paraId="50100A59">
            <w:pPr>
              <w:pStyle w:val="61"/>
              <w:spacing w:line="300" w:lineRule="exact"/>
              <w:rPr>
                <w:szCs w:val="21"/>
              </w:rPr>
            </w:pPr>
          </w:p>
        </w:tc>
        <w:tc>
          <w:tcPr>
            <w:tcW w:w="833" w:type="pct"/>
            <w:vAlign w:val="center"/>
          </w:tcPr>
          <w:p w14:paraId="1282B8FF">
            <w:pPr>
              <w:pStyle w:val="61"/>
              <w:spacing w:line="300" w:lineRule="exact"/>
              <w:rPr>
                <w:szCs w:val="21"/>
              </w:rPr>
            </w:pPr>
          </w:p>
        </w:tc>
        <w:tc>
          <w:tcPr>
            <w:tcW w:w="833" w:type="pct"/>
            <w:vAlign w:val="center"/>
          </w:tcPr>
          <w:p w14:paraId="234D0FB3">
            <w:pPr>
              <w:pStyle w:val="61"/>
              <w:spacing w:line="300" w:lineRule="exact"/>
              <w:rPr>
                <w:szCs w:val="21"/>
              </w:rPr>
            </w:pPr>
          </w:p>
        </w:tc>
        <w:tc>
          <w:tcPr>
            <w:tcW w:w="888" w:type="pct"/>
            <w:vAlign w:val="center"/>
          </w:tcPr>
          <w:p w14:paraId="0795E3DF">
            <w:pPr>
              <w:pStyle w:val="61"/>
              <w:spacing w:line="300" w:lineRule="exact"/>
              <w:rPr>
                <w:szCs w:val="21"/>
                <w:lang w:val="zh-CN"/>
              </w:rPr>
            </w:pPr>
            <w:r>
              <w:rPr>
                <w:szCs w:val="21"/>
                <w:lang w:val="zh-CN"/>
              </w:rPr>
              <w:t>20</w:t>
            </w:r>
          </w:p>
        </w:tc>
      </w:tr>
      <w:tr w14:paraId="571FB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781" w:type="pct"/>
            <w:vAlign w:val="center"/>
          </w:tcPr>
          <w:p w14:paraId="6665212C">
            <w:pPr>
              <w:pStyle w:val="61"/>
              <w:spacing w:line="300" w:lineRule="exact"/>
              <w:rPr>
                <w:szCs w:val="21"/>
                <w:lang w:val="zh-CN"/>
              </w:rPr>
            </w:pPr>
            <w:r>
              <w:rPr>
                <w:szCs w:val="21"/>
              </w:rPr>
              <w:t>汞</w:t>
            </w:r>
          </w:p>
        </w:tc>
        <w:tc>
          <w:tcPr>
            <w:tcW w:w="831" w:type="pct"/>
            <w:vAlign w:val="center"/>
          </w:tcPr>
          <w:p w14:paraId="12DD03E6">
            <w:pPr>
              <w:pStyle w:val="61"/>
              <w:spacing w:line="300" w:lineRule="exact"/>
              <w:rPr>
                <w:szCs w:val="21"/>
                <w:lang w:val="zh-CN"/>
              </w:rPr>
            </w:pPr>
            <w:r>
              <w:rPr>
                <w:szCs w:val="21"/>
              </w:rPr>
              <w:t>mg/kg</w:t>
            </w:r>
          </w:p>
        </w:tc>
        <w:tc>
          <w:tcPr>
            <w:tcW w:w="831" w:type="pct"/>
            <w:vAlign w:val="center"/>
          </w:tcPr>
          <w:p w14:paraId="4CB62B41">
            <w:pPr>
              <w:pStyle w:val="61"/>
              <w:spacing w:line="300" w:lineRule="exact"/>
              <w:rPr>
                <w:szCs w:val="21"/>
              </w:rPr>
            </w:pPr>
          </w:p>
        </w:tc>
        <w:tc>
          <w:tcPr>
            <w:tcW w:w="833" w:type="pct"/>
            <w:vAlign w:val="center"/>
          </w:tcPr>
          <w:p w14:paraId="76736507">
            <w:pPr>
              <w:pStyle w:val="61"/>
              <w:spacing w:line="300" w:lineRule="exact"/>
              <w:rPr>
                <w:szCs w:val="21"/>
              </w:rPr>
            </w:pPr>
          </w:p>
        </w:tc>
        <w:tc>
          <w:tcPr>
            <w:tcW w:w="833" w:type="pct"/>
            <w:vAlign w:val="center"/>
          </w:tcPr>
          <w:p w14:paraId="2C17AE68">
            <w:pPr>
              <w:pStyle w:val="61"/>
              <w:spacing w:line="300" w:lineRule="exact"/>
              <w:rPr>
                <w:szCs w:val="21"/>
              </w:rPr>
            </w:pPr>
          </w:p>
        </w:tc>
        <w:tc>
          <w:tcPr>
            <w:tcW w:w="888" w:type="pct"/>
            <w:vAlign w:val="center"/>
          </w:tcPr>
          <w:p w14:paraId="18F5E99F">
            <w:pPr>
              <w:pStyle w:val="61"/>
              <w:spacing w:line="300" w:lineRule="exact"/>
              <w:rPr>
                <w:szCs w:val="21"/>
                <w:lang w:val="zh-CN"/>
              </w:rPr>
            </w:pPr>
            <w:r>
              <w:rPr>
                <w:szCs w:val="21"/>
                <w:lang w:val="zh-CN"/>
              </w:rPr>
              <w:t>1.0</w:t>
            </w:r>
          </w:p>
        </w:tc>
      </w:tr>
      <w:tr w14:paraId="77382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781" w:type="pct"/>
            <w:vAlign w:val="center"/>
          </w:tcPr>
          <w:p w14:paraId="7F218569">
            <w:pPr>
              <w:pStyle w:val="61"/>
              <w:spacing w:line="300" w:lineRule="exact"/>
              <w:rPr>
                <w:szCs w:val="21"/>
              </w:rPr>
            </w:pPr>
            <w:r>
              <w:rPr>
                <w:szCs w:val="21"/>
              </w:rPr>
              <w:t>镉</w:t>
            </w:r>
          </w:p>
        </w:tc>
        <w:tc>
          <w:tcPr>
            <w:tcW w:w="831" w:type="pct"/>
            <w:vAlign w:val="center"/>
          </w:tcPr>
          <w:p w14:paraId="12B33D46">
            <w:pPr>
              <w:pStyle w:val="61"/>
              <w:spacing w:line="300" w:lineRule="exact"/>
              <w:rPr>
                <w:szCs w:val="21"/>
                <w:lang w:val="zh-CN"/>
              </w:rPr>
            </w:pPr>
            <w:r>
              <w:rPr>
                <w:szCs w:val="21"/>
              </w:rPr>
              <w:t>mg/kg</w:t>
            </w:r>
          </w:p>
        </w:tc>
        <w:tc>
          <w:tcPr>
            <w:tcW w:w="831" w:type="pct"/>
            <w:vAlign w:val="center"/>
          </w:tcPr>
          <w:p w14:paraId="39E01E58">
            <w:pPr>
              <w:pStyle w:val="61"/>
              <w:spacing w:line="300" w:lineRule="exact"/>
              <w:rPr>
                <w:szCs w:val="21"/>
              </w:rPr>
            </w:pPr>
          </w:p>
        </w:tc>
        <w:tc>
          <w:tcPr>
            <w:tcW w:w="833" w:type="pct"/>
            <w:vAlign w:val="center"/>
          </w:tcPr>
          <w:p w14:paraId="110D10FE">
            <w:pPr>
              <w:pStyle w:val="61"/>
              <w:spacing w:line="300" w:lineRule="exact"/>
              <w:rPr>
                <w:szCs w:val="21"/>
              </w:rPr>
            </w:pPr>
          </w:p>
        </w:tc>
        <w:tc>
          <w:tcPr>
            <w:tcW w:w="833" w:type="pct"/>
            <w:vAlign w:val="center"/>
          </w:tcPr>
          <w:p w14:paraId="70841963">
            <w:pPr>
              <w:pStyle w:val="61"/>
              <w:spacing w:line="300" w:lineRule="exact"/>
              <w:rPr>
                <w:szCs w:val="21"/>
              </w:rPr>
            </w:pPr>
          </w:p>
        </w:tc>
        <w:tc>
          <w:tcPr>
            <w:tcW w:w="888" w:type="pct"/>
            <w:vAlign w:val="center"/>
          </w:tcPr>
          <w:p w14:paraId="02CD4904">
            <w:pPr>
              <w:pStyle w:val="61"/>
              <w:spacing w:line="300" w:lineRule="exact"/>
              <w:rPr>
                <w:szCs w:val="21"/>
                <w:lang w:val="zh-CN"/>
              </w:rPr>
            </w:pPr>
            <w:r>
              <w:rPr>
                <w:szCs w:val="21"/>
                <w:lang w:val="zh-CN"/>
              </w:rPr>
              <w:t>0.8</w:t>
            </w:r>
          </w:p>
        </w:tc>
      </w:tr>
      <w:tr w14:paraId="5DE99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781" w:type="pct"/>
            <w:vAlign w:val="center"/>
          </w:tcPr>
          <w:p w14:paraId="4C501B64">
            <w:pPr>
              <w:pStyle w:val="61"/>
              <w:spacing w:line="300" w:lineRule="exact"/>
              <w:rPr>
                <w:szCs w:val="21"/>
              </w:rPr>
            </w:pPr>
            <w:r>
              <w:rPr>
                <w:szCs w:val="21"/>
              </w:rPr>
              <w:t>铅</w:t>
            </w:r>
          </w:p>
        </w:tc>
        <w:tc>
          <w:tcPr>
            <w:tcW w:w="831" w:type="pct"/>
            <w:vAlign w:val="center"/>
          </w:tcPr>
          <w:p w14:paraId="4CFE94EB">
            <w:pPr>
              <w:pStyle w:val="61"/>
              <w:spacing w:line="300" w:lineRule="exact"/>
              <w:rPr>
                <w:szCs w:val="21"/>
                <w:lang w:val="zh-CN"/>
              </w:rPr>
            </w:pPr>
            <w:r>
              <w:rPr>
                <w:szCs w:val="21"/>
              </w:rPr>
              <w:t>mg/kg</w:t>
            </w:r>
          </w:p>
        </w:tc>
        <w:tc>
          <w:tcPr>
            <w:tcW w:w="831" w:type="pct"/>
            <w:vAlign w:val="center"/>
          </w:tcPr>
          <w:p w14:paraId="7463164C">
            <w:pPr>
              <w:pStyle w:val="61"/>
              <w:spacing w:line="300" w:lineRule="exact"/>
              <w:rPr>
                <w:szCs w:val="21"/>
              </w:rPr>
            </w:pPr>
          </w:p>
        </w:tc>
        <w:tc>
          <w:tcPr>
            <w:tcW w:w="833" w:type="pct"/>
            <w:vAlign w:val="center"/>
          </w:tcPr>
          <w:p w14:paraId="1814EE73">
            <w:pPr>
              <w:pStyle w:val="61"/>
              <w:spacing w:line="300" w:lineRule="exact"/>
              <w:rPr>
                <w:szCs w:val="21"/>
              </w:rPr>
            </w:pPr>
          </w:p>
        </w:tc>
        <w:tc>
          <w:tcPr>
            <w:tcW w:w="833" w:type="pct"/>
            <w:vAlign w:val="center"/>
          </w:tcPr>
          <w:p w14:paraId="0863CACB">
            <w:pPr>
              <w:pStyle w:val="61"/>
              <w:spacing w:line="300" w:lineRule="exact"/>
              <w:rPr>
                <w:szCs w:val="21"/>
              </w:rPr>
            </w:pPr>
          </w:p>
        </w:tc>
        <w:tc>
          <w:tcPr>
            <w:tcW w:w="888" w:type="pct"/>
            <w:vAlign w:val="center"/>
          </w:tcPr>
          <w:p w14:paraId="0B41A770">
            <w:pPr>
              <w:pStyle w:val="61"/>
              <w:spacing w:line="300" w:lineRule="exact"/>
              <w:rPr>
                <w:szCs w:val="21"/>
                <w:lang w:val="zh-CN"/>
              </w:rPr>
            </w:pPr>
            <w:r>
              <w:rPr>
                <w:szCs w:val="21"/>
                <w:lang w:val="zh-CN"/>
              </w:rPr>
              <w:t>240</w:t>
            </w:r>
          </w:p>
        </w:tc>
      </w:tr>
      <w:tr w14:paraId="0BC69E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781" w:type="pct"/>
            <w:vAlign w:val="center"/>
          </w:tcPr>
          <w:p w14:paraId="27AE5ECC">
            <w:pPr>
              <w:pStyle w:val="61"/>
              <w:spacing w:line="300" w:lineRule="exact"/>
              <w:rPr>
                <w:szCs w:val="21"/>
              </w:rPr>
            </w:pPr>
            <w:r>
              <w:rPr>
                <w:szCs w:val="21"/>
              </w:rPr>
              <w:t>铜</w:t>
            </w:r>
          </w:p>
        </w:tc>
        <w:tc>
          <w:tcPr>
            <w:tcW w:w="831" w:type="pct"/>
            <w:vAlign w:val="center"/>
          </w:tcPr>
          <w:p w14:paraId="60865F28">
            <w:pPr>
              <w:pStyle w:val="61"/>
              <w:spacing w:line="300" w:lineRule="exact"/>
              <w:rPr>
                <w:szCs w:val="21"/>
                <w:lang w:val="zh-CN"/>
              </w:rPr>
            </w:pPr>
            <w:r>
              <w:rPr>
                <w:szCs w:val="21"/>
              </w:rPr>
              <w:t>mg/kg</w:t>
            </w:r>
          </w:p>
        </w:tc>
        <w:tc>
          <w:tcPr>
            <w:tcW w:w="831" w:type="pct"/>
            <w:vAlign w:val="center"/>
          </w:tcPr>
          <w:p w14:paraId="2163E6F0">
            <w:pPr>
              <w:pStyle w:val="61"/>
              <w:spacing w:line="300" w:lineRule="exact"/>
              <w:rPr>
                <w:szCs w:val="21"/>
              </w:rPr>
            </w:pPr>
          </w:p>
        </w:tc>
        <w:tc>
          <w:tcPr>
            <w:tcW w:w="833" w:type="pct"/>
            <w:vAlign w:val="center"/>
          </w:tcPr>
          <w:p w14:paraId="7BC6E586">
            <w:pPr>
              <w:pStyle w:val="61"/>
              <w:spacing w:line="300" w:lineRule="exact"/>
              <w:rPr>
                <w:szCs w:val="21"/>
              </w:rPr>
            </w:pPr>
          </w:p>
        </w:tc>
        <w:tc>
          <w:tcPr>
            <w:tcW w:w="833" w:type="pct"/>
            <w:vAlign w:val="center"/>
          </w:tcPr>
          <w:p w14:paraId="164419F9">
            <w:pPr>
              <w:pStyle w:val="61"/>
              <w:spacing w:line="300" w:lineRule="exact"/>
              <w:rPr>
                <w:szCs w:val="21"/>
              </w:rPr>
            </w:pPr>
          </w:p>
        </w:tc>
        <w:tc>
          <w:tcPr>
            <w:tcW w:w="888" w:type="pct"/>
            <w:vAlign w:val="center"/>
          </w:tcPr>
          <w:p w14:paraId="744C27BE">
            <w:pPr>
              <w:pStyle w:val="61"/>
              <w:spacing w:line="300" w:lineRule="exact"/>
              <w:rPr>
                <w:szCs w:val="21"/>
                <w:lang w:val="zh-CN"/>
              </w:rPr>
            </w:pPr>
            <w:r>
              <w:rPr>
                <w:szCs w:val="21"/>
                <w:lang w:val="zh-CN"/>
              </w:rPr>
              <w:t>200</w:t>
            </w:r>
          </w:p>
        </w:tc>
      </w:tr>
      <w:tr w14:paraId="6E108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781" w:type="pct"/>
            <w:vAlign w:val="center"/>
          </w:tcPr>
          <w:p w14:paraId="4EA0761D">
            <w:pPr>
              <w:pStyle w:val="61"/>
              <w:spacing w:line="300" w:lineRule="exact"/>
              <w:rPr>
                <w:szCs w:val="21"/>
              </w:rPr>
            </w:pPr>
            <w:r>
              <w:rPr>
                <w:szCs w:val="21"/>
              </w:rPr>
              <w:t>镍</w:t>
            </w:r>
          </w:p>
        </w:tc>
        <w:tc>
          <w:tcPr>
            <w:tcW w:w="831" w:type="pct"/>
            <w:vAlign w:val="center"/>
          </w:tcPr>
          <w:p w14:paraId="40E26156">
            <w:pPr>
              <w:pStyle w:val="61"/>
              <w:spacing w:line="300" w:lineRule="exact"/>
              <w:rPr>
                <w:szCs w:val="21"/>
                <w:lang w:val="zh-CN"/>
              </w:rPr>
            </w:pPr>
            <w:r>
              <w:rPr>
                <w:szCs w:val="21"/>
              </w:rPr>
              <w:t>mg/kg</w:t>
            </w:r>
          </w:p>
        </w:tc>
        <w:tc>
          <w:tcPr>
            <w:tcW w:w="831" w:type="pct"/>
            <w:vAlign w:val="center"/>
          </w:tcPr>
          <w:p w14:paraId="0832123A">
            <w:pPr>
              <w:pStyle w:val="61"/>
              <w:spacing w:line="300" w:lineRule="exact"/>
              <w:rPr>
                <w:szCs w:val="21"/>
              </w:rPr>
            </w:pPr>
          </w:p>
        </w:tc>
        <w:tc>
          <w:tcPr>
            <w:tcW w:w="833" w:type="pct"/>
            <w:vAlign w:val="center"/>
          </w:tcPr>
          <w:p w14:paraId="1769D299">
            <w:pPr>
              <w:pStyle w:val="61"/>
              <w:spacing w:line="300" w:lineRule="exact"/>
              <w:rPr>
                <w:szCs w:val="21"/>
              </w:rPr>
            </w:pPr>
          </w:p>
        </w:tc>
        <w:tc>
          <w:tcPr>
            <w:tcW w:w="833" w:type="pct"/>
            <w:vAlign w:val="center"/>
          </w:tcPr>
          <w:p w14:paraId="706778E5">
            <w:pPr>
              <w:pStyle w:val="61"/>
              <w:spacing w:line="300" w:lineRule="exact"/>
              <w:rPr>
                <w:szCs w:val="21"/>
              </w:rPr>
            </w:pPr>
          </w:p>
        </w:tc>
        <w:tc>
          <w:tcPr>
            <w:tcW w:w="888" w:type="pct"/>
            <w:vAlign w:val="center"/>
          </w:tcPr>
          <w:p w14:paraId="6F6E8BAF">
            <w:pPr>
              <w:pStyle w:val="61"/>
              <w:spacing w:line="300" w:lineRule="exact"/>
              <w:rPr>
                <w:szCs w:val="21"/>
                <w:lang w:val="zh-CN"/>
              </w:rPr>
            </w:pPr>
            <w:r>
              <w:rPr>
                <w:szCs w:val="21"/>
                <w:lang w:val="zh-CN"/>
              </w:rPr>
              <w:t>190</w:t>
            </w:r>
          </w:p>
        </w:tc>
      </w:tr>
      <w:tr w14:paraId="248A6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781" w:type="pct"/>
            <w:vAlign w:val="center"/>
          </w:tcPr>
          <w:p w14:paraId="2C81770F">
            <w:pPr>
              <w:pStyle w:val="61"/>
              <w:spacing w:line="300" w:lineRule="exact"/>
              <w:rPr>
                <w:szCs w:val="21"/>
              </w:rPr>
            </w:pPr>
            <w:r>
              <w:rPr>
                <w:szCs w:val="21"/>
              </w:rPr>
              <w:t>锌</w:t>
            </w:r>
          </w:p>
        </w:tc>
        <w:tc>
          <w:tcPr>
            <w:tcW w:w="831" w:type="pct"/>
            <w:vAlign w:val="center"/>
          </w:tcPr>
          <w:p w14:paraId="3A8435B3">
            <w:pPr>
              <w:pStyle w:val="61"/>
              <w:spacing w:line="300" w:lineRule="exact"/>
              <w:rPr>
                <w:szCs w:val="21"/>
                <w:lang w:val="zh-CN"/>
              </w:rPr>
            </w:pPr>
            <w:r>
              <w:rPr>
                <w:szCs w:val="21"/>
              </w:rPr>
              <w:t>mg/kg</w:t>
            </w:r>
          </w:p>
        </w:tc>
        <w:tc>
          <w:tcPr>
            <w:tcW w:w="831" w:type="pct"/>
            <w:vAlign w:val="center"/>
          </w:tcPr>
          <w:p w14:paraId="39997DC7">
            <w:pPr>
              <w:pStyle w:val="61"/>
              <w:spacing w:line="300" w:lineRule="exact"/>
              <w:rPr>
                <w:szCs w:val="21"/>
              </w:rPr>
            </w:pPr>
          </w:p>
        </w:tc>
        <w:tc>
          <w:tcPr>
            <w:tcW w:w="833" w:type="pct"/>
            <w:vAlign w:val="center"/>
          </w:tcPr>
          <w:p w14:paraId="16B37A3B">
            <w:pPr>
              <w:pStyle w:val="61"/>
              <w:spacing w:line="300" w:lineRule="exact"/>
              <w:rPr>
                <w:szCs w:val="21"/>
              </w:rPr>
            </w:pPr>
          </w:p>
        </w:tc>
        <w:tc>
          <w:tcPr>
            <w:tcW w:w="833" w:type="pct"/>
            <w:vAlign w:val="center"/>
          </w:tcPr>
          <w:p w14:paraId="4739814E">
            <w:pPr>
              <w:pStyle w:val="61"/>
              <w:spacing w:line="300" w:lineRule="exact"/>
              <w:rPr>
                <w:szCs w:val="21"/>
              </w:rPr>
            </w:pPr>
          </w:p>
        </w:tc>
        <w:tc>
          <w:tcPr>
            <w:tcW w:w="888" w:type="pct"/>
            <w:vAlign w:val="center"/>
          </w:tcPr>
          <w:p w14:paraId="32448EAC">
            <w:pPr>
              <w:pStyle w:val="61"/>
              <w:spacing w:line="300" w:lineRule="exact"/>
              <w:rPr>
                <w:szCs w:val="21"/>
                <w:lang w:val="zh-CN"/>
              </w:rPr>
            </w:pPr>
            <w:r>
              <w:rPr>
                <w:szCs w:val="21"/>
                <w:lang w:val="zh-CN"/>
              </w:rPr>
              <w:t>300</w:t>
            </w:r>
          </w:p>
        </w:tc>
      </w:tr>
      <w:tr w14:paraId="688CC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781" w:type="pct"/>
            <w:vAlign w:val="center"/>
          </w:tcPr>
          <w:p w14:paraId="632F8E14">
            <w:pPr>
              <w:pStyle w:val="61"/>
              <w:spacing w:line="300" w:lineRule="exact"/>
              <w:rPr>
                <w:szCs w:val="21"/>
              </w:rPr>
            </w:pPr>
            <w:r>
              <w:rPr>
                <w:szCs w:val="21"/>
              </w:rPr>
              <w:t>铬</w:t>
            </w:r>
          </w:p>
        </w:tc>
        <w:tc>
          <w:tcPr>
            <w:tcW w:w="831" w:type="pct"/>
            <w:vAlign w:val="center"/>
          </w:tcPr>
          <w:p w14:paraId="475B0ADF">
            <w:pPr>
              <w:pStyle w:val="61"/>
              <w:spacing w:line="300" w:lineRule="exact"/>
              <w:rPr>
                <w:szCs w:val="21"/>
                <w:lang w:val="zh-CN"/>
              </w:rPr>
            </w:pPr>
            <w:r>
              <w:rPr>
                <w:szCs w:val="21"/>
              </w:rPr>
              <w:t>mg/kg</w:t>
            </w:r>
          </w:p>
        </w:tc>
        <w:tc>
          <w:tcPr>
            <w:tcW w:w="831" w:type="pct"/>
            <w:vAlign w:val="center"/>
          </w:tcPr>
          <w:p w14:paraId="08F0FE9F">
            <w:pPr>
              <w:pStyle w:val="61"/>
              <w:spacing w:line="300" w:lineRule="exact"/>
              <w:rPr>
                <w:szCs w:val="21"/>
              </w:rPr>
            </w:pPr>
          </w:p>
        </w:tc>
        <w:tc>
          <w:tcPr>
            <w:tcW w:w="833" w:type="pct"/>
            <w:vAlign w:val="center"/>
          </w:tcPr>
          <w:p w14:paraId="05570C41">
            <w:pPr>
              <w:pStyle w:val="61"/>
              <w:spacing w:line="300" w:lineRule="exact"/>
              <w:rPr>
                <w:szCs w:val="21"/>
              </w:rPr>
            </w:pPr>
          </w:p>
        </w:tc>
        <w:tc>
          <w:tcPr>
            <w:tcW w:w="833" w:type="pct"/>
            <w:vAlign w:val="center"/>
          </w:tcPr>
          <w:p w14:paraId="5121BF17">
            <w:pPr>
              <w:pStyle w:val="61"/>
              <w:spacing w:line="300" w:lineRule="exact"/>
              <w:rPr>
                <w:szCs w:val="21"/>
              </w:rPr>
            </w:pPr>
          </w:p>
        </w:tc>
        <w:tc>
          <w:tcPr>
            <w:tcW w:w="888" w:type="pct"/>
            <w:vAlign w:val="center"/>
          </w:tcPr>
          <w:p w14:paraId="45C379DE">
            <w:pPr>
              <w:pStyle w:val="61"/>
              <w:spacing w:line="300" w:lineRule="exact"/>
              <w:rPr>
                <w:szCs w:val="21"/>
                <w:lang w:val="zh-CN"/>
              </w:rPr>
            </w:pPr>
            <w:r>
              <w:rPr>
                <w:szCs w:val="21"/>
                <w:lang w:val="zh-CN"/>
              </w:rPr>
              <w:t>350</w:t>
            </w:r>
          </w:p>
        </w:tc>
      </w:tr>
    </w:tbl>
    <w:p w14:paraId="3BCE1A30">
      <w:pPr>
        <w:spacing w:line="480" w:lineRule="exact"/>
        <w:ind w:firstLine="480" w:firstLineChars="200"/>
      </w:pPr>
      <w:r>
        <w:rPr>
          <w:rFonts w:hint="eastAsia"/>
        </w:rPr>
        <w:t>由表4.3-14可知，项目占地范围内各监测点位的土壤监测因子均能满足《土壤环境质量农用地土壤污染风险管控标准》（GB15618-2018）中农用地土壤污染风险筛选值要求，项目所在区域土壤环境质量较好。</w:t>
      </w:r>
    </w:p>
    <w:p w14:paraId="1153E88A">
      <w:pPr>
        <w:pStyle w:val="7"/>
        <w:pageBreakBefore w:val="0"/>
        <w:widowControl w:val="0"/>
        <w:kinsoku/>
        <w:wordWrap/>
        <w:overflowPunct/>
        <w:topLinePunct w:val="0"/>
        <w:autoSpaceDE/>
        <w:autoSpaceDN/>
        <w:bidi w:val="0"/>
        <w:adjustRightInd/>
        <w:snapToGrid/>
        <w:spacing w:line="460" w:lineRule="exact"/>
        <w:textAlignment w:val="auto"/>
      </w:pPr>
      <w:r>
        <w:rPr>
          <w:rFonts w:hint="eastAsia"/>
        </w:rPr>
        <w:t>4</w:t>
      </w:r>
      <w:r>
        <w:t>.</w:t>
      </w:r>
      <w:r>
        <w:rPr>
          <w:rFonts w:hint="eastAsia"/>
        </w:rPr>
        <w:t>3</w:t>
      </w:r>
      <w:r>
        <w:t xml:space="preserve">.5 </w:t>
      </w:r>
      <w:r>
        <w:rPr>
          <w:rFonts w:hint="eastAsia"/>
        </w:rPr>
        <w:t>地下水环境质量现状监测与评价</w:t>
      </w:r>
    </w:p>
    <w:p w14:paraId="4FBB840E">
      <w:pPr>
        <w:pageBreakBefore w:val="0"/>
        <w:widowControl w:val="0"/>
        <w:kinsoku/>
        <w:wordWrap/>
        <w:overflowPunct/>
        <w:topLinePunct w:val="0"/>
        <w:autoSpaceDE/>
        <w:autoSpaceDN/>
        <w:bidi w:val="0"/>
        <w:adjustRightInd/>
        <w:snapToGrid/>
        <w:spacing w:line="460" w:lineRule="exact"/>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（1）数据来源</w:t>
      </w:r>
    </w:p>
    <w:p w14:paraId="0737EB9C">
      <w:pPr>
        <w:pageBreakBefore w:val="0"/>
        <w:widowControl w:val="0"/>
        <w:kinsoku/>
        <w:wordWrap/>
        <w:overflowPunct/>
        <w:topLinePunct w:val="0"/>
        <w:autoSpaceDE/>
        <w:autoSpaceDN/>
        <w:bidi w:val="0"/>
        <w:adjustRightInd/>
        <w:snapToGrid/>
        <w:spacing w:line="460" w:lineRule="exact"/>
        <w:ind w:firstLine="480" w:firstLineChars="200"/>
        <w:textAlignment w:val="auto"/>
        <w:rPr>
          <w:color w:val="000000" w:themeColor="text1"/>
          <w:szCs w:val="24"/>
          <w14:textFill>
            <w14:solidFill>
              <w14:schemeClr w14:val="tx1"/>
            </w14:solidFill>
          </w14:textFill>
        </w:rPr>
      </w:pPr>
      <w:r>
        <w:rPr>
          <w:rFonts w:hAnsi="宋体"/>
          <w:color w:val="000000" w:themeColor="text1"/>
          <w:szCs w:val="24"/>
          <w14:textFill>
            <w14:solidFill>
              <w14:schemeClr w14:val="tx1"/>
            </w14:solidFill>
          </w14:textFill>
        </w:rPr>
        <w:t>项目</w:t>
      </w:r>
      <w:r>
        <w:rPr>
          <w:rFonts w:hint="eastAsia" w:hAnsi="宋体"/>
          <w:color w:val="000000" w:themeColor="text1"/>
          <w:szCs w:val="24"/>
          <w14:textFill>
            <w14:solidFill>
              <w14:schemeClr w14:val="tx1"/>
            </w14:solidFill>
          </w14:textFill>
        </w:rPr>
        <w:t>地下水</w:t>
      </w:r>
      <w:r>
        <w:rPr>
          <w:rFonts w:hAnsi="宋体"/>
          <w:color w:val="000000" w:themeColor="text1"/>
          <w:szCs w:val="24"/>
          <w14:textFill>
            <w14:solidFill>
              <w14:schemeClr w14:val="tx1"/>
            </w14:solidFill>
          </w14:textFill>
        </w:rPr>
        <w:t>监测数据由</w:t>
      </w:r>
      <w:r>
        <w:rPr>
          <w:rFonts w:hint="eastAsia"/>
          <w:color w:val="000000" w:themeColor="text1"/>
          <w14:textFill>
            <w14:solidFill>
              <w14:schemeClr w14:val="tx1"/>
            </w14:solidFill>
          </w14:textFill>
        </w:rPr>
        <w:t>江苏迈斯特环境检测有限公司出具的监测报告（报告编号：MST20240702003-1与MST20240702003-2）</w:t>
      </w:r>
      <w:r>
        <w:rPr>
          <w:rFonts w:hAnsi="宋体"/>
          <w:color w:val="000000" w:themeColor="text1"/>
          <w:szCs w:val="24"/>
          <w14:textFill>
            <w14:solidFill>
              <w14:schemeClr w14:val="tx1"/>
            </w14:solidFill>
          </w14:textFill>
        </w:rPr>
        <w:t>提供。</w:t>
      </w:r>
    </w:p>
    <w:p w14:paraId="756CA259">
      <w:pPr>
        <w:pageBreakBefore w:val="0"/>
        <w:widowControl w:val="0"/>
        <w:kinsoku/>
        <w:wordWrap/>
        <w:overflowPunct/>
        <w:topLinePunct w:val="0"/>
        <w:autoSpaceDE/>
        <w:autoSpaceDN/>
        <w:bidi w:val="0"/>
        <w:adjustRightInd/>
        <w:snapToGrid/>
        <w:spacing w:line="460" w:lineRule="exact"/>
        <w:ind w:firstLine="480" w:firstLineChars="200"/>
        <w:textAlignment w:val="auto"/>
      </w:pPr>
      <w:r>
        <w:rPr>
          <w:rFonts w:hint="eastAsia"/>
        </w:rPr>
        <w:t>（2）监测布点、采样频率及采样时间</w:t>
      </w:r>
    </w:p>
    <w:p w14:paraId="78DE6E0D">
      <w:pPr>
        <w:pageBreakBefore w:val="0"/>
        <w:widowControl w:val="0"/>
        <w:kinsoku/>
        <w:wordWrap/>
        <w:overflowPunct/>
        <w:topLinePunct w:val="0"/>
        <w:autoSpaceDE/>
        <w:autoSpaceDN/>
        <w:bidi w:val="0"/>
        <w:adjustRightInd/>
        <w:snapToGrid/>
        <w:spacing w:line="460" w:lineRule="exact"/>
        <w:ind w:firstLine="480" w:firstLineChars="200"/>
        <w:textAlignment w:val="auto"/>
      </w:pPr>
      <w:r>
        <w:rPr>
          <w:rFonts w:hAnsi="宋体"/>
          <w:color w:val="000000"/>
        </w:rPr>
        <w:t>本次监测设</w:t>
      </w:r>
      <w:r>
        <w:rPr>
          <w:color w:val="000000"/>
        </w:rPr>
        <w:t>3</w:t>
      </w:r>
      <w:r>
        <w:rPr>
          <w:rFonts w:hAnsi="宋体"/>
          <w:color w:val="000000"/>
        </w:rPr>
        <w:t>个水质检测点位和</w:t>
      </w:r>
      <w:r>
        <w:rPr>
          <w:color w:val="000000"/>
        </w:rPr>
        <w:t>6</w:t>
      </w:r>
      <w:r>
        <w:rPr>
          <w:rFonts w:hAnsi="宋体"/>
          <w:color w:val="000000"/>
        </w:rPr>
        <w:t>个水位检测点位，项目所在地上游地下含水层布设</w:t>
      </w:r>
      <w:r>
        <w:rPr>
          <w:color w:val="000000"/>
        </w:rPr>
        <w:t>1</w:t>
      </w:r>
      <w:r>
        <w:rPr>
          <w:rFonts w:hAnsi="宋体"/>
          <w:color w:val="000000"/>
        </w:rPr>
        <w:t>个水质水位检测点，项目所在地含水层设</w:t>
      </w:r>
      <w:r>
        <w:rPr>
          <w:color w:val="000000"/>
        </w:rPr>
        <w:t>1</w:t>
      </w:r>
      <w:r>
        <w:rPr>
          <w:rFonts w:hAnsi="宋体"/>
          <w:color w:val="000000"/>
        </w:rPr>
        <w:t>个水质水位检测点，项目所在地下游影响区含水层设</w:t>
      </w:r>
      <w:r>
        <w:rPr>
          <w:color w:val="000000"/>
        </w:rPr>
        <w:t>1</w:t>
      </w:r>
      <w:r>
        <w:rPr>
          <w:rFonts w:hAnsi="宋体"/>
          <w:color w:val="000000"/>
        </w:rPr>
        <w:t>个水质水位检测点</w:t>
      </w:r>
      <w:r>
        <w:rPr>
          <w:rFonts w:hint="eastAsia"/>
        </w:rPr>
        <w:t>，地下水水质、水位监测点位置见表4.3-15和</w:t>
      </w:r>
      <w:r>
        <w:rPr>
          <w:rFonts w:hint="eastAsia"/>
          <w:b/>
          <w:bCs/>
        </w:rPr>
        <w:t>图2.6-1</w:t>
      </w:r>
      <w:r>
        <w:rPr>
          <w:rFonts w:hint="eastAsia"/>
        </w:rPr>
        <w:t>。</w:t>
      </w:r>
    </w:p>
    <w:p w14:paraId="74D3F667">
      <w:pPr>
        <w:pStyle w:val="31"/>
        <w:pageBreakBefore w:val="0"/>
        <w:widowControl w:val="0"/>
        <w:kinsoku/>
        <w:wordWrap/>
        <w:overflowPunct/>
        <w:topLinePunct w:val="0"/>
        <w:autoSpaceDE/>
        <w:autoSpaceDN/>
        <w:bidi w:val="0"/>
        <w:adjustRightInd/>
        <w:snapToGrid/>
        <w:spacing w:before="0" w:line="460" w:lineRule="exact"/>
        <w:textAlignment w:val="auto"/>
      </w:pPr>
      <w:r>
        <w:rPr>
          <w:rFonts w:hint="eastAsia"/>
        </w:rPr>
        <w:t>表</w:t>
      </w:r>
      <w:r>
        <w:t>4.</w:t>
      </w:r>
      <w:r>
        <w:rPr>
          <w:rFonts w:hint="eastAsia"/>
        </w:rPr>
        <w:t>3-15</w:t>
      </w:r>
      <w:r>
        <w:t xml:space="preserve"> </w:t>
      </w:r>
      <w:r>
        <w:rPr>
          <w:rFonts w:hint="eastAsia"/>
        </w:rPr>
        <w:t>地下水监测点位表</w:t>
      </w:r>
    </w:p>
    <w:tbl>
      <w:tblPr>
        <w:tblStyle w:val="4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2190"/>
        <w:gridCol w:w="1125"/>
        <w:gridCol w:w="1260"/>
        <w:gridCol w:w="3631"/>
      </w:tblGrid>
      <w:tr w14:paraId="1E6646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1" w:type="dxa"/>
            <w:vMerge w:val="restart"/>
            <w:vAlign w:val="center"/>
          </w:tcPr>
          <w:p w14:paraId="6C8457B3">
            <w:pPr>
              <w:pStyle w:val="61"/>
              <w:spacing w:line="320" w:lineRule="exact"/>
              <w:rPr>
                <w:bCs/>
                <w:szCs w:val="21"/>
                <w:lang w:val="zh-CN"/>
              </w:rPr>
            </w:pPr>
            <w:r>
              <w:rPr>
                <w:bCs/>
                <w:szCs w:val="21"/>
                <w:lang w:val="zh-CN"/>
              </w:rPr>
              <w:t>点位编号</w:t>
            </w:r>
          </w:p>
        </w:tc>
        <w:tc>
          <w:tcPr>
            <w:tcW w:w="2190" w:type="dxa"/>
            <w:vMerge w:val="restart"/>
            <w:vAlign w:val="center"/>
          </w:tcPr>
          <w:p w14:paraId="3CC21F23">
            <w:pPr>
              <w:pStyle w:val="61"/>
              <w:spacing w:line="320" w:lineRule="exact"/>
              <w:rPr>
                <w:bCs/>
                <w:szCs w:val="21"/>
              </w:rPr>
            </w:pPr>
            <w:r>
              <w:rPr>
                <w:bCs/>
                <w:szCs w:val="21"/>
              </w:rPr>
              <w:t>监测点位</w:t>
            </w:r>
          </w:p>
        </w:tc>
        <w:tc>
          <w:tcPr>
            <w:tcW w:w="2385" w:type="dxa"/>
            <w:gridSpan w:val="2"/>
            <w:vAlign w:val="center"/>
          </w:tcPr>
          <w:p w14:paraId="27DD5E91">
            <w:pPr>
              <w:pStyle w:val="61"/>
              <w:spacing w:line="320" w:lineRule="exact"/>
              <w:rPr>
                <w:bCs/>
                <w:szCs w:val="21"/>
              </w:rPr>
            </w:pPr>
            <w:r>
              <w:rPr>
                <w:bCs/>
                <w:szCs w:val="21"/>
                <w:lang w:val="zh-CN"/>
              </w:rPr>
              <w:t>距建设地点位置</w:t>
            </w:r>
          </w:p>
        </w:tc>
        <w:tc>
          <w:tcPr>
            <w:tcW w:w="3631" w:type="dxa"/>
            <w:vMerge w:val="restart"/>
            <w:vAlign w:val="center"/>
          </w:tcPr>
          <w:p w14:paraId="190E585C">
            <w:pPr>
              <w:pStyle w:val="61"/>
              <w:spacing w:line="320" w:lineRule="exact"/>
              <w:rPr>
                <w:bCs/>
                <w:szCs w:val="21"/>
              </w:rPr>
            </w:pPr>
            <w:r>
              <w:rPr>
                <w:bCs/>
                <w:szCs w:val="21"/>
              </w:rPr>
              <w:t>监测项目</w:t>
            </w:r>
          </w:p>
        </w:tc>
      </w:tr>
      <w:tr w14:paraId="7F14F2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1" w:type="dxa"/>
            <w:vMerge w:val="continue"/>
            <w:vAlign w:val="center"/>
          </w:tcPr>
          <w:p w14:paraId="29632BBB">
            <w:pPr>
              <w:pStyle w:val="61"/>
              <w:spacing w:line="320" w:lineRule="exact"/>
              <w:rPr>
                <w:bCs/>
                <w:szCs w:val="21"/>
                <w:lang w:val="zh-CN"/>
              </w:rPr>
            </w:pPr>
          </w:p>
        </w:tc>
        <w:tc>
          <w:tcPr>
            <w:tcW w:w="2190" w:type="dxa"/>
            <w:vMerge w:val="continue"/>
            <w:vAlign w:val="center"/>
          </w:tcPr>
          <w:p w14:paraId="2F64F5EA">
            <w:pPr>
              <w:pStyle w:val="61"/>
              <w:spacing w:line="320" w:lineRule="exact"/>
              <w:rPr>
                <w:bCs/>
                <w:szCs w:val="21"/>
              </w:rPr>
            </w:pPr>
          </w:p>
        </w:tc>
        <w:tc>
          <w:tcPr>
            <w:tcW w:w="1125" w:type="dxa"/>
            <w:vAlign w:val="center"/>
          </w:tcPr>
          <w:p w14:paraId="63EA0179">
            <w:pPr>
              <w:pStyle w:val="61"/>
              <w:spacing w:line="320" w:lineRule="exact"/>
              <w:rPr>
                <w:bCs/>
                <w:szCs w:val="21"/>
              </w:rPr>
            </w:pPr>
            <w:r>
              <w:rPr>
                <w:bCs/>
                <w:szCs w:val="21"/>
              </w:rPr>
              <w:t>方位</w:t>
            </w:r>
          </w:p>
        </w:tc>
        <w:tc>
          <w:tcPr>
            <w:tcW w:w="1260" w:type="dxa"/>
            <w:vAlign w:val="center"/>
          </w:tcPr>
          <w:p w14:paraId="0635121B">
            <w:pPr>
              <w:pStyle w:val="61"/>
              <w:spacing w:line="320" w:lineRule="exact"/>
              <w:rPr>
                <w:bCs/>
                <w:szCs w:val="21"/>
              </w:rPr>
            </w:pPr>
            <w:r>
              <w:rPr>
                <w:bCs/>
                <w:szCs w:val="21"/>
              </w:rPr>
              <w:t>距离/m</w:t>
            </w:r>
          </w:p>
        </w:tc>
        <w:tc>
          <w:tcPr>
            <w:tcW w:w="3631" w:type="dxa"/>
            <w:vMerge w:val="continue"/>
            <w:vAlign w:val="center"/>
          </w:tcPr>
          <w:p w14:paraId="0A5E21B0">
            <w:pPr>
              <w:pStyle w:val="61"/>
              <w:spacing w:line="320" w:lineRule="exact"/>
              <w:rPr>
                <w:bCs/>
                <w:szCs w:val="21"/>
              </w:rPr>
            </w:pPr>
          </w:p>
        </w:tc>
      </w:tr>
      <w:tr w14:paraId="62F7C1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1" w:type="dxa"/>
            <w:vAlign w:val="center"/>
          </w:tcPr>
          <w:p w14:paraId="0D90CC17">
            <w:pPr>
              <w:pStyle w:val="61"/>
              <w:spacing w:line="320" w:lineRule="exact"/>
              <w:rPr>
                <w:szCs w:val="21"/>
                <w:lang w:val="zh-CN"/>
              </w:rPr>
            </w:pPr>
            <w:r>
              <w:rPr>
                <w:szCs w:val="21"/>
                <w:lang w:val="zh-CN"/>
              </w:rPr>
              <w:t>D1</w:t>
            </w:r>
          </w:p>
        </w:tc>
        <w:tc>
          <w:tcPr>
            <w:tcW w:w="2190" w:type="dxa"/>
            <w:vAlign w:val="center"/>
          </w:tcPr>
          <w:p w14:paraId="5BB9B7D2">
            <w:pPr>
              <w:pStyle w:val="15"/>
              <w:spacing w:line="320" w:lineRule="exact"/>
              <w:ind w:firstLine="0"/>
              <w:jc w:val="center"/>
              <w:rPr>
                <w:rFonts w:cs="Times New Roman"/>
                <w:sz w:val="21"/>
                <w:szCs w:val="21"/>
              </w:rPr>
            </w:pPr>
            <w:r>
              <w:rPr>
                <w:rFonts w:cs="Times New Roman"/>
                <w:sz w:val="21"/>
                <w:szCs w:val="21"/>
              </w:rPr>
              <w:t>黄庄</w:t>
            </w:r>
          </w:p>
        </w:tc>
        <w:tc>
          <w:tcPr>
            <w:tcW w:w="1125" w:type="dxa"/>
            <w:vAlign w:val="center"/>
          </w:tcPr>
          <w:p w14:paraId="6AF6F892">
            <w:pPr>
              <w:pStyle w:val="15"/>
              <w:spacing w:line="320" w:lineRule="exact"/>
              <w:ind w:firstLine="0"/>
              <w:jc w:val="center"/>
              <w:rPr>
                <w:rFonts w:cs="Times New Roman"/>
                <w:sz w:val="21"/>
                <w:szCs w:val="21"/>
              </w:rPr>
            </w:pPr>
            <w:r>
              <w:rPr>
                <w:rFonts w:cs="Times New Roman"/>
                <w:color w:val="000000"/>
                <w:sz w:val="21"/>
                <w:szCs w:val="21"/>
              </w:rPr>
              <w:t>东南</w:t>
            </w:r>
          </w:p>
        </w:tc>
        <w:tc>
          <w:tcPr>
            <w:tcW w:w="1260" w:type="dxa"/>
            <w:vAlign w:val="center"/>
          </w:tcPr>
          <w:p w14:paraId="05E3C573">
            <w:pPr>
              <w:pStyle w:val="15"/>
              <w:spacing w:line="320" w:lineRule="exact"/>
              <w:ind w:firstLine="0"/>
              <w:jc w:val="center"/>
              <w:rPr>
                <w:rFonts w:cs="Times New Roman"/>
                <w:sz w:val="21"/>
                <w:szCs w:val="21"/>
              </w:rPr>
            </w:pPr>
            <w:r>
              <w:rPr>
                <w:rFonts w:cs="Times New Roman"/>
                <w:color w:val="000000"/>
                <w:sz w:val="21"/>
                <w:szCs w:val="21"/>
              </w:rPr>
              <w:t>700</w:t>
            </w:r>
          </w:p>
        </w:tc>
        <w:tc>
          <w:tcPr>
            <w:tcW w:w="3631" w:type="dxa"/>
            <w:vMerge w:val="restart"/>
            <w:vAlign w:val="center"/>
          </w:tcPr>
          <w:p w14:paraId="3BF49FAB">
            <w:pPr>
              <w:pStyle w:val="61"/>
              <w:spacing w:line="320" w:lineRule="exact"/>
              <w:rPr>
                <w:szCs w:val="21"/>
              </w:rPr>
            </w:pPr>
            <w:r>
              <w:rPr>
                <w:color w:val="000000"/>
                <w:szCs w:val="21"/>
              </w:rPr>
              <w:t>K</w:t>
            </w:r>
            <w:r>
              <w:rPr>
                <w:color w:val="000000"/>
                <w:szCs w:val="21"/>
                <w:vertAlign w:val="superscript"/>
              </w:rPr>
              <w:t>+</w:t>
            </w:r>
            <w:r>
              <w:rPr>
                <w:color w:val="000000"/>
                <w:szCs w:val="21"/>
              </w:rPr>
              <w:t>、Na</w:t>
            </w:r>
            <w:r>
              <w:rPr>
                <w:color w:val="000000"/>
                <w:szCs w:val="21"/>
                <w:vertAlign w:val="superscript"/>
              </w:rPr>
              <w:t>+</w:t>
            </w:r>
            <w:r>
              <w:rPr>
                <w:color w:val="000000"/>
                <w:szCs w:val="21"/>
              </w:rPr>
              <w:t>、Ca</w:t>
            </w:r>
            <w:r>
              <w:rPr>
                <w:color w:val="000000"/>
                <w:szCs w:val="21"/>
                <w:vertAlign w:val="superscript"/>
              </w:rPr>
              <w:t>2+</w:t>
            </w:r>
            <w:r>
              <w:rPr>
                <w:color w:val="000000"/>
                <w:szCs w:val="21"/>
              </w:rPr>
              <w:t>、Mg</w:t>
            </w:r>
            <w:r>
              <w:rPr>
                <w:color w:val="000000"/>
                <w:szCs w:val="21"/>
                <w:vertAlign w:val="superscript"/>
              </w:rPr>
              <w:t>2+</w:t>
            </w:r>
            <w:r>
              <w:rPr>
                <w:color w:val="000000"/>
                <w:szCs w:val="21"/>
              </w:rPr>
              <w:t>、CO</w:t>
            </w:r>
            <w:r>
              <w:rPr>
                <w:color w:val="000000"/>
                <w:szCs w:val="21"/>
                <w:vertAlign w:val="subscript"/>
              </w:rPr>
              <w:t>3</w:t>
            </w:r>
            <w:r>
              <w:rPr>
                <w:color w:val="000000"/>
                <w:szCs w:val="21"/>
                <w:vertAlign w:val="superscript"/>
              </w:rPr>
              <w:t>2-</w:t>
            </w:r>
            <w:r>
              <w:rPr>
                <w:color w:val="000000"/>
                <w:szCs w:val="21"/>
              </w:rPr>
              <w:t>、HCO</w:t>
            </w:r>
            <w:r>
              <w:rPr>
                <w:color w:val="000000"/>
                <w:szCs w:val="21"/>
                <w:vertAlign w:val="subscript"/>
              </w:rPr>
              <w:t>3</w:t>
            </w:r>
            <w:r>
              <w:rPr>
                <w:color w:val="000000"/>
                <w:szCs w:val="21"/>
                <w:vertAlign w:val="superscript"/>
              </w:rPr>
              <w:t>-</w:t>
            </w:r>
            <w:r>
              <w:rPr>
                <w:color w:val="000000"/>
                <w:szCs w:val="21"/>
              </w:rPr>
              <w:t>、Cl</w:t>
            </w:r>
            <w:r>
              <w:rPr>
                <w:color w:val="000000"/>
                <w:szCs w:val="21"/>
                <w:vertAlign w:val="superscript"/>
              </w:rPr>
              <w:t>-</w:t>
            </w:r>
            <w:r>
              <w:rPr>
                <w:color w:val="000000"/>
                <w:szCs w:val="21"/>
              </w:rPr>
              <w:t>、SO</w:t>
            </w:r>
            <w:r>
              <w:rPr>
                <w:color w:val="000000"/>
                <w:szCs w:val="21"/>
                <w:vertAlign w:val="subscript"/>
              </w:rPr>
              <w:t>4</w:t>
            </w:r>
            <w:r>
              <w:rPr>
                <w:color w:val="000000"/>
                <w:szCs w:val="21"/>
                <w:vertAlign w:val="superscript"/>
              </w:rPr>
              <w:t>2-</w:t>
            </w:r>
            <w:r>
              <w:rPr>
                <w:color w:val="000000"/>
                <w:szCs w:val="21"/>
              </w:rPr>
              <w:t>、pH、总硬度、溶解性总固体、氨氮、总磷、硝酸盐、亚硝酸盐、氟化物、铅、砷、六价铬、铜、锌、铁、锰、氯化物、硫酸盐、挥发酚、耗氧量、总大肠菌群数、菌落总数；地下水埋深及水位</w:t>
            </w:r>
          </w:p>
        </w:tc>
      </w:tr>
      <w:tr w14:paraId="1FF06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1" w:type="dxa"/>
            <w:vAlign w:val="center"/>
          </w:tcPr>
          <w:p w14:paraId="71A80D52">
            <w:pPr>
              <w:pStyle w:val="61"/>
              <w:spacing w:line="320" w:lineRule="exact"/>
              <w:rPr>
                <w:szCs w:val="21"/>
                <w:lang w:val="zh-CN"/>
              </w:rPr>
            </w:pPr>
            <w:r>
              <w:rPr>
                <w:szCs w:val="21"/>
                <w:lang w:val="zh-CN"/>
              </w:rPr>
              <w:t>D2</w:t>
            </w:r>
          </w:p>
        </w:tc>
        <w:tc>
          <w:tcPr>
            <w:tcW w:w="2190" w:type="dxa"/>
            <w:vAlign w:val="center"/>
          </w:tcPr>
          <w:p w14:paraId="667576E5">
            <w:pPr>
              <w:pStyle w:val="15"/>
              <w:spacing w:line="320" w:lineRule="exact"/>
              <w:ind w:firstLine="0"/>
              <w:jc w:val="center"/>
              <w:rPr>
                <w:rFonts w:cs="Times New Roman"/>
                <w:sz w:val="21"/>
                <w:szCs w:val="21"/>
              </w:rPr>
            </w:pPr>
            <w:r>
              <w:rPr>
                <w:rFonts w:cs="Times New Roman"/>
                <w:sz w:val="21"/>
                <w:szCs w:val="21"/>
              </w:rPr>
              <w:t>项目所在地</w:t>
            </w:r>
          </w:p>
        </w:tc>
        <w:tc>
          <w:tcPr>
            <w:tcW w:w="1125" w:type="dxa"/>
            <w:vAlign w:val="center"/>
          </w:tcPr>
          <w:p w14:paraId="4AEFC5D6">
            <w:pPr>
              <w:pStyle w:val="15"/>
              <w:spacing w:line="320" w:lineRule="exact"/>
              <w:ind w:firstLine="0"/>
              <w:jc w:val="center"/>
              <w:rPr>
                <w:rFonts w:cs="Times New Roman"/>
                <w:sz w:val="21"/>
                <w:szCs w:val="21"/>
              </w:rPr>
            </w:pPr>
            <w:r>
              <w:rPr>
                <w:rFonts w:eastAsia="宋体" w:cs="Times New Roman"/>
                <w:color w:val="000000"/>
                <w:sz w:val="21"/>
                <w:szCs w:val="21"/>
              </w:rPr>
              <w:t>厂区内</w:t>
            </w:r>
          </w:p>
        </w:tc>
        <w:tc>
          <w:tcPr>
            <w:tcW w:w="1260" w:type="dxa"/>
            <w:vAlign w:val="center"/>
          </w:tcPr>
          <w:p w14:paraId="735B78DA">
            <w:pPr>
              <w:pStyle w:val="15"/>
              <w:spacing w:line="320" w:lineRule="exact"/>
              <w:ind w:firstLine="0"/>
              <w:jc w:val="center"/>
              <w:rPr>
                <w:rFonts w:cs="Times New Roman"/>
                <w:sz w:val="21"/>
                <w:szCs w:val="21"/>
              </w:rPr>
            </w:pPr>
            <w:r>
              <w:rPr>
                <w:rFonts w:eastAsia="宋体" w:cs="Times New Roman"/>
                <w:color w:val="000000"/>
                <w:sz w:val="21"/>
                <w:szCs w:val="21"/>
              </w:rPr>
              <w:t>/</w:t>
            </w:r>
          </w:p>
        </w:tc>
        <w:tc>
          <w:tcPr>
            <w:tcW w:w="3631" w:type="dxa"/>
            <w:vMerge w:val="continue"/>
            <w:vAlign w:val="center"/>
          </w:tcPr>
          <w:p w14:paraId="61764254">
            <w:pPr>
              <w:pStyle w:val="61"/>
              <w:spacing w:line="320" w:lineRule="exact"/>
              <w:rPr>
                <w:szCs w:val="21"/>
              </w:rPr>
            </w:pPr>
          </w:p>
        </w:tc>
      </w:tr>
      <w:tr w14:paraId="40EE77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1" w:type="dxa"/>
            <w:vAlign w:val="center"/>
          </w:tcPr>
          <w:p w14:paraId="6C896152">
            <w:pPr>
              <w:pStyle w:val="61"/>
              <w:spacing w:line="320" w:lineRule="exact"/>
              <w:rPr>
                <w:bCs/>
                <w:szCs w:val="21"/>
                <w:lang w:val="zh-CN"/>
              </w:rPr>
            </w:pPr>
            <w:r>
              <w:rPr>
                <w:bCs/>
                <w:szCs w:val="21"/>
                <w:lang w:val="zh-CN"/>
              </w:rPr>
              <w:t>D3</w:t>
            </w:r>
          </w:p>
        </w:tc>
        <w:tc>
          <w:tcPr>
            <w:tcW w:w="2190" w:type="dxa"/>
            <w:vAlign w:val="center"/>
          </w:tcPr>
          <w:p w14:paraId="25B8EFB4">
            <w:pPr>
              <w:pStyle w:val="15"/>
              <w:spacing w:line="320" w:lineRule="exact"/>
              <w:ind w:firstLine="0"/>
              <w:jc w:val="center"/>
              <w:rPr>
                <w:rFonts w:cs="Times New Roman"/>
                <w:bCs/>
                <w:sz w:val="21"/>
                <w:szCs w:val="21"/>
                <w:lang w:val="zh-CN"/>
              </w:rPr>
            </w:pPr>
            <w:r>
              <w:rPr>
                <w:rFonts w:cs="Times New Roman"/>
                <w:color w:val="000000"/>
                <w:sz w:val="21"/>
                <w:szCs w:val="21"/>
              </w:rPr>
              <w:t>王庄</w:t>
            </w:r>
          </w:p>
        </w:tc>
        <w:tc>
          <w:tcPr>
            <w:tcW w:w="1125" w:type="dxa"/>
            <w:vAlign w:val="center"/>
          </w:tcPr>
          <w:p w14:paraId="41BC9459">
            <w:pPr>
              <w:pStyle w:val="15"/>
              <w:spacing w:line="320" w:lineRule="exact"/>
              <w:ind w:firstLine="0"/>
              <w:jc w:val="center"/>
              <w:rPr>
                <w:rFonts w:cs="Times New Roman"/>
                <w:bCs/>
                <w:sz w:val="21"/>
                <w:szCs w:val="21"/>
                <w:lang w:val="zh-CN"/>
              </w:rPr>
            </w:pPr>
            <w:r>
              <w:rPr>
                <w:rFonts w:eastAsia="宋体" w:cs="Times New Roman"/>
                <w:color w:val="000000"/>
                <w:sz w:val="21"/>
                <w:szCs w:val="21"/>
              </w:rPr>
              <w:t>西北</w:t>
            </w:r>
          </w:p>
        </w:tc>
        <w:tc>
          <w:tcPr>
            <w:tcW w:w="1260" w:type="dxa"/>
            <w:vAlign w:val="center"/>
          </w:tcPr>
          <w:p w14:paraId="3D2B04DD">
            <w:pPr>
              <w:pStyle w:val="15"/>
              <w:spacing w:line="320" w:lineRule="exact"/>
              <w:ind w:firstLine="0"/>
              <w:jc w:val="center"/>
              <w:rPr>
                <w:rFonts w:cs="Times New Roman"/>
                <w:bCs/>
                <w:sz w:val="21"/>
                <w:szCs w:val="21"/>
                <w:lang w:val="zh-CN"/>
              </w:rPr>
            </w:pPr>
            <w:r>
              <w:rPr>
                <w:rFonts w:eastAsia="宋体" w:cs="Times New Roman"/>
                <w:color w:val="000000"/>
                <w:sz w:val="21"/>
                <w:szCs w:val="21"/>
              </w:rPr>
              <w:t>730</w:t>
            </w:r>
          </w:p>
        </w:tc>
        <w:tc>
          <w:tcPr>
            <w:tcW w:w="3631" w:type="dxa"/>
            <w:vMerge w:val="continue"/>
            <w:vAlign w:val="center"/>
          </w:tcPr>
          <w:p w14:paraId="08BC65C2">
            <w:pPr>
              <w:pStyle w:val="61"/>
              <w:spacing w:line="320" w:lineRule="exact"/>
              <w:rPr>
                <w:bCs/>
                <w:szCs w:val="21"/>
                <w:lang w:val="zh-CN"/>
              </w:rPr>
            </w:pPr>
          </w:p>
        </w:tc>
      </w:tr>
      <w:tr w14:paraId="5C68E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1" w:type="dxa"/>
            <w:vAlign w:val="center"/>
          </w:tcPr>
          <w:p w14:paraId="0F476D16">
            <w:pPr>
              <w:pStyle w:val="61"/>
              <w:spacing w:line="320" w:lineRule="exact"/>
              <w:rPr>
                <w:bCs/>
                <w:szCs w:val="21"/>
                <w:lang w:val="zh-CN"/>
              </w:rPr>
            </w:pPr>
            <w:r>
              <w:rPr>
                <w:bCs/>
                <w:szCs w:val="21"/>
                <w:lang w:val="zh-CN"/>
              </w:rPr>
              <w:t>D4</w:t>
            </w:r>
          </w:p>
        </w:tc>
        <w:tc>
          <w:tcPr>
            <w:tcW w:w="2190" w:type="dxa"/>
            <w:vAlign w:val="center"/>
          </w:tcPr>
          <w:p w14:paraId="1ED60B08">
            <w:pPr>
              <w:pStyle w:val="15"/>
              <w:spacing w:line="320" w:lineRule="exact"/>
              <w:ind w:firstLine="0"/>
              <w:jc w:val="center"/>
              <w:rPr>
                <w:rFonts w:cs="Times New Roman"/>
                <w:sz w:val="21"/>
                <w:szCs w:val="21"/>
              </w:rPr>
            </w:pPr>
            <w:r>
              <w:rPr>
                <w:rFonts w:cs="Times New Roman"/>
                <w:sz w:val="21"/>
                <w:szCs w:val="21"/>
              </w:rPr>
              <w:t>油坊庄</w:t>
            </w:r>
          </w:p>
        </w:tc>
        <w:tc>
          <w:tcPr>
            <w:tcW w:w="1125" w:type="dxa"/>
            <w:vAlign w:val="center"/>
          </w:tcPr>
          <w:p w14:paraId="6E550B99">
            <w:pPr>
              <w:pStyle w:val="15"/>
              <w:spacing w:line="320" w:lineRule="exact"/>
              <w:ind w:firstLine="0"/>
              <w:jc w:val="center"/>
              <w:rPr>
                <w:rFonts w:cs="Times New Roman"/>
                <w:sz w:val="21"/>
                <w:szCs w:val="21"/>
              </w:rPr>
            </w:pPr>
            <w:r>
              <w:rPr>
                <w:rFonts w:eastAsia="宋体" w:cs="Times New Roman"/>
                <w:color w:val="000000"/>
                <w:sz w:val="21"/>
                <w:szCs w:val="21"/>
              </w:rPr>
              <w:t>南</w:t>
            </w:r>
          </w:p>
        </w:tc>
        <w:tc>
          <w:tcPr>
            <w:tcW w:w="1260" w:type="dxa"/>
            <w:vAlign w:val="center"/>
          </w:tcPr>
          <w:p w14:paraId="35EA43D8">
            <w:pPr>
              <w:pStyle w:val="15"/>
              <w:spacing w:line="320" w:lineRule="exact"/>
              <w:ind w:firstLine="0"/>
              <w:jc w:val="center"/>
              <w:rPr>
                <w:rFonts w:cs="Times New Roman"/>
                <w:sz w:val="21"/>
                <w:szCs w:val="21"/>
              </w:rPr>
            </w:pPr>
            <w:r>
              <w:rPr>
                <w:rFonts w:eastAsia="宋体" w:cs="Times New Roman"/>
                <w:color w:val="000000"/>
                <w:sz w:val="21"/>
                <w:szCs w:val="21"/>
              </w:rPr>
              <w:t>400</w:t>
            </w:r>
          </w:p>
        </w:tc>
        <w:tc>
          <w:tcPr>
            <w:tcW w:w="3631" w:type="dxa"/>
            <w:vMerge w:val="restart"/>
            <w:vAlign w:val="center"/>
          </w:tcPr>
          <w:p w14:paraId="7B9E3C8B">
            <w:pPr>
              <w:pStyle w:val="61"/>
              <w:spacing w:line="320" w:lineRule="exact"/>
              <w:rPr>
                <w:bCs/>
                <w:szCs w:val="21"/>
                <w:lang w:val="zh-CN"/>
              </w:rPr>
            </w:pPr>
            <w:r>
              <w:rPr>
                <w:szCs w:val="21"/>
              </w:rPr>
              <w:t>地下水埋深及水位</w:t>
            </w:r>
          </w:p>
        </w:tc>
      </w:tr>
      <w:tr w14:paraId="410A3A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1" w:type="dxa"/>
            <w:vAlign w:val="center"/>
          </w:tcPr>
          <w:p w14:paraId="27E990C4">
            <w:pPr>
              <w:pStyle w:val="61"/>
              <w:spacing w:line="320" w:lineRule="exact"/>
              <w:rPr>
                <w:bCs/>
                <w:szCs w:val="21"/>
                <w:lang w:val="zh-CN"/>
              </w:rPr>
            </w:pPr>
            <w:r>
              <w:rPr>
                <w:bCs/>
                <w:szCs w:val="21"/>
                <w:lang w:val="zh-CN"/>
              </w:rPr>
              <w:t>D5</w:t>
            </w:r>
          </w:p>
        </w:tc>
        <w:tc>
          <w:tcPr>
            <w:tcW w:w="2190" w:type="dxa"/>
            <w:vAlign w:val="center"/>
          </w:tcPr>
          <w:p w14:paraId="3DE0484B">
            <w:pPr>
              <w:pStyle w:val="15"/>
              <w:spacing w:line="320" w:lineRule="exact"/>
              <w:ind w:firstLine="0"/>
              <w:jc w:val="center"/>
              <w:rPr>
                <w:rFonts w:cs="Times New Roman"/>
                <w:sz w:val="21"/>
                <w:szCs w:val="21"/>
              </w:rPr>
            </w:pPr>
            <w:r>
              <w:rPr>
                <w:rFonts w:cs="Times New Roman"/>
                <w:sz w:val="21"/>
                <w:szCs w:val="21"/>
              </w:rPr>
              <w:t>刘庄</w:t>
            </w:r>
          </w:p>
        </w:tc>
        <w:tc>
          <w:tcPr>
            <w:tcW w:w="1125" w:type="dxa"/>
            <w:vAlign w:val="center"/>
          </w:tcPr>
          <w:p w14:paraId="77CD5DB1">
            <w:pPr>
              <w:pStyle w:val="15"/>
              <w:spacing w:line="320" w:lineRule="exact"/>
              <w:ind w:firstLine="0"/>
              <w:jc w:val="center"/>
              <w:rPr>
                <w:rFonts w:cs="Times New Roman"/>
                <w:sz w:val="21"/>
                <w:szCs w:val="21"/>
              </w:rPr>
            </w:pPr>
            <w:r>
              <w:rPr>
                <w:rFonts w:eastAsia="宋体" w:cs="Times New Roman"/>
                <w:color w:val="000000"/>
                <w:sz w:val="21"/>
                <w:szCs w:val="21"/>
              </w:rPr>
              <w:t>西</w:t>
            </w:r>
          </w:p>
        </w:tc>
        <w:tc>
          <w:tcPr>
            <w:tcW w:w="1260" w:type="dxa"/>
            <w:vAlign w:val="center"/>
          </w:tcPr>
          <w:p w14:paraId="0F8B4CA9">
            <w:pPr>
              <w:pStyle w:val="15"/>
              <w:spacing w:line="320" w:lineRule="exact"/>
              <w:ind w:firstLine="0"/>
              <w:jc w:val="center"/>
              <w:rPr>
                <w:rFonts w:cs="Times New Roman"/>
                <w:sz w:val="21"/>
                <w:szCs w:val="21"/>
              </w:rPr>
            </w:pPr>
            <w:r>
              <w:rPr>
                <w:rFonts w:eastAsia="宋体" w:cs="Times New Roman"/>
                <w:color w:val="000000"/>
                <w:sz w:val="21"/>
                <w:szCs w:val="21"/>
              </w:rPr>
              <w:t>430</w:t>
            </w:r>
          </w:p>
        </w:tc>
        <w:tc>
          <w:tcPr>
            <w:tcW w:w="3631" w:type="dxa"/>
            <w:vMerge w:val="continue"/>
            <w:vAlign w:val="center"/>
          </w:tcPr>
          <w:p w14:paraId="679F3FF8">
            <w:pPr>
              <w:pStyle w:val="61"/>
              <w:spacing w:line="320" w:lineRule="exact"/>
              <w:rPr>
                <w:bCs/>
                <w:szCs w:val="21"/>
                <w:lang w:val="zh-CN"/>
              </w:rPr>
            </w:pPr>
          </w:p>
        </w:tc>
      </w:tr>
      <w:tr w14:paraId="02B32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1" w:type="dxa"/>
            <w:vAlign w:val="center"/>
          </w:tcPr>
          <w:p w14:paraId="1D9AF754">
            <w:pPr>
              <w:pStyle w:val="61"/>
              <w:spacing w:line="320" w:lineRule="exact"/>
              <w:rPr>
                <w:bCs/>
                <w:szCs w:val="21"/>
                <w:lang w:val="zh-CN"/>
              </w:rPr>
            </w:pPr>
            <w:r>
              <w:rPr>
                <w:bCs/>
                <w:szCs w:val="21"/>
                <w:lang w:val="zh-CN"/>
              </w:rPr>
              <w:t>D6</w:t>
            </w:r>
          </w:p>
        </w:tc>
        <w:tc>
          <w:tcPr>
            <w:tcW w:w="2190" w:type="dxa"/>
            <w:tcMar>
              <w:left w:w="0" w:type="dxa"/>
              <w:right w:w="0" w:type="dxa"/>
            </w:tcMar>
            <w:vAlign w:val="center"/>
          </w:tcPr>
          <w:p w14:paraId="29A949D5">
            <w:pPr>
              <w:pStyle w:val="15"/>
              <w:spacing w:line="320" w:lineRule="exact"/>
              <w:ind w:firstLine="0"/>
              <w:jc w:val="center"/>
              <w:rPr>
                <w:rFonts w:cs="Times New Roman"/>
                <w:sz w:val="21"/>
                <w:szCs w:val="21"/>
              </w:rPr>
            </w:pPr>
            <w:r>
              <w:rPr>
                <w:rFonts w:cs="Times New Roman"/>
                <w:sz w:val="21"/>
                <w:szCs w:val="21"/>
              </w:rPr>
              <w:t>恒源生物有机肥北侧</w:t>
            </w:r>
          </w:p>
        </w:tc>
        <w:tc>
          <w:tcPr>
            <w:tcW w:w="1125" w:type="dxa"/>
            <w:vAlign w:val="center"/>
          </w:tcPr>
          <w:p w14:paraId="34810497">
            <w:pPr>
              <w:pStyle w:val="15"/>
              <w:spacing w:line="320" w:lineRule="exact"/>
              <w:ind w:firstLine="0"/>
              <w:jc w:val="center"/>
              <w:rPr>
                <w:rFonts w:cs="Times New Roman"/>
                <w:sz w:val="21"/>
                <w:szCs w:val="21"/>
              </w:rPr>
            </w:pPr>
            <w:r>
              <w:rPr>
                <w:rFonts w:eastAsia="宋体" w:cs="Times New Roman"/>
                <w:color w:val="000000"/>
                <w:sz w:val="21"/>
                <w:szCs w:val="21"/>
              </w:rPr>
              <w:t>东北</w:t>
            </w:r>
          </w:p>
        </w:tc>
        <w:tc>
          <w:tcPr>
            <w:tcW w:w="1260" w:type="dxa"/>
            <w:vAlign w:val="center"/>
          </w:tcPr>
          <w:p w14:paraId="1B52A89F">
            <w:pPr>
              <w:pStyle w:val="15"/>
              <w:spacing w:line="320" w:lineRule="exact"/>
              <w:ind w:firstLine="0"/>
              <w:jc w:val="center"/>
              <w:rPr>
                <w:rFonts w:cs="Times New Roman"/>
                <w:sz w:val="21"/>
                <w:szCs w:val="21"/>
              </w:rPr>
            </w:pPr>
            <w:r>
              <w:rPr>
                <w:rFonts w:eastAsia="宋体" w:cs="Times New Roman"/>
                <w:color w:val="000000"/>
                <w:sz w:val="21"/>
                <w:szCs w:val="21"/>
              </w:rPr>
              <w:t>360</w:t>
            </w:r>
          </w:p>
        </w:tc>
        <w:tc>
          <w:tcPr>
            <w:tcW w:w="3631" w:type="dxa"/>
            <w:vMerge w:val="continue"/>
            <w:vAlign w:val="center"/>
          </w:tcPr>
          <w:p w14:paraId="00283A81">
            <w:pPr>
              <w:pStyle w:val="61"/>
              <w:spacing w:line="320" w:lineRule="exact"/>
              <w:rPr>
                <w:bCs/>
                <w:szCs w:val="21"/>
                <w:lang w:val="zh-CN"/>
              </w:rPr>
            </w:pPr>
          </w:p>
        </w:tc>
      </w:tr>
    </w:tbl>
    <w:p w14:paraId="54316E6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pPr>
      <w:r>
        <w:rPr>
          <w:rFonts w:hint="eastAsia"/>
        </w:rPr>
        <w:t>采样时间和频率；本次环评地下水现状监测委托江苏迈斯特环境检测有限公司进行，监测时间2024年7月4日，监测一次。</w:t>
      </w:r>
    </w:p>
    <w:p w14:paraId="1BFBCE2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pPr>
      <w:r>
        <w:rPr>
          <w:rFonts w:hint="eastAsia"/>
        </w:rPr>
        <w:t>（3）监测分析方法</w:t>
      </w:r>
    </w:p>
    <w:p w14:paraId="2303E05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pPr>
      <w:r>
        <w:rPr>
          <w:rFonts w:hint="eastAsia"/>
        </w:rPr>
        <w:t>按国家环保总局颁布的《环境监测技术规范》和《水和废水监测分析方法》（第四版）等有关规定和要求执行。详见表4.3-16。</w:t>
      </w:r>
    </w:p>
    <w:p w14:paraId="332B231F">
      <w:pPr>
        <w:pStyle w:val="31"/>
        <w:keepNext w:val="0"/>
        <w:keepLines w:val="0"/>
        <w:pageBreakBefore w:val="0"/>
        <w:widowControl w:val="0"/>
        <w:kinsoku/>
        <w:wordWrap/>
        <w:overflowPunct/>
        <w:topLinePunct w:val="0"/>
        <w:autoSpaceDE/>
        <w:autoSpaceDN/>
        <w:bidi w:val="0"/>
        <w:adjustRightInd/>
        <w:snapToGrid/>
        <w:spacing w:before="0" w:line="460" w:lineRule="exact"/>
        <w:textAlignment w:val="auto"/>
      </w:pPr>
      <w:r>
        <w:rPr>
          <w:rFonts w:hint="eastAsia"/>
        </w:rPr>
        <w:t>表</w:t>
      </w:r>
      <w:r>
        <w:t>4.</w:t>
      </w:r>
      <w:r>
        <w:rPr>
          <w:rFonts w:hint="eastAsia"/>
        </w:rPr>
        <w:t>3-16</w:t>
      </w:r>
      <w:r>
        <w:t xml:space="preserve"> </w:t>
      </w:r>
      <w:r>
        <w:rPr>
          <w:rFonts w:hint="eastAsia"/>
        </w:rPr>
        <w:t>地下水监测分析方法一览表</w:t>
      </w:r>
    </w:p>
    <w:tbl>
      <w:tblPr>
        <w:tblStyle w:val="4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47"/>
        <w:gridCol w:w="7334"/>
      </w:tblGrid>
      <w:tr w14:paraId="4050A3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33ADF1F6">
            <w:pPr>
              <w:pStyle w:val="61"/>
              <w:spacing w:line="300" w:lineRule="exact"/>
              <w:rPr>
                <w:lang w:val="zh-CN"/>
              </w:rPr>
            </w:pPr>
            <w:r>
              <w:rPr>
                <w:rFonts w:hint="eastAsia"/>
                <w:lang w:val="zh-CN"/>
              </w:rPr>
              <w:t>项目</w:t>
            </w:r>
          </w:p>
        </w:tc>
        <w:tc>
          <w:tcPr>
            <w:tcW w:w="3950" w:type="pct"/>
            <w:vAlign w:val="center"/>
          </w:tcPr>
          <w:p w14:paraId="08399191">
            <w:pPr>
              <w:pStyle w:val="61"/>
              <w:spacing w:line="300" w:lineRule="exact"/>
            </w:pPr>
            <w:r>
              <w:rPr>
                <w:rFonts w:hint="eastAsia"/>
              </w:rPr>
              <w:t>检测标准（方法）名称及编号</w:t>
            </w:r>
          </w:p>
        </w:tc>
      </w:tr>
      <w:tr w14:paraId="197FB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61FC4B6C">
            <w:pPr>
              <w:pStyle w:val="61"/>
              <w:spacing w:line="300" w:lineRule="exact"/>
            </w:pPr>
            <w:r>
              <w:rPr>
                <w:rFonts w:ascii="TimesNewRomanPSMT" w:hAnsi="TimesNewRomanPSMT" w:cs="TimesNewRomanPSMT"/>
                <w:szCs w:val="21"/>
              </w:rPr>
              <w:t>pH</w:t>
            </w:r>
            <w:r>
              <w:rPr>
                <w:rFonts w:hint="eastAsia" w:ascii="TimesNewRomanPSMT" w:hAnsi="TimesNewRomanPSMT" w:cs="TimesNewRomanPSMT"/>
                <w:szCs w:val="21"/>
              </w:rPr>
              <w:t>值</w:t>
            </w:r>
          </w:p>
        </w:tc>
        <w:tc>
          <w:tcPr>
            <w:tcW w:w="3950" w:type="pct"/>
            <w:vAlign w:val="center"/>
          </w:tcPr>
          <w:p w14:paraId="7BEE0BDA">
            <w:pPr>
              <w:pStyle w:val="61"/>
              <w:spacing w:line="300" w:lineRule="exact"/>
              <w:rPr>
                <w:lang w:val="zh-CN"/>
              </w:rPr>
            </w:pPr>
            <w:r>
              <w:rPr>
                <w:rFonts w:hint="eastAsia"/>
                <w:szCs w:val="21"/>
                <w:lang w:bidi="ar"/>
              </w:rPr>
              <w:t>《</w:t>
            </w:r>
            <w:r>
              <w:rPr>
                <w:szCs w:val="21"/>
                <w:lang w:bidi="ar"/>
              </w:rPr>
              <w:t xml:space="preserve">水质 </w:t>
            </w:r>
            <w:r>
              <w:rPr>
                <w:rFonts w:hint="eastAsia"/>
                <w:szCs w:val="21"/>
                <w:lang w:bidi="ar"/>
              </w:rPr>
              <w:t xml:space="preserve"> </w:t>
            </w:r>
            <w:r>
              <w:rPr>
                <w:szCs w:val="21"/>
                <w:lang w:bidi="ar"/>
              </w:rPr>
              <w:t>PH值的测定</w:t>
            </w:r>
            <w:r>
              <w:rPr>
                <w:rFonts w:hint="eastAsia"/>
                <w:szCs w:val="21"/>
                <w:lang w:bidi="ar"/>
              </w:rPr>
              <w:t xml:space="preserve"> </w:t>
            </w:r>
            <w:r>
              <w:rPr>
                <w:szCs w:val="21"/>
                <w:lang w:bidi="ar"/>
              </w:rPr>
              <w:t xml:space="preserve"> 电极法</w:t>
            </w:r>
            <w:r>
              <w:rPr>
                <w:rFonts w:hint="eastAsia"/>
                <w:szCs w:val="21"/>
                <w:lang w:bidi="ar"/>
              </w:rPr>
              <w:t>》</w:t>
            </w:r>
            <w:r>
              <w:rPr>
                <w:szCs w:val="21"/>
                <w:lang w:bidi="ar"/>
              </w:rPr>
              <w:t xml:space="preserve"> </w:t>
            </w:r>
            <w:r>
              <w:rPr>
                <w:rFonts w:hint="eastAsia"/>
                <w:szCs w:val="21"/>
                <w:lang w:bidi="ar"/>
              </w:rPr>
              <w:t>（</w:t>
            </w:r>
            <w:r>
              <w:rPr>
                <w:szCs w:val="21"/>
                <w:lang w:bidi="ar"/>
              </w:rPr>
              <w:t>HJ1147-2020</w:t>
            </w:r>
            <w:r>
              <w:rPr>
                <w:rFonts w:hint="eastAsia"/>
                <w:szCs w:val="21"/>
                <w:lang w:bidi="ar"/>
              </w:rPr>
              <w:t>）</w:t>
            </w:r>
          </w:p>
        </w:tc>
      </w:tr>
      <w:tr w14:paraId="6C87C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03F93B60">
            <w:pPr>
              <w:pStyle w:val="61"/>
              <w:spacing w:line="300" w:lineRule="exact"/>
            </w:pPr>
            <w:r>
              <w:rPr>
                <w:rFonts w:ascii="TimesNewRomanPSMT" w:hAnsi="TimesNewRomanPSMT" w:cs="TimesNewRomanPSMT"/>
                <w:szCs w:val="21"/>
              </w:rPr>
              <w:t>K</w:t>
            </w:r>
            <w:r>
              <w:rPr>
                <w:rFonts w:ascii="TimesNewRomanPSMT" w:hAnsi="TimesNewRomanPSMT" w:cs="TimesNewRomanPSMT"/>
                <w:szCs w:val="21"/>
                <w:vertAlign w:val="superscript"/>
              </w:rPr>
              <w:t>+</w:t>
            </w:r>
            <w:r>
              <w:rPr>
                <w:rFonts w:hint="eastAsia" w:ascii="TimesNewRomanPSMT" w:hAnsi="TimesNewRomanPSMT" w:cs="TimesNewRomanPSMT"/>
                <w:szCs w:val="21"/>
              </w:rPr>
              <w:t>、</w:t>
            </w:r>
            <w:r>
              <w:rPr>
                <w:rFonts w:ascii="TimesNewRomanPSMT" w:hAnsi="TimesNewRomanPSMT" w:cs="TimesNewRomanPSMT"/>
                <w:szCs w:val="21"/>
              </w:rPr>
              <w:t>Na</w:t>
            </w:r>
            <w:r>
              <w:rPr>
                <w:rFonts w:ascii="TimesNewRomanPSMT" w:hAnsi="TimesNewRomanPSMT" w:cs="TimesNewRomanPSMT"/>
                <w:szCs w:val="21"/>
                <w:vertAlign w:val="superscript"/>
              </w:rPr>
              <w:t>+</w:t>
            </w:r>
            <w:r>
              <w:rPr>
                <w:rFonts w:hint="eastAsia" w:ascii="TimesNewRomanPSMT" w:hAnsi="TimesNewRomanPSMT" w:cs="TimesNewRomanPSMT"/>
                <w:szCs w:val="21"/>
              </w:rPr>
              <w:t>、</w:t>
            </w:r>
            <w:r>
              <w:rPr>
                <w:rFonts w:ascii="TimesNewRomanPSMT" w:hAnsi="TimesNewRomanPSMT" w:cs="TimesNewRomanPSMT"/>
                <w:szCs w:val="21"/>
              </w:rPr>
              <w:t>Ca</w:t>
            </w:r>
            <w:r>
              <w:rPr>
                <w:rFonts w:ascii="TimesNewRomanPSMT" w:hAnsi="TimesNewRomanPSMT" w:cs="TimesNewRomanPSMT"/>
                <w:szCs w:val="21"/>
                <w:vertAlign w:val="superscript"/>
              </w:rPr>
              <w:t>2+</w:t>
            </w:r>
            <w:r>
              <w:rPr>
                <w:rFonts w:hint="eastAsia" w:ascii="TimesNewRomanPSMT" w:hAnsi="TimesNewRomanPSMT" w:cs="TimesNewRomanPSMT"/>
                <w:szCs w:val="21"/>
              </w:rPr>
              <w:t>、</w:t>
            </w:r>
            <w:r>
              <w:rPr>
                <w:rFonts w:ascii="TimesNewRomanPSMT" w:hAnsi="TimesNewRomanPSMT" w:cs="TimesNewRomanPSMT"/>
                <w:szCs w:val="21"/>
              </w:rPr>
              <w:t>Mg</w:t>
            </w:r>
            <w:r>
              <w:rPr>
                <w:rFonts w:ascii="TimesNewRomanPSMT" w:hAnsi="TimesNewRomanPSMT" w:cs="TimesNewRomanPSMT"/>
                <w:szCs w:val="21"/>
                <w:vertAlign w:val="superscript"/>
              </w:rPr>
              <w:t>2+</w:t>
            </w:r>
          </w:p>
        </w:tc>
        <w:tc>
          <w:tcPr>
            <w:tcW w:w="3950" w:type="pct"/>
            <w:vAlign w:val="center"/>
          </w:tcPr>
          <w:p w14:paraId="008A1562">
            <w:pPr>
              <w:pStyle w:val="61"/>
              <w:spacing w:line="300" w:lineRule="exact"/>
            </w:pPr>
            <w:r>
              <w:rPr>
                <w:rFonts w:hint="eastAsia"/>
              </w:rPr>
              <w:t>《水质 32种元素的测定 电感耦合等离子体发射光谱法》（HJ 776-2015）</w:t>
            </w:r>
          </w:p>
        </w:tc>
      </w:tr>
      <w:tr w14:paraId="665395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3B9FB95C">
            <w:pPr>
              <w:pStyle w:val="61"/>
              <w:spacing w:line="300" w:lineRule="exact"/>
              <w:rPr>
                <w:szCs w:val="21"/>
                <w:lang w:val="zh-CN" w:bidi="ar"/>
              </w:rPr>
            </w:pPr>
            <w:r>
              <w:rPr>
                <w:rFonts w:hint="eastAsia"/>
                <w:szCs w:val="21"/>
                <w:lang w:bidi="ar"/>
              </w:rPr>
              <w:t>碳酸根、重碳酸根</w:t>
            </w:r>
          </w:p>
        </w:tc>
        <w:tc>
          <w:tcPr>
            <w:tcW w:w="3950" w:type="pct"/>
            <w:vAlign w:val="center"/>
          </w:tcPr>
          <w:p w14:paraId="4D2C9B69">
            <w:pPr>
              <w:pStyle w:val="61"/>
              <w:spacing w:line="300" w:lineRule="exact"/>
              <w:rPr>
                <w:szCs w:val="21"/>
                <w:lang w:bidi="ar"/>
              </w:rPr>
            </w:pPr>
            <w:r>
              <w:rPr>
                <w:rFonts w:hint="eastAsia"/>
                <w:szCs w:val="21"/>
                <w:lang w:bidi="ar"/>
              </w:rPr>
              <w:t>《地下水质分析方法  第49 部分：碳酸根、重碳酸根和氢氧根离子的测定  滴定法》（DZ/T 0064.49-2021）</w:t>
            </w:r>
          </w:p>
        </w:tc>
      </w:tr>
      <w:tr w14:paraId="6E98F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3DBDBBE2">
            <w:pPr>
              <w:pStyle w:val="61"/>
              <w:spacing w:line="300" w:lineRule="exact"/>
              <w:rPr>
                <w:lang w:val="zh-CN"/>
              </w:rPr>
            </w:pPr>
            <w:r>
              <w:rPr>
                <w:rFonts w:ascii="TimesNewRomanPSMT" w:hAnsi="TimesNewRomanPSMT" w:cs="TimesNewRomanPSMT"/>
                <w:szCs w:val="21"/>
              </w:rPr>
              <w:t>SO</w:t>
            </w:r>
            <w:r>
              <w:rPr>
                <w:rFonts w:ascii="TimesNewRomanPSMT" w:hAnsi="TimesNewRomanPSMT" w:cs="TimesNewRomanPSMT"/>
                <w:szCs w:val="21"/>
                <w:vertAlign w:val="subscript"/>
              </w:rPr>
              <w:t>4</w:t>
            </w:r>
            <w:r>
              <w:rPr>
                <w:rFonts w:ascii="TimesNewRomanPSMT" w:hAnsi="TimesNewRomanPSMT" w:cs="TimesNewRomanPSMT"/>
                <w:szCs w:val="21"/>
                <w:vertAlign w:val="superscript"/>
              </w:rPr>
              <w:t>2-</w:t>
            </w:r>
            <w:r>
              <w:rPr>
                <w:rFonts w:hint="eastAsia"/>
                <w:lang w:val="zh-CN"/>
              </w:rPr>
              <w:t>、</w:t>
            </w:r>
            <w:r>
              <w:rPr>
                <w:rFonts w:ascii="TimesNewRomanPSMT" w:hAnsi="TimesNewRomanPSMT" w:cs="TimesNewRomanPSMT"/>
                <w:szCs w:val="21"/>
              </w:rPr>
              <w:t>Cl</w:t>
            </w:r>
            <w:r>
              <w:rPr>
                <w:rFonts w:ascii="TimesNewRomanPSMT" w:hAnsi="TimesNewRomanPSMT" w:cs="TimesNewRomanPSMT"/>
                <w:szCs w:val="21"/>
                <w:vertAlign w:val="superscript"/>
              </w:rPr>
              <w:t>-</w:t>
            </w:r>
          </w:p>
        </w:tc>
        <w:tc>
          <w:tcPr>
            <w:tcW w:w="3950" w:type="pct"/>
            <w:vAlign w:val="center"/>
          </w:tcPr>
          <w:p w14:paraId="3AB28065">
            <w:pPr>
              <w:pStyle w:val="61"/>
              <w:spacing w:line="300" w:lineRule="exact"/>
            </w:pPr>
            <w:r>
              <w:rPr>
                <w:rFonts w:hint="eastAsia"/>
              </w:rPr>
              <w:t>《水质 无机阴离子（F</w:t>
            </w:r>
            <w:r>
              <w:rPr>
                <w:rFonts w:hint="eastAsia"/>
                <w:vertAlign w:val="superscript"/>
              </w:rPr>
              <w:t>-</w:t>
            </w:r>
            <w:r>
              <w:rPr>
                <w:rFonts w:hint="eastAsia"/>
              </w:rPr>
              <w:t>、Cl</w:t>
            </w:r>
            <w:r>
              <w:rPr>
                <w:rFonts w:hint="eastAsia"/>
                <w:vertAlign w:val="superscript"/>
              </w:rPr>
              <w:t>-</w:t>
            </w:r>
            <w:r>
              <w:rPr>
                <w:rFonts w:hint="eastAsia"/>
              </w:rPr>
              <w:t>、NO</w:t>
            </w:r>
            <w:r>
              <w:rPr>
                <w:rFonts w:hint="eastAsia"/>
                <w:vertAlign w:val="subscript"/>
              </w:rPr>
              <w:t>2</w:t>
            </w:r>
            <w:r>
              <w:rPr>
                <w:rFonts w:hint="eastAsia"/>
                <w:vertAlign w:val="superscript"/>
              </w:rPr>
              <w:t>-</w:t>
            </w:r>
            <w:r>
              <w:rPr>
                <w:rFonts w:hint="eastAsia"/>
              </w:rPr>
              <w:t>、Br</w:t>
            </w:r>
            <w:r>
              <w:rPr>
                <w:rFonts w:hint="eastAsia"/>
                <w:vertAlign w:val="superscript"/>
              </w:rPr>
              <w:t>-</w:t>
            </w:r>
            <w:r>
              <w:rPr>
                <w:rFonts w:hint="eastAsia"/>
              </w:rPr>
              <w:t>、NO</w:t>
            </w:r>
            <w:r>
              <w:rPr>
                <w:rFonts w:hint="eastAsia"/>
                <w:vertAlign w:val="subscript"/>
              </w:rPr>
              <w:t>3</w:t>
            </w:r>
            <w:r>
              <w:rPr>
                <w:rFonts w:hint="eastAsia"/>
                <w:vertAlign w:val="superscript"/>
              </w:rPr>
              <w:t>-</w:t>
            </w:r>
            <w:r>
              <w:rPr>
                <w:rFonts w:hint="eastAsia"/>
              </w:rPr>
              <w:t>、PO</w:t>
            </w:r>
            <w:r>
              <w:rPr>
                <w:rFonts w:hint="eastAsia"/>
                <w:vertAlign w:val="subscript"/>
              </w:rPr>
              <w:t>4</w:t>
            </w:r>
            <w:r>
              <w:rPr>
                <w:rFonts w:hint="eastAsia"/>
                <w:vertAlign w:val="superscript"/>
              </w:rPr>
              <w:t>3-</w:t>
            </w:r>
            <w:r>
              <w:rPr>
                <w:rFonts w:hint="eastAsia"/>
              </w:rPr>
              <w:t>、SO</w:t>
            </w:r>
            <w:r>
              <w:rPr>
                <w:rFonts w:hint="eastAsia"/>
                <w:vertAlign w:val="subscript"/>
              </w:rPr>
              <w:t>3</w:t>
            </w:r>
            <w:r>
              <w:rPr>
                <w:rFonts w:hint="eastAsia"/>
                <w:vertAlign w:val="superscript"/>
              </w:rPr>
              <w:t>2-</w:t>
            </w:r>
            <w:r>
              <w:rPr>
                <w:rFonts w:hint="eastAsia"/>
              </w:rPr>
              <w:t>、SO</w:t>
            </w:r>
            <w:r>
              <w:rPr>
                <w:rFonts w:hint="eastAsia"/>
                <w:vertAlign w:val="subscript"/>
              </w:rPr>
              <w:t>4</w:t>
            </w:r>
            <w:r>
              <w:rPr>
                <w:rFonts w:hint="eastAsia"/>
                <w:vertAlign w:val="superscript"/>
              </w:rPr>
              <w:t>2-</w:t>
            </w:r>
            <w:r>
              <w:rPr>
                <w:rFonts w:hint="eastAsia"/>
              </w:rPr>
              <w:t>）的测定 离子色谱法》  （HJ 84-2016）</w:t>
            </w:r>
          </w:p>
        </w:tc>
      </w:tr>
      <w:tr w14:paraId="120CF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049" w:type="pct"/>
            <w:vAlign w:val="center"/>
          </w:tcPr>
          <w:p w14:paraId="162471F6">
            <w:pPr>
              <w:pStyle w:val="61"/>
              <w:spacing w:line="300" w:lineRule="exact"/>
              <w:rPr>
                <w:lang w:val="zh-CN"/>
              </w:rPr>
            </w:pPr>
            <w:r>
              <w:rPr>
                <w:rFonts w:hint="eastAsia" w:ascii="宋体" w:hAnsi="TimesNewRomanPSMT" w:cs="宋体"/>
                <w:szCs w:val="21"/>
              </w:rPr>
              <w:t>氨氮</w:t>
            </w:r>
          </w:p>
        </w:tc>
        <w:tc>
          <w:tcPr>
            <w:tcW w:w="3950" w:type="pct"/>
            <w:vAlign w:val="center"/>
          </w:tcPr>
          <w:p w14:paraId="705349A0">
            <w:pPr>
              <w:pStyle w:val="61"/>
              <w:spacing w:line="300" w:lineRule="exact"/>
              <w:rPr>
                <w:lang w:val="zh-CN"/>
              </w:rPr>
            </w:pPr>
            <w:r>
              <w:rPr>
                <w:rFonts w:hint="eastAsia"/>
                <w:lang w:val="zh-CN"/>
              </w:rPr>
              <w:t>《水质 氨氮的测定 纳氏试剂分光光度法》  （HJ 535-2009）</w:t>
            </w:r>
          </w:p>
        </w:tc>
      </w:tr>
      <w:tr w14:paraId="404724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049" w:type="pct"/>
            <w:vAlign w:val="center"/>
          </w:tcPr>
          <w:p w14:paraId="2D6D8B17">
            <w:pPr>
              <w:pStyle w:val="61"/>
              <w:spacing w:line="300" w:lineRule="exact"/>
            </w:pPr>
            <w:r>
              <w:rPr>
                <w:rFonts w:hint="eastAsia"/>
              </w:rPr>
              <w:t>总磷</w:t>
            </w:r>
          </w:p>
        </w:tc>
        <w:tc>
          <w:tcPr>
            <w:tcW w:w="3950" w:type="pct"/>
            <w:vAlign w:val="center"/>
          </w:tcPr>
          <w:p w14:paraId="4D67D1BD">
            <w:pPr>
              <w:pStyle w:val="61"/>
              <w:spacing w:line="300" w:lineRule="exact"/>
              <w:rPr>
                <w:lang w:val="zh-CN"/>
              </w:rPr>
            </w:pPr>
            <w:r>
              <w:rPr>
                <w:rFonts w:hint="eastAsia"/>
                <w:lang w:val="zh-CN"/>
              </w:rPr>
              <w:t>《水质</w:t>
            </w:r>
            <w:r>
              <w:rPr>
                <w:rFonts w:hint="eastAsia"/>
              </w:rPr>
              <w:t xml:space="preserve">  </w:t>
            </w:r>
            <w:r>
              <w:rPr>
                <w:rFonts w:hint="eastAsia"/>
                <w:lang w:val="zh-CN"/>
              </w:rPr>
              <w:t>总磷的测定</w:t>
            </w:r>
            <w:r>
              <w:rPr>
                <w:rFonts w:hint="eastAsia"/>
              </w:rPr>
              <w:t xml:space="preserve">  </w:t>
            </w:r>
            <w:r>
              <w:rPr>
                <w:rFonts w:hint="eastAsia"/>
                <w:lang w:val="zh-CN"/>
              </w:rPr>
              <w:t>钼酸铵分光光度法》（GB/T 11893-1989）</w:t>
            </w:r>
          </w:p>
        </w:tc>
      </w:tr>
      <w:tr w14:paraId="6AEE0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4589577F">
            <w:pPr>
              <w:pStyle w:val="61"/>
              <w:spacing w:line="300" w:lineRule="exact"/>
            </w:pPr>
            <w:r>
              <w:rPr>
                <w:rFonts w:hint="eastAsia"/>
              </w:rPr>
              <w:t>硝酸盐氮</w:t>
            </w:r>
          </w:p>
        </w:tc>
        <w:tc>
          <w:tcPr>
            <w:tcW w:w="3950" w:type="pct"/>
            <w:vAlign w:val="center"/>
          </w:tcPr>
          <w:p w14:paraId="6C2B8003">
            <w:pPr>
              <w:pStyle w:val="61"/>
              <w:spacing w:line="300" w:lineRule="exact"/>
              <w:rPr>
                <w:lang w:val="zh-CN"/>
              </w:rPr>
            </w:pPr>
            <w:r>
              <w:rPr>
                <w:rFonts w:hint="eastAsia"/>
              </w:rPr>
              <w:t>《水质 硝酸盐氮的测定 紫外分光光度法（试行）》（ HJ/T 346-2007）</w:t>
            </w:r>
          </w:p>
        </w:tc>
      </w:tr>
      <w:tr w14:paraId="4EF38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34F3D4B3">
            <w:pPr>
              <w:pStyle w:val="61"/>
              <w:spacing w:line="300" w:lineRule="exact"/>
            </w:pPr>
            <w:r>
              <w:rPr>
                <w:rFonts w:hint="eastAsia" w:ascii="宋体" w:hAnsi="TimesNewRomanPSMT" w:cs="宋体"/>
                <w:szCs w:val="21"/>
              </w:rPr>
              <w:t>亚硝酸盐氮</w:t>
            </w:r>
          </w:p>
        </w:tc>
        <w:tc>
          <w:tcPr>
            <w:tcW w:w="3950" w:type="pct"/>
            <w:vAlign w:val="center"/>
          </w:tcPr>
          <w:p w14:paraId="497890A2">
            <w:pPr>
              <w:pStyle w:val="61"/>
              <w:spacing w:line="300" w:lineRule="exact"/>
              <w:rPr>
                <w:lang w:val="zh-CN"/>
              </w:rPr>
            </w:pPr>
            <w:r>
              <w:rPr>
                <w:rFonts w:hint="eastAsia"/>
              </w:rPr>
              <w:t>《水质  亚硝酸盐氮的测定  分光光度法》（</w:t>
            </w:r>
            <w:r>
              <w:t>GB/T 7493-1987</w:t>
            </w:r>
            <w:r>
              <w:rPr>
                <w:rFonts w:hint="eastAsia"/>
              </w:rPr>
              <w:t xml:space="preserve">） </w:t>
            </w:r>
          </w:p>
        </w:tc>
      </w:tr>
      <w:tr w14:paraId="20CD2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16E17810">
            <w:pPr>
              <w:pStyle w:val="61"/>
              <w:spacing w:line="300" w:lineRule="exact"/>
            </w:pPr>
            <w:r>
              <w:rPr>
                <w:rFonts w:hint="eastAsia" w:ascii="宋体" w:hAnsi="TimesNewRomanPSMT" w:cs="宋体"/>
                <w:szCs w:val="21"/>
              </w:rPr>
              <w:t>挥发性酚类</w:t>
            </w:r>
          </w:p>
        </w:tc>
        <w:tc>
          <w:tcPr>
            <w:tcW w:w="3950" w:type="pct"/>
            <w:vAlign w:val="center"/>
          </w:tcPr>
          <w:p w14:paraId="451D0FF2">
            <w:pPr>
              <w:pStyle w:val="61"/>
              <w:spacing w:line="300" w:lineRule="exact"/>
              <w:rPr>
                <w:lang w:val="zh-CN"/>
              </w:rPr>
            </w:pPr>
            <w:r>
              <w:rPr>
                <w:rFonts w:hint="eastAsia"/>
                <w:lang w:val="zh-CN"/>
              </w:rPr>
              <w:t>《水质 挥发酚的测定</w:t>
            </w:r>
            <w:r>
              <w:rPr>
                <w:rFonts w:hint="eastAsia"/>
              </w:rPr>
              <w:t xml:space="preserve">  </w:t>
            </w:r>
            <w:r>
              <w:rPr>
                <w:rFonts w:hint="eastAsia"/>
                <w:lang w:val="zh-CN"/>
              </w:rPr>
              <w:t xml:space="preserve"> 4-氨基安替比林分光光度法》  （HJ 503-2009）</w:t>
            </w:r>
          </w:p>
        </w:tc>
      </w:tr>
      <w:tr w14:paraId="288F3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724D0069">
            <w:pPr>
              <w:pStyle w:val="61"/>
              <w:spacing w:line="300" w:lineRule="exact"/>
            </w:pPr>
            <w:r>
              <w:rPr>
                <w:rFonts w:hint="eastAsia"/>
              </w:rPr>
              <w:t>总硬度</w:t>
            </w:r>
          </w:p>
        </w:tc>
        <w:tc>
          <w:tcPr>
            <w:tcW w:w="3950" w:type="pct"/>
            <w:vAlign w:val="center"/>
          </w:tcPr>
          <w:p w14:paraId="253C799D">
            <w:pPr>
              <w:pStyle w:val="61"/>
              <w:spacing w:line="300" w:lineRule="exact"/>
              <w:rPr>
                <w:lang w:val="zh-CN"/>
              </w:rPr>
            </w:pPr>
            <w:r>
              <w:rPr>
                <w:rFonts w:hint="eastAsia"/>
                <w:lang w:val="zh-CN"/>
              </w:rPr>
              <w:t>《水质</w:t>
            </w:r>
            <w:r>
              <w:rPr>
                <w:rFonts w:hint="eastAsia"/>
              </w:rPr>
              <w:t xml:space="preserve">  </w:t>
            </w:r>
            <w:r>
              <w:rPr>
                <w:rFonts w:hint="eastAsia"/>
                <w:lang w:val="zh-CN"/>
              </w:rPr>
              <w:t>钙和镁总量的测定</w:t>
            </w:r>
            <w:r>
              <w:rPr>
                <w:rFonts w:hint="eastAsia"/>
              </w:rPr>
              <w:t xml:space="preserve">  </w:t>
            </w:r>
            <w:r>
              <w:rPr>
                <w:rFonts w:hint="eastAsia"/>
                <w:lang w:val="zh-CN"/>
              </w:rPr>
              <w:t>EDTA 滴定法》（GB/T 7477-1987）</w:t>
            </w:r>
          </w:p>
        </w:tc>
      </w:tr>
      <w:tr w14:paraId="264AB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0E6399CB">
            <w:pPr>
              <w:pStyle w:val="61"/>
              <w:spacing w:line="300" w:lineRule="exact"/>
              <w:rPr>
                <w:lang w:val="zh-CN"/>
              </w:rPr>
            </w:pPr>
            <w:r>
              <w:rPr>
                <w:rFonts w:hint="eastAsia"/>
                <w:lang w:val="zh-CN"/>
              </w:rPr>
              <w:t>溶解性</w:t>
            </w:r>
            <w:r>
              <w:rPr>
                <w:rFonts w:hint="eastAsia"/>
              </w:rPr>
              <w:t>总</w:t>
            </w:r>
            <w:r>
              <w:rPr>
                <w:rFonts w:hint="eastAsia"/>
                <w:lang w:val="zh-CN"/>
              </w:rPr>
              <w:t>固体</w:t>
            </w:r>
          </w:p>
        </w:tc>
        <w:tc>
          <w:tcPr>
            <w:tcW w:w="3950" w:type="pct"/>
            <w:vAlign w:val="center"/>
          </w:tcPr>
          <w:p w14:paraId="365F071F">
            <w:pPr>
              <w:pStyle w:val="61"/>
              <w:spacing w:line="300" w:lineRule="exact"/>
              <w:rPr>
                <w:lang w:val="zh-CN"/>
              </w:rPr>
            </w:pPr>
            <w:r>
              <w:rPr>
                <w:rFonts w:hint="eastAsia"/>
                <w:lang w:val="zh-CN"/>
              </w:rPr>
              <w:t>《地下水质分析方法</w:t>
            </w:r>
            <w:r>
              <w:rPr>
                <w:rFonts w:hint="eastAsia"/>
              </w:rPr>
              <w:t xml:space="preserve">  </w:t>
            </w:r>
            <w:r>
              <w:rPr>
                <w:rFonts w:hint="eastAsia"/>
                <w:lang w:val="zh-CN"/>
              </w:rPr>
              <w:t>第9 部分：溶解性固体总量的测定</w:t>
            </w:r>
            <w:r>
              <w:rPr>
                <w:rFonts w:hint="eastAsia"/>
              </w:rPr>
              <w:t xml:space="preserve">  </w:t>
            </w:r>
            <w:r>
              <w:rPr>
                <w:rFonts w:hint="eastAsia"/>
                <w:lang w:val="zh-CN"/>
              </w:rPr>
              <w:t>重量法》</w:t>
            </w:r>
          </w:p>
          <w:p w14:paraId="76B7BCC8">
            <w:pPr>
              <w:pStyle w:val="61"/>
              <w:spacing w:line="300" w:lineRule="exact"/>
              <w:rPr>
                <w:lang w:val="zh-CN"/>
              </w:rPr>
            </w:pPr>
            <w:r>
              <w:rPr>
                <w:rFonts w:hint="eastAsia"/>
                <w:lang w:val="zh-CN"/>
              </w:rPr>
              <w:t>（DZ/T 0064.9-2021）</w:t>
            </w:r>
          </w:p>
        </w:tc>
      </w:tr>
      <w:tr w14:paraId="054428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59CE85B9">
            <w:pPr>
              <w:pStyle w:val="61"/>
              <w:spacing w:line="300" w:lineRule="exact"/>
            </w:pPr>
            <w:r>
              <w:rPr>
                <w:rFonts w:hint="eastAsia"/>
              </w:rPr>
              <w:t>耗氧量</w:t>
            </w:r>
          </w:p>
        </w:tc>
        <w:tc>
          <w:tcPr>
            <w:tcW w:w="3950" w:type="pct"/>
            <w:vAlign w:val="center"/>
          </w:tcPr>
          <w:p w14:paraId="2D40F1DC">
            <w:pPr>
              <w:pStyle w:val="61"/>
              <w:spacing w:line="300" w:lineRule="exact"/>
              <w:rPr>
                <w:lang w:val="zh-CN"/>
              </w:rPr>
            </w:pPr>
            <w:r>
              <w:rPr>
                <w:rFonts w:hint="eastAsia"/>
                <w:lang w:val="zh-CN"/>
              </w:rPr>
              <w:t>《地下水质分析方法</w:t>
            </w:r>
            <w:r>
              <w:rPr>
                <w:rFonts w:hint="eastAsia"/>
              </w:rPr>
              <w:t xml:space="preserve">  </w:t>
            </w:r>
            <w:r>
              <w:rPr>
                <w:rFonts w:hint="eastAsia"/>
                <w:lang w:val="zh-CN"/>
              </w:rPr>
              <w:t>第68 部分：耗氧量的测定</w:t>
            </w:r>
            <w:r>
              <w:rPr>
                <w:rFonts w:hint="eastAsia"/>
              </w:rPr>
              <w:t xml:space="preserve">  </w:t>
            </w:r>
            <w:r>
              <w:rPr>
                <w:rFonts w:hint="eastAsia"/>
                <w:lang w:val="zh-CN"/>
              </w:rPr>
              <w:t>酸性高锰酸钾滴定法》</w:t>
            </w:r>
          </w:p>
          <w:p w14:paraId="07AC5607">
            <w:pPr>
              <w:pStyle w:val="61"/>
              <w:spacing w:line="300" w:lineRule="exact"/>
              <w:rPr>
                <w:lang w:val="zh-CN"/>
              </w:rPr>
            </w:pPr>
            <w:r>
              <w:rPr>
                <w:rFonts w:hint="eastAsia"/>
                <w:lang w:val="zh-CN"/>
              </w:rPr>
              <w:t>（DZ/T 0064.68-2021）</w:t>
            </w:r>
          </w:p>
        </w:tc>
      </w:tr>
      <w:tr w14:paraId="7AC43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7BFF1599">
            <w:pPr>
              <w:pStyle w:val="61"/>
              <w:spacing w:line="300" w:lineRule="exact"/>
            </w:pPr>
            <w:r>
              <w:rPr>
                <w:rFonts w:hint="eastAsia"/>
              </w:rPr>
              <w:t>硫酸盐</w:t>
            </w:r>
          </w:p>
        </w:tc>
        <w:tc>
          <w:tcPr>
            <w:tcW w:w="3950" w:type="pct"/>
            <w:vAlign w:val="center"/>
          </w:tcPr>
          <w:p w14:paraId="47268E09">
            <w:pPr>
              <w:pStyle w:val="61"/>
              <w:spacing w:line="300" w:lineRule="exact"/>
              <w:rPr>
                <w:lang w:val="zh-CN"/>
              </w:rPr>
            </w:pPr>
            <w:r>
              <w:rPr>
                <w:rFonts w:hint="eastAsia"/>
                <w:lang w:val="zh-CN"/>
              </w:rPr>
              <w:t>《水质</w:t>
            </w:r>
            <w:r>
              <w:rPr>
                <w:rFonts w:hint="eastAsia"/>
              </w:rPr>
              <w:t xml:space="preserve">  </w:t>
            </w:r>
            <w:r>
              <w:rPr>
                <w:rFonts w:hint="eastAsia"/>
                <w:lang w:val="zh-CN"/>
              </w:rPr>
              <w:t>硫酸盐的测定</w:t>
            </w:r>
            <w:r>
              <w:rPr>
                <w:rFonts w:hint="eastAsia"/>
              </w:rPr>
              <w:t xml:space="preserve">  </w:t>
            </w:r>
            <w:r>
              <w:rPr>
                <w:rFonts w:hint="eastAsia"/>
                <w:lang w:val="zh-CN"/>
              </w:rPr>
              <w:t>铬酸钡分光光度法（试行）》（ HJ/T 342-2007）</w:t>
            </w:r>
          </w:p>
        </w:tc>
      </w:tr>
      <w:tr w14:paraId="609006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2AF98BA9">
            <w:pPr>
              <w:pStyle w:val="61"/>
              <w:spacing w:line="300" w:lineRule="exact"/>
            </w:pPr>
            <w:r>
              <w:rPr>
                <w:rFonts w:hint="eastAsia"/>
              </w:rPr>
              <w:t>氯化物</w:t>
            </w:r>
          </w:p>
        </w:tc>
        <w:tc>
          <w:tcPr>
            <w:tcW w:w="3950" w:type="pct"/>
            <w:vAlign w:val="center"/>
          </w:tcPr>
          <w:p w14:paraId="50098226">
            <w:pPr>
              <w:pStyle w:val="61"/>
              <w:spacing w:line="300" w:lineRule="exact"/>
              <w:rPr>
                <w:lang w:val="zh-CN"/>
              </w:rPr>
            </w:pPr>
            <w:r>
              <w:rPr>
                <w:rFonts w:hint="eastAsia"/>
                <w:lang w:val="zh-CN"/>
              </w:rPr>
              <w:t>《水质</w:t>
            </w:r>
            <w:r>
              <w:rPr>
                <w:rFonts w:hint="eastAsia"/>
              </w:rPr>
              <w:t xml:space="preserve">  </w:t>
            </w:r>
            <w:r>
              <w:rPr>
                <w:rFonts w:hint="eastAsia"/>
                <w:lang w:val="zh-CN"/>
              </w:rPr>
              <w:t>氯化物的测定</w:t>
            </w:r>
            <w:r>
              <w:rPr>
                <w:rFonts w:hint="eastAsia"/>
              </w:rPr>
              <w:t xml:space="preserve">  </w:t>
            </w:r>
            <w:r>
              <w:rPr>
                <w:rFonts w:hint="eastAsia"/>
                <w:lang w:val="zh-CN"/>
              </w:rPr>
              <w:t>硝酸银滴定法》（GB/T 11896-1989）</w:t>
            </w:r>
          </w:p>
        </w:tc>
      </w:tr>
      <w:tr w14:paraId="2477E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5CA748B3">
            <w:pPr>
              <w:pStyle w:val="61"/>
              <w:spacing w:line="300" w:lineRule="exact"/>
            </w:pPr>
            <w:r>
              <w:rPr>
                <w:rFonts w:hint="eastAsia"/>
                <w:lang w:val="zh-CN"/>
              </w:rPr>
              <w:t>氟化物</w:t>
            </w:r>
          </w:p>
        </w:tc>
        <w:tc>
          <w:tcPr>
            <w:tcW w:w="3950" w:type="pct"/>
            <w:vAlign w:val="center"/>
          </w:tcPr>
          <w:p w14:paraId="7C3A9766">
            <w:pPr>
              <w:pStyle w:val="61"/>
              <w:spacing w:line="300" w:lineRule="exact"/>
              <w:rPr>
                <w:lang w:val="zh-CN"/>
              </w:rPr>
            </w:pPr>
            <w:r>
              <w:rPr>
                <w:rFonts w:hint="eastAsia"/>
                <w:lang w:val="zh-CN"/>
              </w:rPr>
              <w:t>水质 氟化物的测定 离子选择电极法 （GB/T 7484-1987）</w:t>
            </w:r>
          </w:p>
        </w:tc>
      </w:tr>
      <w:tr w14:paraId="09A1D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007EC722">
            <w:pPr>
              <w:pStyle w:val="61"/>
              <w:spacing w:line="300" w:lineRule="exact"/>
            </w:pPr>
            <w:r>
              <w:rPr>
                <w:rFonts w:hint="eastAsia"/>
                <w:lang w:val="zh-CN"/>
              </w:rPr>
              <w:t>六价铬</w:t>
            </w:r>
          </w:p>
        </w:tc>
        <w:tc>
          <w:tcPr>
            <w:tcW w:w="3950" w:type="pct"/>
            <w:vAlign w:val="center"/>
          </w:tcPr>
          <w:p w14:paraId="40929DD6">
            <w:pPr>
              <w:pStyle w:val="61"/>
              <w:spacing w:line="300" w:lineRule="exact"/>
              <w:rPr>
                <w:lang w:val="zh-CN"/>
              </w:rPr>
            </w:pPr>
            <w:r>
              <w:rPr>
                <w:rFonts w:hint="eastAsia"/>
                <w:lang w:val="zh-CN"/>
              </w:rPr>
              <w:t>《地下水质分析方法</w:t>
            </w:r>
            <w:r>
              <w:rPr>
                <w:rFonts w:hint="eastAsia"/>
              </w:rPr>
              <w:t xml:space="preserve">  </w:t>
            </w:r>
            <w:r>
              <w:rPr>
                <w:rFonts w:hint="eastAsia"/>
                <w:lang w:val="zh-CN"/>
              </w:rPr>
              <w:t>第17 部分：总铬和六价铬量的测定</w:t>
            </w:r>
            <w:r>
              <w:rPr>
                <w:rFonts w:hint="eastAsia"/>
              </w:rPr>
              <w:t xml:space="preserve">  </w:t>
            </w:r>
            <w:r>
              <w:rPr>
                <w:rFonts w:hint="eastAsia"/>
                <w:lang w:val="zh-CN"/>
              </w:rPr>
              <w:t>二苯碳酰二肼分光光度法》（DZ/T 0064.17-2021）</w:t>
            </w:r>
          </w:p>
        </w:tc>
      </w:tr>
      <w:tr w14:paraId="6BB52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2B33CB43">
            <w:pPr>
              <w:pStyle w:val="61"/>
              <w:spacing w:line="300" w:lineRule="exact"/>
            </w:pPr>
            <w:r>
              <w:rPr>
                <w:rFonts w:hint="eastAsia"/>
                <w:lang w:val="zh-CN"/>
              </w:rPr>
              <w:t>砷</w:t>
            </w:r>
          </w:p>
        </w:tc>
        <w:tc>
          <w:tcPr>
            <w:tcW w:w="3950" w:type="pct"/>
            <w:vAlign w:val="center"/>
          </w:tcPr>
          <w:p w14:paraId="32CF5368">
            <w:pPr>
              <w:pStyle w:val="61"/>
              <w:spacing w:line="300" w:lineRule="exact"/>
              <w:rPr>
                <w:lang w:val="zh-CN"/>
              </w:rPr>
            </w:pPr>
            <w:r>
              <w:rPr>
                <w:rFonts w:hint="eastAsia"/>
                <w:lang w:val="zh-CN"/>
              </w:rPr>
              <w:t xml:space="preserve">《水质 </w:t>
            </w:r>
            <w:r>
              <w:rPr>
                <w:rFonts w:hint="eastAsia"/>
              </w:rPr>
              <w:t xml:space="preserve"> </w:t>
            </w:r>
            <w:r>
              <w:rPr>
                <w:rFonts w:hint="eastAsia"/>
                <w:lang w:val="zh-CN"/>
              </w:rPr>
              <w:t>汞、砷、硒、铋和锑的测定</w:t>
            </w:r>
            <w:r>
              <w:rPr>
                <w:rFonts w:hint="eastAsia"/>
              </w:rPr>
              <w:t xml:space="preserve"> </w:t>
            </w:r>
            <w:r>
              <w:rPr>
                <w:rFonts w:hint="eastAsia"/>
                <w:lang w:val="zh-CN"/>
              </w:rPr>
              <w:t xml:space="preserve"> 原子荧光法  》（HJ 694-2014）</w:t>
            </w:r>
          </w:p>
        </w:tc>
      </w:tr>
      <w:tr w14:paraId="22740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16C85DE1">
            <w:pPr>
              <w:pStyle w:val="61"/>
              <w:spacing w:line="300" w:lineRule="exact"/>
            </w:pPr>
            <w:r>
              <w:rPr>
                <w:rFonts w:hint="eastAsia"/>
                <w:lang w:val="zh-CN"/>
              </w:rPr>
              <w:t>铅、</w:t>
            </w:r>
            <w:r>
              <w:rPr>
                <w:rFonts w:hint="eastAsia"/>
              </w:rPr>
              <w:t>铜</w:t>
            </w:r>
          </w:p>
        </w:tc>
        <w:tc>
          <w:tcPr>
            <w:tcW w:w="3950" w:type="pct"/>
            <w:vAlign w:val="center"/>
          </w:tcPr>
          <w:p w14:paraId="4415FB01">
            <w:pPr>
              <w:pStyle w:val="61"/>
              <w:spacing w:line="300" w:lineRule="exact"/>
              <w:rPr>
                <w:lang w:val="zh-CN"/>
              </w:rPr>
            </w:pPr>
            <w:r>
              <w:rPr>
                <w:rFonts w:hint="eastAsia"/>
                <w:lang w:val="zh-CN"/>
              </w:rPr>
              <w:t xml:space="preserve"> 石墨炉原子吸收法《水和废水监测分析方法》 （第四版增补版）国家环境</w:t>
            </w:r>
          </w:p>
          <w:p w14:paraId="06868274">
            <w:pPr>
              <w:pStyle w:val="61"/>
              <w:spacing w:line="300" w:lineRule="exact"/>
              <w:rPr>
                <w:lang w:val="zh-CN"/>
              </w:rPr>
            </w:pPr>
            <w:r>
              <w:rPr>
                <w:rFonts w:hint="eastAsia"/>
                <w:lang w:val="zh-CN"/>
              </w:rPr>
              <w:t>保护总局（2002 年）3.4.7.4</w:t>
            </w:r>
          </w:p>
        </w:tc>
      </w:tr>
      <w:tr w14:paraId="4D190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7BD4F5D8">
            <w:pPr>
              <w:pStyle w:val="61"/>
              <w:spacing w:line="300" w:lineRule="exact"/>
            </w:pPr>
            <w:r>
              <w:rPr>
                <w:rFonts w:hint="eastAsia"/>
              </w:rPr>
              <w:t>铁、锰</w:t>
            </w:r>
          </w:p>
        </w:tc>
        <w:tc>
          <w:tcPr>
            <w:tcW w:w="3950" w:type="pct"/>
            <w:vAlign w:val="center"/>
          </w:tcPr>
          <w:p w14:paraId="1D6F2BE5">
            <w:pPr>
              <w:pStyle w:val="61"/>
              <w:spacing w:line="300" w:lineRule="exact"/>
              <w:rPr>
                <w:lang w:val="zh-CN"/>
              </w:rPr>
            </w:pPr>
            <w:r>
              <w:rPr>
                <w:rFonts w:hint="eastAsia"/>
              </w:rPr>
              <w:t>《水质  铁、锰的测定  火焰原子吸收分光光度法》（GB/T 11911-1989）</w:t>
            </w:r>
          </w:p>
        </w:tc>
      </w:tr>
      <w:tr w14:paraId="4EFE4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4E13B21B">
            <w:pPr>
              <w:pStyle w:val="61"/>
              <w:spacing w:line="300" w:lineRule="exact"/>
            </w:pPr>
            <w:r>
              <w:rPr>
                <w:rFonts w:hint="eastAsia"/>
              </w:rPr>
              <w:t>锌</w:t>
            </w:r>
          </w:p>
        </w:tc>
        <w:tc>
          <w:tcPr>
            <w:tcW w:w="3950" w:type="pct"/>
            <w:vAlign w:val="center"/>
          </w:tcPr>
          <w:p w14:paraId="4E9E91A1">
            <w:pPr>
              <w:pStyle w:val="61"/>
              <w:spacing w:line="300" w:lineRule="exact"/>
            </w:pPr>
            <w:r>
              <w:rPr>
                <w:rFonts w:hint="eastAsia"/>
              </w:rPr>
              <w:t>直接法《水质  铜、锌、铅、镉的测定  原子吸收分光光度法》</w:t>
            </w:r>
          </w:p>
          <w:p w14:paraId="19C1A8BE">
            <w:pPr>
              <w:pStyle w:val="61"/>
              <w:spacing w:line="300" w:lineRule="exact"/>
              <w:rPr>
                <w:lang w:val="zh-CN"/>
              </w:rPr>
            </w:pPr>
            <w:r>
              <w:rPr>
                <w:rFonts w:hint="eastAsia"/>
              </w:rPr>
              <w:t>（GB/T 7475-1987）</w:t>
            </w:r>
          </w:p>
        </w:tc>
      </w:tr>
      <w:tr w14:paraId="17A920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4CA73C6E">
            <w:pPr>
              <w:pStyle w:val="61"/>
              <w:spacing w:line="300" w:lineRule="exact"/>
            </w:pPr>
            <w:r>
              <w:rPr>
                <w:rFonts w:hint="eastAsia"/>
              </w:rPr>
              <w:t>总大肠菌群</w:t>
            </w:r>
          </w:p>
        </w:tc>
        <w:tc>
          <w:tcPr>
            <w:tcW w:w="3950" w:type="pct"/>
            <w:vAlign w:val="center"/>
          </w:tcPr>
          <w:p w14:paraId="126A1CE4">
            <w:pPr>
              <w:pStyle w:val="61"/>
              <w:spacing w:line="300" w:lineRule="exact"/>
              <w:rPr>
                <w:lang w:val="zh-CN"/>
              </w:rPr>
            </w:pPr>
            <w:r>
              <w:rPr>
                <w:rFonts w:hint="eastAsia"/>
              </w:rPr>
              <w:t>《水和废水监测分析方法》（第四版增补版） 国家环境保护总局（2002年）5.2.5.1 多管发酵法</w:t>
            </w:r>
          </w:p>
        </w:tc>
      </w:tr>
      <w:tr w14:paraId="546F1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06B350A7">
            <w:pPr>
              <w:pStyle w:val="61"/>
              <w:spacing w:line="300" w:lineRule="exact"/>
            </w:pPr>
            <w:r>
              <w:rPr>
                <w:rFonts w:hint="eastAsia"/>
              </w:rPr>
              <w:t>细菌总数</w:t>
            </w:r>
          </w:p>
        </w:tc>
        <w:tc>
          <w:tcPr>
            <w:tcW w:w="3950" w:type="pct"/>
            <w:vAlign w:val="center"/>
          </w:tcPr>
          <w:p w14:paraId="7D371A06">
            <w:pPr>
              <w:pStyle w:val="61"/>
              <w:spacing w:line="300" w:lineRule="exact"/>
              <w:rPr>
                <w:lang w:val="zh-CN"/>
              </w:rPr>
            </w:pPr>
            <w:r>
              <w:rPr>
                <w:rFonts w:hint="eastAsia"/>
              </w:rPr>
              <w:t>《水质  细菌总数的测定 平皿计数法》（HJ 1000-2018）</w:t>
            </w:r>
          </w:p>
        </w:tc>
      </w:tr>
    </w:tbl>
    <w:p w14:paraId="6C255F9C">
      <w:pPr>
        <w:spacing w:line="480" w:lineRule="exact"/>
        <w:ind w:firstLine="480" w:firstLineChars="200"/>
      </w:pPr>
      <w:r>
        <w:rPr>
          <w:rFonts w:hint="eastAsia"/>
        </w:rPr>
        <w:t>（4）地下水环境质量现状监测与评价</w:t>
      </w:r>
    </w:p>
    <w:p w14:paraId="023C2849">
      <w:pPr>
        <w:spacing w:line="480" w:lineRule="exact"/>
        <w:ind w:firstLine="480" w:firstLineChars="200"/>
      </w:pPr>
      <w:r>
        <w:rPr>
          <w:rFonts w:hint="eastAsia" w:asciiTheme="minorEastAsia" w:hAnsiTheme="minorEastAsia"/>
        </w:rPr>
        <w:t>①</w:t>
      </w:r>
      <w:r>
        <w:rPr>
          <w:rFonts w:hint="eastAsia"/>
        </w:rPr>
        <w:t>评价标准</w:t>
      </w:r>
    </w:p>
    <w:p w14:paraId="0543B478">
      <w:pPr>
        <w:spacing w:line="480" w:lineRule="exact"/>
        <w:ind w:firstLine="480" w:firstLineChars="200"/>
      </w:pPr>
      <w:r>
        <w:rPr>
          <w:rFonts w:hint="eastAsia"/>
        </w:rPr>
        <w:t>地下水环境质量执行《地下水质量标准》（GB/T14848-2017），见表2.4-3。</w:t>
      </w:r>
    </w:p>
    <w:p w14:paraId="0FBA661D">
      <w:pPr>
        <w:spacing w:line="480" w:lineRule="exact"/>
        <w:ind w:firstLine="480" w:firstLineChars="200"/>
        <w:rPr>
          <w:rFonts w:asciiTheme="minorEastAsia" w:hAnsiTheme="minorEastAsia"/>
        </w:rPr>
      </w:pPr>
      <w:r>
        <w:rPr>
          <w:rFonts w:hint="eastAsia" w:asciiTheme="minorEastAsia" w:hAnsiTheme="minorEastAsia"/>
        </w:rPr>
        <w:t>②评价方法</w:t>
      </w:r>
    </w:p>
    <w:p w14:paraId="6236D61A">
      <w:pPr>
        <w:spacing w:line="480" w:lineRule="exact"/>
        <w:ind w:firstLine="480"/>
        <w:rPr>
          <w:rFonts w:ascii="Times New Roman"/>
          <w:bCs/>
          <w:color w:val="000000"/>
          <w:szCs w:val="24"/>
        </w:rPr>
      </w:pPr>
      <w:r>
        <w:rPr>
          <w:rFonts w:ascii="Times New Roman"/>
          <w:bCs/>
          <w:color w:val="000000"/>
          <w:szCs w:val="24"/>
        </w:rPr>
        <w:t>对于评价标准为定值的水质因子，其标准指数计算公式如下：</w:t>
      </w:r>
    </w:p>
    <w:p w14:paraId="24AF2A46">
      <w:pPr>
        <w:spacing w:line="480" w:lineRule="exact"/>
        <w:ind w:firstLine="3240" w:firstLineChars="1350"/>
        <w:rPr>
          <w:rFonts w:ascii="Times New Roman"/>
          <w:bCs/>
          <w:i/>
          <w:color w:val="000000"/>
          <w:szCs w:val="24"/>
          <w:vertAlign w:val="subscript"/>
        </w:rPr>
      </w:pPr>
      <w:r>
        <w:rPr>
          <w:rFonts w:ascii="Times New Roman"/>
          <w:bCs/>
          <w:i/>
          <w:color w:val="000000"/>
          <w:szCs w:val="24"/>
        </w:rPr>
        <w:t>P</w:t>
      </w:r>
      <w:r>
        <w:rPr>
          <w:rFonts w:ascii="Times New Roman"/>
          <w:bCs/>
          <w:i/>
          <w:color w:val="000000"/>
          <w:szCs w:val="24"/>
          <w:vertAlign w:val="subscript"/>
        </w:rPr>
        <w:t>i</w:t>
      </w:r>
      <w:r>
        <w:rPr>
          <w:rFonts w:ascii="Times New Roman"/>
          <w:bCs/>
          <w:i/>
          <w:color w:val="000000"/>
          <w:szCs w:val="24"/>
        </w:rPr>
        <w:t xml:space="preserve"> = C</w:t>
      </w:r>
      <w:r>
        <w:rPr>
          <w:rFonts w:ascii="Times New Roman"/>
          <w:bCs/>
          <w:i/>
          <w:color w:val="000000"/>
          <w:szCs w:val="24"/>
          <w:vertAlign w:val="subscript"/>
        </w:rPr>
        <w:t>i</w:t>
      </w:r>
      <w:r>
        <w:rPr>
          <w:rFonts w:ascii="Times New Roman"/>
          <w:bCs/>
          <w:i/>
          <w:color w:val="000000"/>
          <w:szCs w:val="24"/>
        </w:rPr>
        <w:t xml:space="preserve"> /C</w:t>
      </w:r>
      <w:r>
        <w:rPr>
          <w:rFonts w:ascii="Times New Roman"/>
          <w:bCs/>
          <w:i/>
          <w:color w:val="000000"/>
          <w:szCs w:val="24"/>
          <w:vertAlign w:val="subscript"/>
        </w:rPr>
        <w:t>si</w:t>
      </w:r>
    </w:p>
    <w:p w14:paraId="7536CACB">
      <w:pPr>
        <w:adjustRightInd w:val="0"/>
        <w:spacing w:line="480" w:lineRule="exact"/>
        <w:ind w:firstLine="480"/>
        <w:rPr>
          <w:rFonts w:ascii="Times New Roman"/>
          <w:color w:val="000000"/>
          <w:szCs w:val="24"/>
        </w:rPr>
      </w:pPr>
      <w:r>
        <w:rPr>
          <w:rFonts w:ascii="Times New Roman"/>
          <w:color w:val="000000"/>
          <w:szCs w:val="24"/>
        </w:rPr>
        <w:t>式中：</w:t>
      </w:r>
      <w:r>
        <w:rPr>
          <w:rFonts w:ascii="Times New Roman"/>
          <w:i/>
          <w:color w:val="000000"/>
          <w:szCs w:val="24"/>
        </w:rPr>
        <w:t>Pi</w:t>
      </w:r>
      <w:r>
        <w:rPr>
          <w:rFonts w:ascii="Times New Roman"/>
          <w:color w:val="000000"/>
          <w:szCs w:val="24"/>
        </w:rPr>
        <w:t>-第i个水质因子的标准指数，无量纲；</w:t>
      </w:r>
    </w:p>
    <w:p w14:paraId="0E4117AB">
      <w:pPr>
        <w:spacing w:line="480" w:lineRule="exact"/>
        <w:ind w:firstLine="480"/>
        <w:rPr>
          <w:rFonts w:ascii="Times New Roman"/>
          <w:color w:val="000000"/>
          <w:szCs w:val="24"/>
        </w:rPr>
      </w:pPr>
      <w:r>
        <w:rPr>
          <w:rFonts w:ascii="Times New Roman"/>
          <w:i/>
          <w:color w:val="000000"/>
          <w:szCs w:val="24"/>
        </w:rPr>
        <w:t>Ci</w:t>
      </w:r>
      <w:r>
        <w:rPr>
          <w:rFonts w:ascii="Times New Roman"/>
          <w:color w:val="000000"/>
          <w:szCs w:val="24"/>
        </w:rPr>
        <w:t>-第i个水质因子的监测浓度值，mg/L；</w:t>
      </w:r>
    </w:p>
    <w:p w14:paraId="6E78E904">
      <w:pPr>
        <w:spacing w:line="480" w:lineRule="exact"/>
        <w:ind w:firstLine="1200" w:firstLineChars="500"/>
        <w:rPr>
          <w:rFonts w:ascii="Times New Roman"/>
          <w:color w:val="000000"/>
          <w:szCs w:val="24"/>
        </w:rPr>
      </w:pPr>
      <w:r>
        <w:rPr>
          <w:rFonts w:ascii="Times New Roman"/>
          <w:i/>
          <w:color w:val="000000"/>
          <w:szCs w:val="24"/>
        </w:rPr>
        <w:t>Csi</w:t>
      </w:r>
      <w:r>
        <w:rPr>
          <w:rFonts w:ascii="Times New Roman"/>
          <w:color w:val="000000"/>
          <w:szCs w:val="24"/>
        </w:rPr>
        <w:t>-第i个水质因子的标准浓度值，mg/L。</w:t>
      </w:r>
    </w:p>
    <w:p w14:paraId="39BFD454">
      <w:pPr>
        <w:spacing w:line="480" w:lineRule="exact"/>
        <w:ind w:firstLine="480"/>
        <w:rPr>
          <w:rFonts w:ascii="Times New Roman"/>
          <w:bCs/>
          <w:color w:val="000000"/>
          <w:szCs w:val="24"/>
        </w:rPr>
      </w:pPr>
      <w:r>
        <w:rPr>
          <w:rFonts w:ascii="Times New Roman"/>
          <w:bCs/>
          <w:color w:val="000000"/>
          <w:szCs w:val="24"/>
        </w:rPr>
        <w:t>对于评价标准为区间值的水质因子（pH），其标准指数计算公式如下：</w:t>
      </w:r>
    </w:p>
    <w:p w14:paraId="3A45F1B3">
      <w:pPr>
        <w:adjustRightInd w:val="0"/>
        <w:spacing w:line="480" w:lineRule="exact"/>
        <w:jc w:val="center"/>
        <w:rPr>
          <w:rFonts w:ascii="Times New Roman"/>
          <w:bCs/>
          <w:color w:val="000000"/>
          <w:szCs w:val="24"/>
        </w:rPr>
      </w:pPr>
      <w:r>
        <w:rPr>
          <w:rFonts w:ascii="Times New Roman"/>
          <w:bCs/>
          <w:i/>
          <w:color w:val="000000"/>
          <w:szCs w:val="24"/>
        </w:rPr>
        <w:t>P</w:t>
      </w:r>
      <w:r>
        <w:rPr>
          <w:rFonts w:ascii="Times New Roman"/>
          <w:bCs/>
          <w:i/>
          <w:color w:val="000000"/>
          <w:szCs w:val="24"/>
          <w:vertAlign w:val="subscript"/>
        </w:rPr>
        <w:t>pH</w:t>
      </w:r>
      <w:r>
        <w:rPr>
          <w:rFonts w:ascii="Times New Roman"/>
          <w:bCs/>
          <w:i/>
          <w:color w:val="000000"/>
          <w:szCs w:val="24"/>
        </w:rPr>
        <w:t xml:space="preserve"> = </w:t>
      </w:r>
      <w:r>
        <w:rPr>
          <w:rFonts w:ascii="Times New Roman"/>
          <w:bCs/>
          <w:color w:val="000000"/>
          <w:szCs w:val="24"/>
        </w:rPr>
        <w:t>（</w:t>
      </w:r>
      <w:r>
        <w:rPr>
          <w:rFonts w:ascii="Times New Roman"/>
          <w:bCs/>
          <w:i/>
          <w:color w:val="000000"/>
          <w:szCs w:val="24"/>
        </w:rPr>
        <w:t>7.0-pH</w:t>
      </w:r>
      <w:r>
        <w:rPr>
          <w:rFonts w:ascii="Times New Roman"/>
          <w:bCs/>
          <w:color w:val="000000"/>
          <w:szCs w:val="24"/>
        </w:rPr>
        <w:t>） /（</w:t>
      </w:r>
      <w:r>
        <w:rPr>
          <w:rFonts w:ascii="Times New Roman"/>
          <w:bCs/>
          <w:i/>
          <w:color w:val="000000"/>
          <w:szCs w:val="24"/>
        </w:rPr>
        <w:t>7.0- pH</w:t>
      </w:r>
      <w:r>
        <w:rPr>
          <w:rFonts w:ascii="Times New Roman"/>
          <w:bCs/>
          <w:i/>
          <w:color w:val="000000"/>
          <w:szCs w:val="24"/>
          <w:vertAlign w:val="subscript"/>
        </w:rPr>
        <w:t>sd</w:t>
      </w:r>
      <w:r>
        <w:rPr>
          <w:rFonts w:ascii="Times New Roman"/>
          <w:bCs/>
          <w:color w:val="000000"/>
          <w:szCs w:val="24"/>
        </w:rPr>
        <w:t xml:space="preserve">）  </w:t>
      </w:r>
      <w:r>
        <w:rPr>
          <w:rFonts w:ascii="Times New Roman"/>
          <w:bCs/>
          <w:i/>
          <w:color w:val="000000"/>
          <w:szCs w:val="24"/>
        </w:rPr>
        <w:t>pH</w:t>
      </w:r>
      <w:r>
        <w:rPr>
          <w:rFonts w:ascii="Times New Roman"/>
          <w:bCs/>
          <w:color w:val="000000"/>
          <w:szCs w:val="24"/>
        </w:rPr>
        <w:t xml:space="preserve"> ≤7.0</w:t>
      </w:r>
    </w:p>
    <w:p w14:paraId="0E7AC684">
      <w:pPr>
        <w:adjustRightInd w:val="0"/>
        <w:spacing w:line="480" w:lineRule="exact"/>
        <w:jc w:val="center"/>
        <w:rPr>
          <w:rFonts w:ascii="Times New Roman"/>
          <w:bCs/>
          <w:i/>
          <w:color w:val="000000"/>
          <w:szCs w:val="24"/>
        </w:rPr>
      </w:pPr>
      <w:r>
        <w:rPr>
          <w:rFonts w:ascii="Times New Roman"/>
          <w:bCs/>
          <w:i/>
          <w:color w:val="000000"/>
          <w:szCs w:val="24"/>
        </w:rPr>
        <w:t>P</w:t>
      </w:r>
      <w:r>
        <w:rPr>
          <w:rFonts w:ascii="Times New Roman"/>
          <w:bCs/>
          <w:i/>
          <w:color w:val="000000"/>
          <w:szCs w:val="24"/>
          <w:vertAlign w:val="subscript"/>
        </w:rPr>
        <w:t xml:space="preserve">pH </w:t>
      </w:r>
      <w:r>
        <w:rPr>
          <w:rFonts w:ascii="Times New Roman"/>
          <w:bCs/>
          <w:i/>
          <w:color w:val="000000"/>
          <w:szCs w:val="24"/>
        </w:rPr>
        <w:t>= （pH -7.0） /（pH</w:t>
      </w:r>
      <w:r>
        <w:rPr>
          <w:rFonts w:ascii="Times New Roman"/>
          <w:bCs/>
          <w:i/>
          <w:color w:val="000000"/>
          <w:szCs w:val="24"/>
          <w:vertAlign w:val="subscript"/>
        </w:rPr>
        <w:t>su</w:t>
      </w:r>
      <w:r>
        <w:rPr>
          <w:rFonts w:ascii="Times New Roman"/>
          <w:bCs/>
          <w:i/>
          <w:color w:val="000000"/>
          <w:szCs w:val="24"/>
        </w:rPr>
        <w:t xml:space="preserve"> -7.0）  pH &gt;</w:t>
      </w:r>
      <w:r>
        <w:rPr>
          <w:rFonts w:ascii="Times New Roman"/>
          <w:bCs/>
          <w:color w:val="000000"/>
          <w:szCs w:val="24"/>
        </w:rPr>
        <w:t>7.0</w:t>
      </w:r>
    </w:p>
    <w:p w14:paraId="0CD35F49">
      <w:pPr>
        <w:adjustRightInd w:val="0"/>
        <w:spacing w:line="480" w:lineRule="exact"/>
        <w:ind w:firstLine="480"/>
        <w:rPr>
          <w:rFonts w:ascii="Times New Roman"/>
          <w:bCs/>
          <w:color w:val="000000"/>
          <w:szCs w:val="24"/>
        </w:rPr>
      </w:pPr>
      <w:r>
        <w:rPr>
          <w:rFonts w:ascii="Times New Roman"/>
          <w:color w:val="000000"/>
          <w:szCs w:val="24"/>
        </w:rPr>
        <w:t xml:space="preserve"> 式中：</w:t>
      </w:r>
      <w:r>
        <w:rPr>
          <w:rFonts w:ascii="Times New Roman"/>
          <w:i/>
          <w:color w:val="000000"/>
          <w:szCs w:val="24"/>
        </w:rPr>
        <w:t>P</w:t>
      </w:r>
      <w:r>
        <w:rPr>
          <w:rFonts w:ascii="Times New Roman"/>
          <w:i/>
          <w:color w:val="000000"/>
          <w:szCs w:val="24"/>
          <w:vertAlign w:val="subscript"/>
        </w:rPr>
        <w:t xml:space="preserve">pH </w:t>
      </w:r>
      <w:r>
        <w:rPr>
          <w:rFonts w:ascii="Times New Roman"/>
          <w:b/>
          <w:color w:val="000000"/>
          <w:szCs w:val="24"/>
        </w:rPr>
        <w:t>–</w:t>
      </w:r>
      <w:r>
        <w:rPr>
          <w:rFonts w:ascii="Times New Roman"/>
          <w:bCs/>
          <w:color w:val="000000"/>
          <w:szCs w:val="24"/>
        </w:rPr>
        <w:t>pH的标准指数，无量纲；</w:t>
      </w:r>
    </w:p>
    <w:p w14:paraId="771C9B71">
      <w:pPr>
        <w:adjustRightInd w:val="0"/>
        <w:spacing w:line="480" w:lineRule="exact"/>
        <w:ind w:firstLine="480"/>
        <w:rPr>
          <w:rFonts w:ascii="Times New Roman"/>
          <w:bCs/>
          <w:color w:val="000000"/>
          <w:szCs w:val="24"/>
        </w:rPr>
      </w:pPr>
      <w:r>
        <w:rPr>
          <w:rFonts w:ascii="Times New Roman"/>
          <w:bCs/>
          <w:i/>
          <w:color w:val="000000"/>
          <w:szCs w:val="24"/>
        </w:rPr>
        <w:t>pH</w:t>
      </w:r>
      <w:r>
        <w:rPr>
          <w:rFonts w:ascii="Times New Roman"/>
          <w:bCs/>
          <w:color w:val="000000"/>
          <w:szCs w:val="24"/>
        </w:rPr>
        <w:t>-</w:t>
      </w:r>
      <w:r>
        <w:rPr>
          <w:rFonts w:ascii="Times New Roman"/>
          <w:bCs/>
          <w:i/>
          <w:color w:val="000000"/>
          <w:szCs w:val="24"/>
        </w:rPr>
        <w:t>pH</w:t>
      </w:r>
      <w:r>
        <w:rPr>
          <w:rFonts w:ascii="Times New Roman"/>
          <w:bCs/>
          <w:color w:val="000000"/>
          <w:szCs w:val="24"/>
        </w:rPr>
        <w:t>监测值；</w:t>
      </w:r>
    </w:p>
    <w:p w14:paraId="29AFA264">
      <w:pPr>
        <w:adjustRightInd w:val="0"/>
        <w:spacing w:line="480" w:lineRule="exact"/>
        <w:ind w:firstLine="480"/>
        <w:rPr>
          <w:rFonts w:ascii="Times New Roman"/>
          <w:bCs/>
          <w:color w:val="000000"/>
          <w:szCs w:val="24"/>
        </w:rPr>
      </w:pPr>
      <w:r>
        <w:rPr>
          <w:rFonts w:ascii="Times New Roman"/>
          <w:bCs/>
          <w:i/>
          <w:color w:val="000000"/>
          <w:szCs w:val="24"/>
        </w:rPr>
        <w:t>pH</w:t>
      </w:r>
      <w:r>
        <w:rPr>
          <w:rFonts w:ascii="Times New Roman"/>
          <w:bCs/>
          <w:i/>
          <w:color w:val="000000"/>
          <w:szCs w:val="24"/>
          <w:vertAlign w:val="subscript"/>
        </w:rPr>
        <w:t>su</w:t>
      </w:r>
      <w:r>
        <w:rPr>
          <w:rFonts w:ascii="Times New Roman"/>
          <w:bCs/>
          <w:color w:val="000000"/>
          <w:szCs w:val="24"/>
        </w:rPr>
        <w:t>-</w:t>
      </w:r>
      <w:r>
        <w:rPr>
          <w:rFonts w:ascii="Times New Roman"/>
          <w:color w:val="000000"/>
          <w:szCs w:val="24"/>
        </w:rPr>
        <w:t>标准中</w:t>
      </w:r>
      <w:r>
        <w:rPr>
          <w:rFonts w:ascii="Times New Roman"/>
          <w:bCs/>
          <w:i/>
          <w:color w:val="000000"/>
          <w:szCs w:val="24"/>
        </w:rPr>
        <w:t>pH</w:t>
      </w:r>
      <w:r>
        <w:rPr>
          <w:rFonts w:ascii="Times New Roman"/>
          <w:bCs/>
          <w:color w:val="000000"/>
          <w:szCs w:val="24"/>
        </w:rPr>
        <w:t>的上限值；</w:t>
      </w:r>
    </w:p>
    <w:p w14:paraId="27C0F59E">
      <w:pPr>
        <w:spacing w:line="480" w:lineRule="exact"/>
        <w:ind w:firstLine="480" w:firstLineChars="200"/>
        <w:rPr>
          <w:rFonts w:asciiTheme="minorEastAsia" w:hAnsiTheme="minorEastAsia"/>
          <w:szCs w:val="24"/>
        </w:rPr>
      </w:pPr>
      <w:r>
        <w:rPr>
          <w:rFonts w:ascii="Times New Roman"/>
          <w:bCs/>
          <w:i/>
          <w:color w:val="000000"/>
          <w:szCs w:val="24"/>
        </w:rPr>
        <w:t>pH</w:t>
      </w:r>
      <w:r>
        <w:rPr>
          <w:rFonts w:ascii="Times New Roman"/>
          <w:bCs/>
          <w:i/>
          <w:color w:val="000000"/>
          <w:szCs w:val="24"/>
          <w:vertAlign w:val="subscript"/>
        </w:rPr>
        <w:t>sd</w:t>
      </w:r>
      <w:r>
        <w:rPr>
          <w:rFonts w:ascii="Times New Roman"/>
          <w:bCs/>
          <w:color w:val="000000"/>
          <w:szCs w:val="24"/>
        </w:rPr>
        <w:t>-</w:t>
      </w:r>
      <w:r>
        <w:rPr>
          <w:rFonts w:ascii="Times New Roman"/>
          <w:color w:val="000000"/>
          <w:szCs w:val="24"/>
        </w:rPr>
        <w:t>标准中</w:t>
      </w:r>
      <w:r>
        <w:rPr>
          <w:rFonts w:ascii="Times New Roman"/>
          <w:bCs/>
          <w:i/>
          <w:color w:val="000000"/>
          <w:szCs w:val="24"/>
        </w:rPr>
        <w:t>pH</w:t>
      </w:r>
      <w:r>
        <w:rPr>
          <w:rFonts w:ascii="Times New Roman"/>
          <w:bCs/>
          <w:color w:val="000000"/>
          <w:szCs w:val="24"/>
        </w:rPr>
        <w:t>的下限值。</w:t>
      </w:r>
    </w:p>
    <w:p w14:paraId="2169224D">
      <w:pPr>
        <w:spacing w:line="480" w:lineRule="exact"/>
        <w:ind w:firstLine="480" w:firstLineChars="200"/>
      </w:pPr>
      <w:r>
        <w:rPr>
          <w:rFonts w:hint="eastAsia" w:ascii="宋体" w:hAnsi="宋体" w:eastAsia="宋体" w:cs="宋体"/>
        </w:rPr>
        <w:t>③</w:t>
      </w:r>
      <w:r>
        <w:rPr>
          <w:rFonts w:hint="eastAsia"/>
        </w:rPr>
        <w:t>监测与评价结果</w:t>
      </w:r>
    </w:p>
    <w:p w14:paraId="4C5CB5DF">
      <w:pPr>
        <w:adjustRightInd w:val="0"/>
        <w:spacing w:line="500" w:lineRule="exact"/>
        <w:ind w:firstLine="480" w:firstLineChars="200"/>
        <w:rPr>
          <w:rFonts w:ascii="Times New Roman"/>
          <w:color w:val="000000"/>
          <w:szCs w:val="24"/>
        </w:rPr>
      </w:pPr>
      <w:r>
        <w:rPr>
          <w:rFonts w:ascii="Times New Roman"/>
          <w:color w:val="000000"/>
          <w:szCs w:val="24"/>
        </w:rPr>
        <w:t>地下水环境现状监测结果详见表4.3-1</w:t>
      </w:r>
      <w:r>
        <w:rPr>
          <w:rFonts w:hint="eastAsia" w:ascii="Times New Roman"/>
          <w:color w:val="000000"/>
          <w:szCs w:val="24"/>
        </w:rPr>
        <w:t>7，</w:t>
      </w:r>
      <w:r>
        <w:rPr>
          <w:rFonts w:hint="eastAsia"/>
          <w:color w:val="000000"/>
          <w:szCs w:val="24"/>
        </w:rPr>
        <w:t>水位监测结果统计</w:t>
      </w:r>
      <w:r>
        <w:rPr>
          <w:rFonts w:hint="eastAsia" w:ascii="Times New Roman"/>
          <w:color w:val="000000"/>
          <w:szCs w:val="24"/>
        </w:rPr>
        <w:t>详见</w:t>
      </w:r>
      <w:r>
        <w:rPr>
          <w:rFonts w:ascii="Times New Roman"/>
          <w:color w:val="000000"/>
          <w:szCs w:val="24"/>
        </w:rPr>
        <w:t>表4.3-1</w:t>
      </w:r>
      <w:r>
        <w:rPr>
          <w:rFonts w:hint="eastAsia" w:ascii="Times New Roman"/>
          <w:color w:val="000000"/>
          <w:szCs w:val="24"/>
        </w:rPr>
        <w:t>8</w:t>
      </w:r>
      <w:r>
        <w:rPr>
          <w:rFonts w:ascii="Times New Roman"/>
          <w:color w:val="000000"/>
          <w:szCs w:val="24"/>
        </w:rPr>
        <w:t>。</w:t>
      </w:r>
    </w:p>
    <w:p w14:paraId="0096DF57">
      <w:pPr>
        <w:adjustRightInd w:val="0"/>
        <w:spacing w:line="500" w:lineRule="exact"/>
        <w:jc w:val="center"/>
        <w:rPr>
          <w:rFonts w:ascii="Times New Roman"/>
          <w:color w:val="000000"/>
          <w:szCs w:val="24"/>
        </w:rPr>
      </w:pPr>
      <w:r>
        <w:rPr>
          <w:rFonts w:ascii="Times New Roman" w:hAnsi="宋体"/>
          <w:b/>
          <w:bCs/>
          <w:color w:val="000000"/>
          <w:szCs w:val="24"/>
        </w:rPr>
        <w:t>表</w:t>
      </w:r>
      <w:r>
        <w:rPr>
          <w:rFonts w:ascii="Times New Roman"/>
          <w:b/>
          <w:bCs/>
          <w:color w:val="000000"/>
          <w:szCs w:val="24"/>
        </w:rPr>
        <w:t>4.3</w:t>
      </w:r>
      <w:r>
        <w:rPr>
          <w:rFonts w:hint="eastAsia" w:ascii="Times New Roman"/>
          <w:b/>
          <w:bCs/>
          <w:color w:val="000000"/>
          <w:szCs w:val="24"/>
        </w:rPr>
        <w:t xml:space="preserve">-17  </w:t>
      </w:r>
      <w:r>
        <w:rPr>
          <w:rFonts w:ascii="Times New Roman" w:hAnsi="宋体"/>
          <w:b/>
          <w:bCs/>
          <w:color w:val="000000"/>
          <w:szCs w:val="24"/>
        </w:rPr>
        <w:t>地下水水质监测结果表（单位：</w:t>
      </w:r>
      <w:r>
        <w:rPr>
          <w:rFonts w:ascii="Times New Roman"/>
          <w:b/>
          <w:bCs/>
          <w:color w:val="000000"/>
          <w:szCs w:val="24"/>
        </w:rPr>
        <w:t>mg/L</w:t>
      </w:r>
      <w:r>
        <w:rPr>
          <w:rFonts w:ascii="Times New Roman" w:hAnsi="宋体"/>
          <w:b/>
          <w:bCs/>
          <w:color w:val="000000"/>
          <w:szCs w:val="24"/>
        </w:rPr>
        <w:t>，</w:t>
      </w:r>
      <w:r>
        <w:rPr>
          <w:rFonts w:ascii="Times New Roman"/>
          <w:b/>
          <w:bCs/>
          <w:color w:val="000000"/>
          <w:szCs w:val="24"/>
        </w:rPr>
        <w:t>pH</w:t>
      </w:r>
      <w:r>
        <w:rPr>
          <w:rFonts w:ascii="Times New Roman" w:hAnsi="宋体"/>
          <w:b/>
          <w:bCs/>
          <w:color w:val="000000"/>
          <w:szCs w:val="24"/>
        </w:rPr>
        <w:t>无量纲）</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2533"/>
        <w:gridCol w:w="1634"/>
        <w:gridCol w:w="1621"/>
        <w:gridCol w:w="1731"/>
        <w:gridCol w:w="1667"/>
      </w:tblGrid>
      <w:tr w14:paraId="0EF99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Merge w:val="restart"/>
            <w:tcBorders>
              <w:tl2br w:val="single" w:color="auto" w:sz="12" w:space="0"/>
            </w:tcBorders>
            <w:vAlign w:val="center"/>
          </w:tcPr>
          <w:p w14:paraId="36E4A195">
            <w:pPr>
              <w:pStyle w:val="84"/>
              <w:spacing w:line="300" w:lineRule="exact"/>
              <w:rPr>
                <w:rFonts w:cs="Times New Roman"/>
                <w:b w:val="0"/>
                <w:bCs w:val="0"/>
                <w:color w:val="auto"/>
              </w:rPr>
            </w:pPr>
            <w:r>
              <w:rPr>
                <w:rFonts w:cs="Times New Roman"/>
                <w:b w:val="0"/>
                <w:bCs w:val="0"/>
                <w:color w:val="auto"/>
              </w:rPr>
              <w:t xml:space="preserve">           采样时间</w:t>
            </w:r>
          </w:p>
          <w:p w14:paraId="402FC856">
            <w:pPr>
              <w:pStyle w:val="84"/>
              <w:spacing w:line="300" w:lineRule="exact"/>
              <w:ind w:firstLine="630" w:firstLineChars="300"/>
              <w:jc w:val="both"/>
              <w:rPr>
                <w:rFonts w:cs="Times New Roman"/>
                <w:b w:val="0"/>
                <w:bCs w:val="0"/>
                <w:color w:val="auto"/>
              </w:rPr>
            </w:pPr>
            <w:r>
              <w:rPr>
                <w:rFonts w:cs="Times New Roman"/>
                <w:b w:val="0"/>
                <w:bCs w:val="0"/>
                <w:color w:val="auto"/>
              </w:rPr>
              <w:t>监测项目</w:t>
            </w:r>
          </w:p>
        </w:tc>
        <w:tc>
          <w:tcPr>
            <w:tcW w:w="889" w:type="pct"/>
            <w:vAlign w:val="center"/>
          </w:tcPr>
          <w:p w14:paraId="4CA2A27B">
            <w:pPr>
              <w:pStyle w:val="84"/>
              <w:spacing w:line="300" w:lineRule="exact"/>
              <w:rPr>
                <w:rFonts w:cs="Times New Roman"/>
                <w:b w:val="0"/>
                <w:bCs w:val="0"/>
                <w:color w:val="auto"/>
              </w:rPr>
            </w:pPr>
            <w:r>
              <w:rPr>
                <w:rFonts w:cs="Times New Roman"/>
                <w:b w:val="0"/>
                <w:bCs w:val="0"/>
                <w:color w:val="auto"/>
              </w:rPr>
              <w:t>D1</w:t>
            </w:r>
          </w:p>
        </w:tc>
        <w:tc>
          <w:tcPr>
            <w:tcW w:w="882" w:type="pct"/>
            <w:vAlign w:val="center"/>
          </w:tcPr>
          <w:p w14:paraId="150386C2">
            <w:pPr>
              <w:pStyle w:val="84"/>
              <w:spacing w:line="300" w:lineRule="exact"/>
              <w:rPr>
                <w:rFonts w:cs="Times New Roman"/>
                <w:b w:val="0"/>
                <w:bCs w:val="0"/>
                <w:color w:val="auto"/>
              </w:rPr>
            </w:pPr>
            <w:r>
              <w:rPr>
                <w:rFonts w:cs="Times New Roman"/>
                <w:b w:val="0"/>
                <w:bCs w:val="0"/>
                <w:color w:val="auto"/>
              </w:rPr>
              <w:t>D2</w:t>
            </w:r>
          </w:p>
        </w:tc>
        <w:tc>
          <w:tcPr>
            <w:tcW w:w="941" w:type="pct"/>
            <w:vAlign w:val="center"/>
          </w:tcPr>
          <w:p w14:paraId="702CEADA">
            <w:pPr>
              <w:pStyle w:val="84"/>
              <w:spacing w:line="300" w:lineRule="exact"/>
              <w:rPr>
                <w:rFonts w:cs="Times New Roman"/>
                <w:b w:val="0"/>
                <w:bCs w:val="0"/>
                <w:color w:val="auto"/>
              </w:rPr>
            </w:pPr>
            <w:r>
              <w:rPr>
                <w:rFonts w:cs="Times New Roman"/>
                <w:b w:val="0"/>
                <w:bCs w:val="0"/>
                <w:color w:val="auto"/>
              </w:rPr>
              <w:t>D3</w:t>
            </w:r>
          </w:p>
        </w:tc>
        <w:tc>
          <w:tcPr>
            <w:tcW w:w="907" w:type="pct"/>
            <w:vMerge w:val="restart"/>
            <w:vAlign w:val="center"/>
          </w:tcPr>
          <w:p w14:paraId="756BF1B3">
            <w:pPr>
              <w:pStyle w:val="84"/>
              <w:spacing w:line="300" w:lineRule="exact"/>
              <w:rPr>
                <w:rFonts w:cs="Times New Roman"/>
                <w:b w:val="0"/>
                <w:bCs w:val="0"/>
                <w:color w:val="auto"/>
              </w:rPr>
            </w:pPr>
            <w:r>
              <w:rPr>
                <w:rFonts w:cs="Times New Roman"/>
                <w:b w:val="0"/>
                <w:bCs w:val="0"/>
                <w:color w:val="auto"/>
              </w:rPr>
              <w:t>评价结果</w:t>
            </w:r>
          </w:p>
        </w:tc>
      </w:tr>
      <w:tr w14:paraId="6A74E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Merge w:val="continue"/>
            <w:vAlign w:val="center"/>
          </w:tcPr>
          <w:p w14:paraId="58D4EEAF">
            <w:pPr>
              <w:pStyle w:val="84"/>
              <w:spacing w:line="300" w:lineRule="exact"/>
              <w:rPr>
                <w:rFonts w:cs="Times New Roman"/>
                <w:b w:val="0"/>
                <w:bCs w:val="0"/>
                <w:color w:val="auto"/>
              </w:rPr>
            </w:pPr>
          </w:p>
        </w:tc>
        <w:tc>
          <w:tcPr>
            <w:tcW w:w="2713" w:type="pct"/>
            <w:gridSpan w:val="3"/>
            <w:vAlign w:val="center"/>
          </w:tcPr>
          <w:p w14:paraId="788A55FD">
            <w:pPr>
              <w:pStyle w:val="84"/>
              <w:spacing w:line="300" w:lineRule="exact"/>
              <w:rPr>
                <w:rFonts w:cs="Times New Roman"/>
                <w:b w:val="0"/>
                <w:bCs w:val="0"/>
                <w:color w:val="auto"/>
              </w:rPr>
            </w:pPr>
            <w:r>
              <w:rPr>
                <w:rFonts w:cs="Times New Roman"/>
                <w:b w:val="0"/>
                <w:bCs w:val="0"/>
                <w:color w:val="auto"/>
              </w:rPr>
              <w:t>2024年7月4日</w:t>
            </w:r>
          </w:p>
        </w:tc>
        <w:tc>
          <w:tcPr>
            <w:tcW w:w="907" w:type="pct"/>
            <w:vMerge w:val="continue"/>
            <w:vAlign w:val="center"/>
          </w:tcPr>
          <w:p w14:paraId="61A220C3">
            <w:pPr>
              <w:pStyle w:val="84"/>
              <w:spacing w:line="300" w:lineRule="exact"/>
              <w:rPr>
                <w:rFonts w:cs="Times New Roman"/>
                <w:b w:val="0"/>
                <w:bCs w:val="0"/>
                <w:color w:val="auto"/>
              </w:rPr>
            </w:pPr>
          </w:p>
        </w:tc>
      </w:tr>
      <w:tr w14:paraId="1CD14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Align w:val="center"/>
          </w:tcPr>
          <w:p w14:paraId="08DF38A3">
            <w:pPr>
              <w:pStyle w:val="85"/>
              <w:spacing w:line="300" w:lineRule="exact"/>
              <w:rPr>
                <w:rFonts w:hint="default" w:cs="Times New Roman"/>
                <w:color w:val="auto"/>
              </w:rPr>
            </w:pPr>
            <w:r>
              <w:rPr>
                <w:rFonts w:hint="default" w:cs="Times New Roman"/>
                <w:color w:val="auto"/>
              </w:rPr>
              <w:t>pH值</w:t>
            </w:r>
          </w:p>
        </w:tc>
        <w:tc>
          <w:tcPr>
            <w:tcW w:w="889" w:type="pct"/>
            <w:vAlign w:val="center"/>
          </w:tcPr>
          <w:p w14:paraId="6081B18A">
            <w:pPr>
              <w:pStyle w:val="85"/>
              <w:spacing w:line="300" w:lineRule="exact"/>
              <w:rPr>
                <w:rFonts w:hint="default" w:cs="Times New Roman"/>
                <w:color w:val="auto"/>
              </w:rPr>
            </w:pPr>
          </w:p>
        </w:tc>
        <w:tc>
          <w:tcPr>
            <w:tcW w:w="882" w:type="pct"/>
            <w:vAlign w:val="center"/>
          </w:tcPr>
          <w:p w14:paraId="7AA6F846">
            <w:pPr>
              <w:pStyle w:val="85"/>
              <w:spacing w:line="300" w:lineRule="exact"/>
              <w:rPr>
                <w:rFonts w:hint="default" w:cs="Times New Roman"/>
                <w:color w:val="auto"/>
              </w:rPr>
            </w:pPr>
          </w:p>
        </w:tc>
        <w:tc>
          <w:tcPr>
            <w:tcW w:w="941" w:type="pct"/>
            <w:vAlign w:val="center"/>
          </w:tcPr>
          <w:p w14:paraId="54FFF7E2">
            <w:pPr>
              <w:pStyle w:val="85"/>
              <w:spacing w:line="300" w:lineRule="exact"/>
              <w:rPr>
                <w:rFonts w:hint="default" w:cs="Times New Roman"/>
                <w:color w:val="auto"/>
              </w:rPr>
            </w:pPr>
          </w:p>
        </w:tc>
        <w:tc>
          <w:tcPr>
            <w:tcW w:w="907" w:type="pct"/>
            <w:vAlign w:val="center"/>
          </w:tcPr>
          <w:p w14:paraId="607C20E5">
            <w:pPr>
              <w:pStyle w:val="85"/>
              <w:spacing w:line="300" w:lineRule="exact"/>
              <w:rPr>
                <w:rFonts w:hint="default" w:cs="Times New Roman"/>
                <w:color w:val="000000" w:themeColor="text1"/>
                <w14:textFill>
                  <w14:solidFill>
                    <w14:schemeClr w14:val="tx1"/>
                  </w14:solidFill>
                </w14:textFill>
              </w:rPr>
            </w:pPr>
          </w:p>
        </w:tc>
      </w:tr>
      <w:tr w14:paraId="07E16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Align w:val="center"/>
          </w:tcPr>
          <w:p w14:paraId="22744707">
            <w:pPr>
              <w:pStyle w:val="85"/>
              <w:spacing w:line="300" w:lineRule="exact"/>
              <w:rPr>
                <w:rFonts w:hint="default" w:cs="Times New Roman"/>
                <w:color w:val="auto"/>
              </w:rPr>
            </w:pPr>
            <w:r>
              <w:rPr>
                <w:rFonts w:hint="default" w:cs="Times New Roman"/>
                <w:color w:val="auto"/>
              </w:rPr>
              <w:t>钾</w:t>
            </w:r>
          </w:p>
        </w:tc>
        <w:tc>
          <w:tcPr>
            <w:tcW w:w="889" w:type="pct"/>
            <w:vAlign w:val="center"/>
          </w:tcPr>
          <w:p w14:paraId="5BE248E1">
            <w:pPr>
              <w:pStyle w:val="85"/>
              <w:spacing w:line="300" w:lineRule="exact"/>
              <w:rPr>
                <w:rFonts w:hint="default" w:cs="Times New Roman"/>
                <w:color w:val="auto"/>
              </w:rPr>
            </w:pPr>
          </w:p>
        </w:tc>
        <w:tc>
          <w:tcPr>
            <w:tcW w:w="882" w:type="pct"/>
            <w:vAlign w:val="center"/>
          </w:tcPr>
          <w:p w14:paraId="48929478">
            <w:pPr>
              <w:pStyle w:val="85"/>
              <w:spacing w:line="300" w:lineRule="exact"/>
              <w:rPr>
                <w:rFonts w:hint="default" w:cs="Times New Roman"/>
                <w:color w:val="auto"/>
              </w:rPr>
            </w:pPr>
          </w:p>
        </w:tc>
        <w:tc>
          <w:tcPr>
            <w:tcW w:w="941" w:type="pct"/>
            <w:vAlign w:val="center"/>
          </w:tcPr>
          <w:p w14:paraId="04994D5A">
            <w:pPr>
              <w:pStyle w:val="85"/>
              <w:spacing w:line="300" w:lineRule="exact"/>
              <w:rPr>
                <w:rFonts w:hint="default" w:cs="Times New Roman"/>
                <w:color w:val="auto"/>
              </w:rPr>
            </w:pPr>
          </w:p>
        </w:tc>
        <w:tc>
          <w:tcPr>
            <w:tcW w:w="907" w:type="pct"/>
            <w:vAlign w:val="center"/>
          </w:tcPr>
          <w:p w14:paraId="256C6B63">
            <w:pPr>
              <w:pStyle w:val="85"/>
              <w:spacing w:line="300" w:lineRule="exact"/>
              <w:rPr>
                <w:rFonts w:hint="default" w:cs="Times New Roman"/>
                <w:color w:val="000000" w:themeColor="text1"/>
                <w14:textFill>
                  <w14:solidFill>
                    <w14:schemeClr w14:val="tx1"/>
                  </w14:solidFill>
                </w14:textFill>
              </w:rPr>
            </w:pPr>
          </w:p>
        </w:tc>
      </w:tr>
      <w:tr w14:paraId="7608F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Align w:val="center"/>
          </w:tcPr>
          <w:p w14:paraId="5EB93C55">
            <w:pPr>
              <w:pStyle w:val="85"/>
              <w:spacing w:line="300" w:lineRule="exact"/>
              <w:rPr>
                <w:rFonts w:hint="default" w:cs="Times New Roman"/>
                <w:color w:val="auto"/>
              </w:rPr>
            </w:pPr>
            <w:r>
              <w:rPr>
                <w:rFonts w:hint="default" w:cs="Times New Roman"/>
                <w:color w:val="auto"/>
              </w:rPr>
              <w:t>钠</w:t>
            </w:r>
          </w:p>
        </w:tc>
        <w:tc>
          <w:tcPr>
            <w:tcW w:w="889" w:type="pct"/>
            <w:vAlign w:val="center"/>
          </w:tcPr>
          <w:p w14:paraId="1336490B">
            <w:pPr>
              <w:pStyle w:val="85"/>
              <w:spacing w:line="300" w:lineRule="exact"/>
              <w:rPr>
                <w:rFonts w:hint="default" w:cs="Times New Roman"/>
                <w:color w:val="auto"/>
              </w:rPr>
            </w:pPr>
          </w:p>
        </w:tc>
        <w:tc>
          <w:tcPr>
            <w:tcW w:w="882" w:type="pct"/>
            <w:vAlign w:val="center"/>
          </w:tcPr>
          <w:p w14:paraId="0B232E64">
            <w:pPr>
              <w:pStyle w:val="85"/>
              <w:spacing w:line="300" w:lineRule="exact"/>
              <w:rPr>
                <w:rFonts w:hint="default" w:cs="Times New Roman"/>
                <w:color w:val="auto"/>
              </w:rPr>
            </w:pPr>
          </w:p>
        </w:tc>
        <w:tc>
          <w:tcPr>
            <w:tcW w:w="941" w:type="pct"/>
            <w:vAlign w:val="center"/>
          </w:tcPr>
          <w:p w14:paraId="674B5D53">
            <w:pPr>
              <w:pStyle w:val="85"/>
              <w:spacing w:line="300" w:lineRule="exact"/>
              <w:rPr>
                <w:rFonts w:hint="default" w:cs="Times New Roman"/>
                <w:color w:val="auto"/>
              </w:rPr>
            </w:pPr>
          </w:p>
        </w:tc>
        <w:tc>
          <w:tcPr>
            <w:tcW w:w="907" w:type="pct"/>
            <w:vAlign w:val="center"/>
          </w:tcPr>
          <w:p w14:paraId="57B03764">
            <w:pPr>
              <w:pStyle w:val="85"/>
              <w:spacing w:line="300" w:lineRule="exact"/>
              <w:rPr>
                <w:rFonts w:hint="default" w:cs="Times New Roman"/>
                <w:color w:val="000000" w:themeColor="text1"/>
                <w14:textFill>
                  <w14:solidFill>
                    <w14:schemeClr w14:val="tx1"/>
                  </w14:solidFill>
                </w14:textFill>
              </w:rPr>
            </w:pPr>
          </w:p>
        </w:tc>
      </w:tr>
      <w:tr w14:paraId="42C3F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Align w:val="center"/>
          </w:tcPr>
          <w:p w14:paraId="79B75065">
            <w:pPr>
              <w:pStyle w:val="85"/>
              <w:spacing w:line="300" w:lineRule="exact"/>
              <w:rPr>
                <w:rFonts w:hint="default" w:cs="Times New Roman"/>
                <w:color w:val="auto"/>
              </w:rPr>
            </w:pPr>
            <w:r>
              <w:rPr>
                <w:rFonts w:hint="default" w:cs="Times New Roman"/>
                <w:color w:val="auto"/>
              </w:rPr>
              <w:t>钙</w:t>
            </w:r>
          </w:p>
        </w:tc>
        <w:tc>
          <w:tcPr>
            <w:tcW w:w="889" w:type="pct"/>
            <w:vAlign w:val="center"/>
          </w:tcPr>
          <w:p w14:paraId="6B816197">
            <w:pPr>
              <w:pStyle w:val="85"/>
              <w:spacing w:line="300" w:lineRule="exact"/>
              <w:rPr>
                <w:rFonts w:hint="default" w:cs="Times New Roman"/>
                <w:color w:val="auto"/>
              </w:rPr>
            </w:pPr>
          </w:p>
        </w:tc>
        <w:tc>
          <w:tcPr>
            <w:tcW w:w="882" w:type="pct"/>
            <w:vAlign w:val="center"/>
          </w:tcPr>
          <w:p w14:paraId="66FE528F">
            <w:pPr>
              <w:pStyle w:val="85"/>
              <w:spacing w:line="300" w:lineRule="exact"/>
              <w:rPr>
                <w:rFonts w:hint="default" w:cs="Times New Roman"/>
                <w:color w:val="auto"/>
              </w:rPr>
            </w:pPr>
          </w:p>
        </w:tc>
        <w:tc>
          <w:tcPr>
            <w:tcW w:w="941" w:type="pct"/>
            <w:vAlign w:val="center"/>
          </w:tcPr>
          <w:p w14:paraId="7084E4F1">
            <w:pPr>
              <w:pStyle w:val="85"/>
              <w:spacing w:line="300" w:lineRule="exact"/>
              <w:rPr>
                <w:rFonts w:hint="default" w:cs="Times New Roman"/>
                <w:color w:val="auto"/>
              </w:rPr>
            </w:pPr>
          </w:p>
        </w:tc>
        <w:tc>
          <w:tcPr>
            <w:tcW w:w="907" w:type="pct"/>
            <w:vAlign w:val="center"/>
          </w:tcPr>
          <w:p w14:paraId="3070DEFF">
            <w:pPr>
              <w:pStyle w:val="85"/>
              <w:spacing w:line="300" w:lineRule="exact"/>
              <w:rPr>
                <w:rFonts w:hint="default" w:cs="Times New Roman"/>
                <w:color w:val="000000" w:themeColor="text1"/>
                <w14:textFill>
                  <w14:solidFill>
                    <w14:schemeClr w14:val="tx1"/>
                  </w14:solidFill>
                </w14:textFill>
              </w:rPr>
            </w:pPr>
          </w:p>
        </w:tc>
      </w:tr>
      <w:tr w14:paraId="12667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Align w:val="center"/>
          </w:tcPr>
          <w:p w14:paraId="621237DB">
            <w:pPr>
              <w:pStyle w:val="85"/>
              <w:spacing w:line="300" w:lineRule="exact"/>
              <w:rPr>
                <w:rFonts w:hint="default" w:cs="Times New Roman"/>
                <w:color w:val="auto"/>
              </w:rPr>
            </w:pPr>
            <w:r>
              <w:rPr>
                <w:rFonts w:hint="default" w:cs="Times New Roman"/>
                <w:color w:val="auto"/>
              </w:rPr>
              <w:t>镁</w:t>
            </w:r>
          </w:p>
        </w:tc>
        <w:tc>
          <w:tcPr>
            <w:tcW w:w="889" w:type="pct"/>
            <w:vAlign w:val="center"/>
          </w:tcPr>
          <w:p w14:paraId="0E3E7CC2">
            <w:pPr>
              <w:pStyle w:val="85"/>
              <w:spacing w:line="300" w:lineRule="exact"/>
              <w:rPr>
                <w:rFonts w:hint="default" w:cs="Times New Roman"/>
                <w:color w:val="auto"/>
              </w:rPr>
            </w:pPr>
          </w:p>
        </w:tc>
        <w:tc>
          <w:tcPr>
            <w:tcW w:w="882" w:type="pct"/>
            <w:vAlign w:val="center"/>
          </w:tcPr>
          <w:p w14:paraId="4B4DA44C">
            <w:pPr>
              <w:pStyle w:val="85"/>
              <w:spacing w:line="300" w:lineRule="exact"/>
              <w:rPr>
                <w:rFonts w:hint="default" w:cs="Times New Roman"/>
                <w:color w:val="auto"/>
              </w:rPr>
            </w:pPr>
          </w:p>
        </w:tc>
        <w:tc>
          <w:tcPr>
            <w:tcW w:w="941" w:type="pct"/>
            <w:vAlign w:val="center"/>
          </w:tcPr>
          <w:p w14:paraId="374F5373">
            <w:pPr>
              <w:pStyle w:val="85"/>
              <w:spacing w:line="300" w:lineRule="exact"/>
              <w:rPr>
                <w:rFonts w:hint="default" w:cs="Times New Roman"/>
                <w:color w:val="auto"/>
              </w:rPr>
            </w:pPr>
          </w:p>
        </w:tc>
        <w:tc>
          <w:tcPr>
            <w:tcW w:w="907" w:type="pct"/>
            <w:vAlign w:val="center"/>
          </w:tcPr>
          <w:p w14:paraId="41246A72">
            <w:pPr>
              <w:pStyle w:val="85"/>
              <w:spacing w:line="300" w:lineRule="exact"/>
              <w:rPr>
                <w:rFonts w:hint="default" w:cs="Times New Roman"/>
                <w:color w:val="000000" w:themeColor="text1"/>
                <w14:textFill>
                  <w14:solidFill>
                    <w14:schemeClr w14:val="tx1"/>
                  </w14:solidFill>
                </w14:textFill>
              </w:rPr>
            </w:pPr>
          </w:p>
        </w:tc>
      </w:tr>
      <w:tr w14:paraId="7D1DE8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Align w:val="center"/>
          </w:tcPr>
          <w:p w14:paraId="11EB7365">
            <w:pPr>
              <w:pStyle w:val="85"/>
              <w:spacing w:line="300" w:lineRule="exact"/>
              <w:rPr>
                <w:rFonts w:hint="default" w:cs="Times New Roman"/>
                <w:color w:val="auto"/>
              </w:rPr>
            </w:pPr>
            <w:r>
              <w:rPr>
                <w:rFonts w:hint="default" w:cs="Times New Roman"/>
                <w:color w:val="auto"/>
              </w:rPr>
              <w:t>碳酸根</w:t>
            </w:r>
          </w:p>
        </w:tc>
        <w:tc>
          <w:tcPr>
            <w:tcW w:w="889" w:type="pct"/>
            <w:vAlign w:val="center"/>
          </w:tcPr>
          <w:p w14:paraId="4ABF0703">
            <w:pPr>
              <w:pStyle w:val="85"/>
              <w:spacing w:line="300" w:lineRule="exact"/>
              <w:rPr>
                <w:rFonts w:hint="default" w:cs="Times New Roman"/>
                <w:color w:val="auto"/>
              </w:rPr>
            </w:pPr>
          </w:p>
        </w:tc>
        <w:tc>
          <w:tcPr>
            <w:tcW w:w="882" w:type="pct"/>
            <w:vAlign w:val="center"/>
          </w:tcPr>
          <w:p w14:paraId="20E5620F">
            <w:pPr>
              <w:pStyle w:val="85"/>
              <w:spacing w:line="300" w:lineRule="exact"/>
              <w:rPr>
                <w:rFonts w:hint="default" w:cs="Times New Roman"/>
                <w:color w:val="auto"/>
              </w:rPr>
            </w:pPr>
          </w:p>
        </w:tc>
        <w:tc>
          <w:tcPr>
            <w:tcW w:w="941" w:type="pct"/>
            <w:vAlign w:val="center"/>
          </w:tcPr>
          <w:p w14:paraId="13F1FED4">
            <w:pPr>
              <w:pStyle w:val="85"/>
              <w:spacing w:line="300" w:lineRule="exact"/>
              <w:rPr>
                <w:rFonts w:hint="default" w:cs="Times New Roman"/>
                <w:color w:val="auto"/>
              </w:rPr>
            </w:pPr>
          </w:p>
        </w:tc>
        <w:tc>
          <w:tcPr>
            <w:tcW w:w="907" w:type="pct"/>
            <w:vAlign w:val="center"/>
          </w:tcPr>
          <w:p w14:paraId="638077F4">
            <w:pPr>
              <w:pStyle w:val="85"/>
              <w:spacing w:line="300" w:lineRule="exact"/>
              <w:rPr>
                <w:rFonts w:hint="default" w:cs="Times New Roman"/>
                <w:color w:val="000000" w:themeColor="text1"/>
                <w14:textFill>
                  <w14:solidFill>
                    <w14:schemeClr w14:val="tx1"/>
                  </w14:solidFill>
                </w14:textFill>
              </w:rPr>
            </w:pPr>
          </w:p>
        </w:tc>
      </w:tr>
      <w:tr w14:paraId="43483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Align w:val="center"/>
          </w:tcPr>
          <w:p w14:paraId="19881115">
            <w:pPr>
              <w:pStyle w:val="85"/>
              <w:spacing w:line="300" w:lineRule="exact"/>
              <w:rPr>
                <w:rFonts w:hint="default" w:cs="Times New Roman"/>
                <w:color w:val="auto"/>
              </w:rPr>
            </w:pPr>
            <w:r>
              <w:rPr>
                <w:rFonts w:hint="default" w:cs="Times New Roman"/>
                <w:color w:val="auto"/>
              </w:rPr>
              <w:t>重碳酸根</w:t>
            </w:r>
          </w:p>
        </w:tc>
        <w:tc>
          <w:tcPr>
            <w:tcW w:w="889" w:type="pct"/>
            <w:vAlign w:val="center"/>
          </w:tcPr>
          <w:p w14:paraId="2940091A">
            <w:pPr>
              <w:pStyle w:val="85"/>
              <w:spacing w:line="300" w:lineRule="exact"/>
              <w:rPr>
                <w:rFonts w:hint="default" w:cs="Times New Roman"/>
                <w:color w:val="auto"/>
              </w:rPr>
            </w:pPr>
          </w:p>
        </w:tc>
        <w:tc>
          <w:tcPr>
            <w:tcW w:w="882" w:type="pct"/>
            <w:vAlign w:val="center"/>
          </w:tcPr>
          <w:p w14:paraId="28496703">
            <w:pPr>
              <w:pStyle w:val="85"/>
              <w:spacing w:line="300" w:lineRule="exact"/>
              <w:rPr>
                <w:rFonts w:hint="default" w:cs="Times New Roman"/>
                <w:color w:val="auto"/>
              </w:rPr>
            </w:pPr>
          </w:p>
        </w:tc>
        <w:tc>
          <w:tcPr>
            <w:tcW w:w="941" w:type="pct"/>
            <w:vAlign w:val="center"/>
          </w:tcPr>
          <w:p w14:paraId="3A2BB13A">
            <w:pPr>
              <w:pStyle w:val="85"/>
              <w:spacing w:line="300" w:lineRule="exact"/>
              <w:rPr>
                <w:rFonts w:hint="default" w:cs="Times New Roman"/>
                <w:color w:val="auto"/>
              </w:rPr>
            </w:pPr>
          </w:p>
        </w:tc>
        <w:tc>
          <w:tcPr>
            <w:tcW w:w="907" w:type="pct"/>
            <w:vAlign w:val="center"/>
          </w:tcPr>
          <w:p w14:paraId="144B9DAC">
            <w:pPr>
              <w:pStyle w:val="85"/>
              <w:spacing w:line="300" w:lineRule="exact"/>
              <w:rPr>
                <w:rFonts w:hint="default" w:cs="Times New Roman"/>
                <w:color w:val="000000" w:themeColor="text1"/>
                <w14:textFill>
                  <w14:solidFill>
                    <w14:schemeClr w14:val="tx1"/>
                  </w14:solidFill>
                </w14:textFill>
              </w:rPr>
            </w:pPr>
          </w:p>
        </w:tc>
      </w:tr>
      <w:tr w14:paraId="44D16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Align w:val="center"/>
          </w:tcPr>
          <w:p w14:paraId="5155D923">
            <w:pPr>
              <w:pStyle w:val="85"/>
              <w:spacing w:line="300" w:lineRule="exact"/>
              <w:rPr>
                <w:rFonts w:hint="default" w:cs="Times New Roman"/>
                <w:color w:val="auto"/>
              </w:rPr>
            </w:pPr>
            <w:r>
              <w:rPr>
                <w:rFonts w:hint="default" w:cs="Times New Roman"/>
                <w:color w:val="auto"/>
              </w:rPr>
              <w:t>硫酸根离子（SO</w:t>
            </w:r>
            <w:r>
              <w:rPr>
                <w:rFonts w:hint="default" w:cs="Times New Roman"/>
                <w:color w:val="auto"/>
                <w:vertAlign w:val="subscript"/>
              </w:rPr>
              <w:t>4</w:t>
            </w:r>
            <w:r>
              <w:rPr>
                <w:rFonts w:hint="default" w:cs="Times New Roman"/>
                <w:color w:val="auto"/>
                <w:vertAlign w:val="superscript"/>
              </w:rPr>
              <w:t>2-</w:t>
            </w:r>
            <w:r>
              <w:rPr>
                <w:rFonts w:hint="default" w:cs="Times New Roman"/>
                <w:color w:val="auto"/>
              </w:rPr>
              <w:t>）</w:t>
            </w:r>
          </w:p>
        </w:tc>
        <w:tc>
          <w:tcPr>
            <w:tcW w:w="889" w:type="pct"/>
            <w:vAlign w:val="center"/>
          </w:tcPr>
          <w:p w14:paraId="43272223">
            <w:pPr>
              <w:pStyle w:val="85"/>
              <w:spacing w:line="300" w:lineRule="exact"/>
              <w:rPr>
                <w:rFonts w:hint="default" w:cs="Times New Roman"/>
                <w:color w:val="auto"/>
              </w:rPr>
            </w:pPr>
          </w:p>
        </w:tc>
        <w:tc>
          <w:tcPr>
            <w:tcW w:w="882" w:type="pct"/>
            <w:vAlign w:val="center"/>
          </w:tcPr>
          <w:p w14:paraId="2F6428A6">
            <w:pPr>
              <w:pStyle w:val="85"/>
              <w:spacing w:line="300" w:lineRule="exact"/>
              <w:rPr>
                <w:rFonts w:hint="default" w:cs="Times New Roman"/>
                <w:color w:val="auto"/>
              </w:rPr>
            </w:pPr>
          </w:p>
        </w:tc>
        <w:tc>
          <w:tcPr>
            <w:tcW w:w="941" w:type="pct"/>
            <w:vAlign w:val="center"/>
          </w:tcPr>
          <w:p w14:paraId="63107529">
            <w:pPr>
              <w:pStyle w:val="85"/>
              <w:spacing w:line="300" w:lineRule="exact"/>
              <w:rPr>
                <w:rFonts w:hint="default" w:cs="Times New Roman"/>
                <w:color w:val="auto"/>
              </w:rPr>
            </w:pPr>
          </w:p>
        </w:tc>
        <w:tc>
          <w:tcPr>
            <w:tcW w:w="907" w:type="pct"/>
            <w:vAlign w:val="center"/>
          </w:tcPr>
          <w:p w14:paraId="5312555C">
            <w:pPr>
              <w:pStyle w:val="85"/>
              <w:spacing w:line="300" w:lineRule="exact"/>
              <w:rPr>
                <w:rFonts w:hint="default" w:cs="Times New Roman"/>
                <w:color w:val="000000" w:themeColor="text1"/>
                <w14:textFill>
                  <w14:solidFill>
                    <w14:schemeClr w14:val="tx1"/>
                  </w14:solidFill>
                </w14:textFill>
              </w:rPr>
            </w:pPr>
          </w:p>
        </w:tc>
      </w:tr>
      <w:tr w14:paraId="4BB2C8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Align w:val="center"/>
          </w:tcPr>
          <w:p w14:paraId="097E3A67">
            <w:pPr>
              <w:pStyle w:val="85"/>
              <w:spacing w:line="300" w:lineRule="exact"/>
              <w:rPr>
                <w:rFonts w:hint="default" w:cs="Times New Roman"/>
                <w:color w:val="auto"/>
              </w:rPr>
            </w:pPr>
            <w:r>
              <w:rPr>
                <w:rFonts w:hint="default" w:cs="Times New Roman"/>
                <w:color w:val="auto"/>
              </w:rPr>
              <w:t>氯离子</w:t>
            </w:r>
          </w:p>
        </w:tc>
        <w:tc>
          <w:tcPr>
            <w:tcW w:w="889" w:type="pct"/>
            <w:vAlign w:val="center"/>
          </w:tcPr>
          <w:p w14:paraId="437E1883">
            <w:pPr>
              <w:pStyle w:val="85"/>
              <w:spacing w:line="300" w:lineRule="exact"/>
              <w:rPr>
                <w:rFonts w:hint="default" w:cs="Times New Roman"/>
                <w:color w:val="auto"/>
              </w:rPr>
            </w:pPr>
          </w:p>
        </w:tc>
        <w:tc>
          <w:tcPr>
            <w:tcW w:w="882" w:type="pct"/>
            <w:vAlign w:val="center"/>
          </w:tcPr>
          <w:p w14:paraId="11B0490E">
            <w:pPr>
              <w:pStyle w:val="85"/>
              <w:spacing w:line="300" w:lineRule="exact"/>
              <w:rPr>
                <w:rFonts w:hint="default" w:cs="Times New Roman"/>
                <w:color w:val="auto"/>
              </w:rPr>
            </w:pPr>
          </w:p>
        </w:tc>
        <w:tc>
          <w:tcPr>
            <w:tcW w:w="941" w:type="pct"/>
            <w:vAlign w:val="center"/>
          </w:tcPr>
          <w:p w14:paraId="2DA6653A">
            <w:pPr>
              <w:pStyle w:val="85"/>
              <w:spacing w:line="300" w:lineRule="exact"/>
              <w:rPr>
                <w:rFonts w:hint="default" w:cs="Times New Roman"/>
                <w:color w:val="auto"/>
              </w:rPr>
            </w:pPr>
          </w:p>
        </w:tc>
        <w:tc>
          <w:tcPr>
            <w:tcW w:w="907" w:type="pct"/>
            <w:vAlign w:val="center"/>
          </w:tcPr>
          <w:p w14:paraId="6FB86165">
            <w:pPr>
              <w:pStyle w:val="85"/>
              <w:spacing w:line="300" w:lineRule="exact"/>
              <w:rPr>
                <w:rFonts w:hint="default" w:cs="Times New Roman"/>
                <w:color w:val="000000" w:themeColor="text1"/>
                <w14:textFill>
                  <w14:solidFill>
                    <w14:schemeClr w14:val="tx1"/>
                  </w14:solidFill>
                </w14:textFill>
              </w:rPr>
            </w:pPr>
          </w:p>
        </w:tc>
      </w:tr>
      <w:tr w14:paraId="16527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Align w:val="center"/>
          </w:tcPr>
          <w:p w14:paraId="4B4BE6A5">
            <w:pPr>
              <w:pStyle w:val="85"/>
              <w:spacing w:line="300" w:lineRule="exact"/>
              <w:rPr>
                <w:rFonts w:hint="default" w:cs="Times New Roman"/>
                <w:color w:val="auto"/>
              </w:rPr>
            </w:pPr>
            <w:r>
              <w:rPr>
                <w:rFonts w:hint="default" w:cs="Times New Roman"/>
                <w:color w:val="auto"/>
              </w:rPr>
              <w:t>氨氮</w:t>
            </w:r>
          </w:p>
        </w:tc>
        <w:tc>
          <w:tcPr>
            <w:tcW w:w="889" w:type="pct"/>
            <w:vAlign w:val="center"/>
          </w:tcPr>
          <w:p w14:paraId="59259B5C">
            <w:pPr>
              <w:pStyle w:val="85"/>
              <w:spacing w:line="300" w:lineRule="exact"/>
              <w:rPr>
                <w:rFonts w:hint="default" w:cs="Times New Roman"/>
                <w:color w:val="auto"/>
              </w:rPr>
            </w:pPr>
          </w:p>
        </w:tc>
        <w:tc>
          <w:tcPr>
            <w:tcW w:w="882" w:type="pct"/>
            <w:vAlign w:val="center"/>
          </w:tcPr>
          <w:p w14:paraId="058DBF84">
            <w:pPr>
              <w:pStyle w:val="85"/>
              <w:spacing w:line="300" w:lineRule="exact"/>
              <w:rPr>
                <w:rFonts w:hint="default" w:cs="Times New Roman"/>
                <w:color w:val="auto"/>
              </w:rPr>
            </w:pPr>
          </w:p>
        </w:tc>
        <w:tc>
          <w:tcPr>
            <w:tcW w:w="941" w:type="pct"/>
            <w:vAlign w:val="center"/>
          </w:tcPr>
          <w:p w14:paraId="345B42AB">
            <w:pPr>
              <w:pStyle w:val="85"/>
              <w:spacing w:line="300" w:lineRule="exact"/>
              <w:rPr>
                <w:rFonts w:hint="default" w:cs="Times New Roman"/>
                <w:color w:val="auto"/>
              </w:rPr>
            </w:pPr>
          </w:p>
        </w:tc>
        <w:tc>
          <w:tcPr>
            <w:tcW w:w="907" w:type="pct"/>
            <w:vAlign w:val="center"/>
          </w:tcPr>
          <w:p w14:paraId="53A9F6B0">
            <w:pPr>
              <w:pStyle w:val="85"/>
              <w:spacing w:line="300" w:lineRule="exact"/>
              <w:rPr>
                <w:rFonts w:hint="default" w:cs="Times New Roman"/>
                <w:color w:val="000000" w:themeColor="text1"/>
                <w14:textFill>
                  <w14:solidFill>
                    <w14:schemeClr w14:val="tx1"/>
                  </w14:solidFill>
                </w14:textFill>
              </w:rPr>
            </w:pPr>
          </w:p>
        </w:tc>
      </w:tr>
      <w:tr w14:paraId="299ACA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Align w:val="center"/>
          </w:tcPr>
          <w:p w14:paraId="4F473585">
            <w:pPr>
              <w:pStyle w:val="85"/>
              <w:spacing w:line="300" w:lineRule="exact"/>
              <w:rPr>
                <w:rFonts w:hint="default" w:cs="Times New Roman"/>
                <w:color w:val="auto"/>
              </w:rPr>
            </w:pPr>
            <w:r>
              <w:rPr>
                <w:rFonts w:hint="default" w:cs="Times New Roman"/>
                <w:color w:val="auto"/>
              </w:rPr>
              <w:t>总磷</w:t>
            </w:r>
          </w:p>
        </w:tc>
        <w:tc>
          <w:tcPr>
            <w:tcW w:w="889" w:type="pct"/>
            <w:vAlign w:val="center"/>
          </w:tcPr>
          <w:p w14:paraId="37BF21CD">
            <w:pPr>
              <w:pStyle w:val="85"/>
              <w:spacing w:line="300" w:lineRule="exact"/>
              <w:rPr>
                <w:rFonts w:hint="default" w:cs="Times New Roman"/>
                <w:color w:val="auto"/>
              </w:rPr>
            </w:pPr>
          </w:p>
        </w:tc>
        <w:tc>
          <w:tcPr>
            <w:tcW w:w="882" w:type="pct"/>
            <w:vAlign w:val="center"/>
          </w:tcPr>
          <w:p w14:paraId="511FED96">
            <w:pPr>
              <w:pStyle w:val="85"/>
              <w:spacing w:line="300" w:lineRule="exact"/>
              <w:rPr>
                <w:rFonts w:hint="default" w:cs="Times New Roman"/>
                <w:color w:val="auto"/>
              </w:rPr>
            </w:pPr>
          </w:p>
        </w:tc>
        <w:tc>
          <w:tcPr>
            <w:tcW w:w="941" w:type="pct"/>
            <w:vAlign w:val="center"/>
          </w:tcPr>
          <w:p w14:paraId="44C83ABB">
            <w:pPr>
              <w:pStyle w:val="85"/>
              <w:spacing w:line="300" w:lineRule="exact"/>
              <w:rPr>
                <w:rFonts w:hint="default" w:cs="Times New Roman"/>
                <w:color w:val="auto"/>
              </w:rPr>
            </w:pPr>
          </w:p>
        </w:tc>
        <w:tc>
          <w:tcPr>
            <w:tcW w:w="907" w:type="pct"/>
            <w:vAlign w:val="center"/>
          </w:tcPr>
          <w:p w14:paraId="60E0A061">
            <w:pPr>
              <w:pStyle w:val="85"/>
              <w:spacing w:line="300" w:lineRule="exact"/>
              <w:rPr>
                <w:rFonts w:hint="default" w:cs="Times New Roman"/>
                <w:color w:val="000000" w:themeColor="text1"/>
                <w14:textFill>
                  <w14:solidFill>
                    <w14:schemeClr w14:val="tx1"/>
                  </w14:solidFill>
                </w14:textFill>
              </w:rPr>
            </w:pPr>
          </w:p>
        </w:tc>
      </w:tr>
      <w:tr w14:paraId="185B3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Align w:val="center"/>
          </w:tcPr>
          <w:p w14:paraId="5B55465D">
            <w:pPr>
              <w:pStyle w:val="85"/>
              <w:spacing w:line="300" w:lineRule="exact"/>
              <w:rPr>
                <w:rFonts w:hint="default" w:cs="Times New Roman"/>
                <w:color w:val="auto"/>
              </w:rPr>
            </w:pPr>
            <w:r>
              <w:rPr>
                <w:rFonts w:hint="default" w:cs="Times New Roman"/>
                <w:color w:val="auto"/>
              </w:rPr>
              <w:t>硝酸盐氮</w:t>
            </w:r>
          </w:p>
        </w:tc>
        <w:tc>
          <w:tcPr>
            <w:tcW w:w="889" w:type="pct"/>
            <w:vAlign w:val="center"/>
          </w:tcPr>
          <w:p w14:paraId="7E368146">
            <w:pPr>
              <w:pStyle w:val="85"/>
              <w:spacing w:line="300" w:lineRule="exact"/>
              <w:rPr>
                <w:rFonts w:hint="default" w:cs="Times New Roman"/>
                <w:color w:val="auto"/>
              </w:rPr>
            </w:pPr>
          </w:p>
        </w:tc>
        <w:tc>
          <w:tcPr>
            <w:tcW w:w="882" w:type="pct"/>
            <w:vAlign w:val="center"/>
          </w:tcPr>
          <w:p w14:paraId="726B1577">
            <w:pPr>
              <w:pStyle w:val="85"/>
              <w:spacing w:line="300" w:lineRule="exact"/>
              <w:rPr>
                <w:rFonts w:hint="default" w:cs="Times New Roman"/>
                <w:color w:val="auto"/>
              </w:rPr>
            </w:pPr>
          </w:p>
        </w:tc>
        <w:tc>
          <w:tcPr>
            <w:tcW w:w="941" w:type="pct"/>
            <w:vAlign w:val="center"/>
          </w:tcPr>
          <w:p w14:paraId="60768738">
            <w:pPr>
              <w:pStyle w:val="85"/>
              <w:spacing w:line="300" w:lineRule="exact"/>
              <w:rPr>
                <w:rFonts w:hint="default" w:cs="Times New Roman"/>
                <w:color w:val="auto"/>
              </w:rPr>
            </w:pPr>
          </w:p>
        </w:tc>
        <w:tc>
          <w:tcPr>
            <w:tcW w:w="907" w:type="pct"/>
            <w:vAlign w:val="center"/>
          </w:tcPr>
          <w:p w14:paraId="0A37D0BD">
            <w:pPr>
              <w:pStyle w:val="85"/>
              <w:spacing w:line="300" w:lineRule="exact"/>
              <w:rPr>
                <w:rFonts w:hint="default" w:cs="Times New Roman"/>
                <w:color w:val="000000" w:themeColor="text1"/>
                <w14:textFill>
                  <w14:solidFill>
                    <w14:schemeClr w14:val="tx1"/>
                  </w14:solidFill>
                </w14:textFill>
              </w:rPr>
            </w:pPr>
          </w:p>
        </w:tc>
      </w:tr>
      <w:tr w14:paraId="4599F7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Align w:val="center"/>
          </w:tcPr>
          <w:p w14:paraId="6687EFA1">
            <w:pPr>
              <w:pStyle w:val="85"/>
              <w:spacing w:line="300" w:lineRule="exact"/>
              <w:rPr>
                <w:rFonts w:hint="default" w:cs="Times New Roman"/>
                <w:color w:val="auto"/>
              </w:rPr>
            </w:pPr>
            <w:r>
              <w:rPr>
                <w:rFonts w:hint="default" w:cs="Times New Roman"/>
                <w:color w:val="auto"/>
              </w:rPr>
              <w:t>亚硝酸盐氮</w:t>
            </w:r>
          </w:p>
        </w:tc>
        <w:tc>
          <w:tcPr>
            <w:tcW w:w="889" w:type="pct"/>
            <w:vAlign w:val="center"/>
          </w:tcPr>
          <w:p w14:paraId="7CEC7958">
            <w:pPr>
              <w:pStyle w:val="85"/>
              <w:spacing w:line="300" w:lineRule="exact"/>
              <w:rPr>
                <w:rFonts w:hint="default" w:cs="Times New Roman"/>
                <w:color w:val="auto"/>
              </w:rPr>
            </w:pPr>
          </w:p>
        </w:tc>
        <w:tc>
          <w:tcPr>
            <w:tcW w:w="882" w:type="pct"/>
            <w:vAlign w:val="center"/>
          </w:tcPr>
          <w:p w14:paraId="232E15F3">
            <w:pPr>
              <w:pStyle w:val="85"/>
              <w:spacing w:line="300" w:lineRule="exact"/>
              <w:rPr>
                <w:rFonts w:hint="default" w:cs="Times New Roman"/>
                <w:color w:val="auto"/>
              </w:rPr>
            </w:pPr>
          </w:p>
        </w:tc>
        <w:tc>
          <w:tcPr>
            <w:tcW w:w="941" w:type="pct"/>
            <w:vAlign w:val="center"/>
          </w:tcPr>
          <w:p w14:paraId="60C13A19">
            <w:pPr>
              <w:pStyle w:val="85"/>
              <w:spacing w:line="300" w:lineRule="exact"/>
              <w:rPr>
                <w:rFonts w:hint="default" w:cs="Times New Roman"/>
                <w:color w:val="auto"/>
              </w:rPr>
            </w:pPr>
          </w:p>
        </w:tc>
        <w:tc>
          <w:tcPr>
            <w:tcW w:w="907" w:type="pct"/>
            <w:vAlign w:val="center"/>
          </w:tcPr>
          <w:p w14:paraId="655B77D1">
            <w:pPr>
              <w:pStyle w:val="85"/>
              <w:spacing w:line="300" w:lineRule="exact"/>
              <w:rPr>
                <w:rFonts w:hint="default" w:cs="Times New Roman"/>
                <w:color w:val="000000" w:themeColor="text1"/>
                <w14:textFill>
                  <w14:solidFill>
                    <w14:schemeClr w14:val="tx1"/>
                  </w14:solidFill>
                </w14:textFill>
              </w:rPr>
            </w:pPr>
          </w:p>
        </w:tc>
      </w:tr>
      <w:tr w14:paraId="0C6B7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Align w:val="center"/>
          </w:tcPr>
          <w:p w14:paraId="682C2A64">
            <w:pPr>
              <w:pStyle w:val="85"/>
              <w:spacing w:line="300" w:lineRule="exact"/>
              <w:rPr>
                <w:rFonts w:hint="default" w:cs="Times New Roman"/>
                <w:color w:val="auto"/>
              </w:rPr>
            </w:pPr>
            <w:r>
              <w:rPr>
                <w:rFonts w:hint="default" w:cs="Times New Roman"/>
                <w:color w:val="auto"/>
              </w:rPr>
              <w:t>挥发酚</w:t>
            </w:r>
          </w:p>
        </w:tc>
        <w:tc>
          <w:tcPr>
            <w:tcW w:w="889" w:type="pct"/>
            <w:vAlign w:val="center"/>
          </w:tcPr>
          <w:p w14:paraId="4B76AF6E">
            <w:pPr>
              <w:pStyle w:val="85"/>
              <w:spacing w:line="300" w:lineRule="exact"/>
              <w:rPr>
                <w:rFonts w:hint="default" w:cs="Times New Roman"/>
                <w:color w:val="auto"/>
              </w:rPr>
            </w:pPr>
          </w:p>
        </w:tc>
        <w:tc>
          <w:tcPr>
            <w:tcW w:w="882" w:type="pct"/>
            <w:vAlign w:val="center"/>
          </w:tcPr>
          <w:p w14:paraId="572C5BC4">
            <w:pPr>
              <w:pStyle w:val="85"/>
              <w:spacing w:line="300" w:lineRule="exact"/>
              <w:rPr>
                <w:rFonts w:hint="default" w:cs="Times New Roman"/>
                <w:color w:val="auto"/>
              </w:rPr>
            </w:pPr>
          </w:p>
        </w:tc>
        <w:tc>
          <w:tcPr>
            <w:tcW w:w="941" w:type="pct"/>
            <w:vAlign w:val="center"/>
          </w:tcPr>
          <w:p w14:paraId="66848D2F">
            <w:pPr>
              <w:pStyle w:val="85"/>
              <w:spacing w:line="300" w:lineRule="exact"/>
              <w:rPr>
                <w:rFonts w:hint="default" w:cs="Times New Roman"/>
                <w:color w:val="auto"/>
              </w:rPr>
            </w:pPr>
          </w:p>
        </w:tc>
        <w:tc>
          <w:tcPr>
            <w:tcW w:w="907" w:type="pct"/>
            <w:vAlign w:val="center"/>
          </w:tcPr>
          <w:p w14:paraId="719F6D67">
            <w:pPr>
              <w:pStyle w:val="85"/>
              <w:spacing w:line="300" w:lineRule="exact"/>
              <w:rPr>
                <w:rFonts w:hint="default" w:cs="Times New Roman"/>
                <w:color w:val="000000" w:themeColor="text1"/>
                <w14:textFill>
                  <w14:solidFill>
                    <w14:schemeClr w14:val="tx1"/>
                  </w14:solidFill>
                </w14:textFill>
              </w:rPr>
            </w:pPr>
          </w:p>
        </w:tc>
      </w:tr>
      <w:tr w14:paraId="5FB989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Align w:val="center"/>
          </w:tcPr>
          <w:p w14:paraId="1840B466">
            <w:pPr>
              <w:pStyle w:val="85"/>
              <w:spacing w:line="300" w:lineRule="exact"/>
              <w:rPr>
                <w:rFonts w:hint="default" w:cs="Times New Roman"/>
                <w:color w:val="auto"/>
              </w:rPr>
            </w:pPr>
            <w:r>
              <w:rPr>
                <w:rFonts w:hint="default" w:cs="Times New Roman"/>
                <w:color w:val="auto"/>
              </w:rPr>
              <w:t>总硬度</w:t>
            </w:r>
          </w:p>
        </w:tc>
        <w:tc>
          <w:tcPr>
            <w:tcW w:w="889" w:type="pct"/>
            <w:vAlign w:val="center"/>
          </w:tcPr>
          <w:p w14:paraId="07448579">
            <w:pPr>
              <w:pStyle w:val="85"/>
              <w:spacing w:line="300" w:lineRule="exact"/>
              <w:rPr>
                <w:rFonts w:hint="default" w:cs="Times New Roman"/>
                <w:color w:val="auto"/>
              </w:rPr>
            </w:pPr>
          </w:p>
        </w:tc>
        <w:tc>
          <w:tcPr>
            <w:tcW w:w="882" w:type="pct"/>
            <w:vAlign w:val="center"/>
          </w:tcPr>
          <w:p w14:paraId="03F4B5B5">
            <w:pPr>
              <w:pStyle w:val="85"/>
              <w:spacing w:line="300" w:lineRule="exact"/>
              <w:rPr>
                <w:rFonts w:hint="default" w:cs="Times New Roman"/>
                <w:color w:val="auto"/>
              </w:rPr>
            </w:pPr>
          </w:p>
        </w:tc>
        <w:tc>
          <w:tcPr>
            <w:tcW w:w="941" w:type="pct"/>
            <w:vAlign w:val="center"/>
          </w:tcPr>
          <w:p w14:paraId="5AEE85AA">
            <w:pPr>
              <w:pStyle w:val="85"/>
              <w:spacing w:line="300" w:lineRule="exact"/>
              <w:rPr>
                <w:rFonts w:hint="default" w:cs="Times New Roman"/>
                <w:color w:val="auto"/>
              </w:rPr>
            </w:pPr>
          </w:p>
        </w:tc>
        <w:tc>
          <w:tcPr>
            <w:tcW w:w="907" w:type="pct"/>
            <w:vAlign w:val="center"/>
          </w:tcPr>
          <w:p w14:paraId="204BF9F0">
            <w:pPr>
              <w:pStyle w:val="85"/>
              <w:spacing w:line="300" w:lineRule="exact"/>
              <w:rPr>
                <w:rFonts w:hint="default" w:cs="Times New Roman"/>
                <w:color w:val="000000" w:themeColor="text1"/>
                <w14:textFill>
                  <w14:solidFill>
                    <w14:schemeClr w14:val="tx1"/>
                  </w14:solidFill>
                </w14:textFill>
              </w:rPr>
            </w:pPr>
          </w:p>
        </w:tc>
      </w:tr>
      <w:tr w14:paraId="33880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Align w:val="center"/>
          </w:tcPr>
          <w:p w14:paraId="29263594">
            <w:pPr>
              <w:pStyle w:val="85"/>
              <w:spacing w:line="300" w:lineRule="exact"/>
              <w:rPr>
                <w:rFonts w:hint="default" w:cs="Times New Roman"/>
                <w:color w:val="auto"/>
              </w:rPr>
            </w:pPr>
            <w:r>
              <w:rPr>
                <w:rFonts w:hint="default" w:cs="Times New Roman"/>
                <w:color w:val="auto"/>
              </w:rPr>
              <w:t>溶解性总固体</w:t>
            </w:r>
          </w:p>
        </w:tc>
        <w:tc>
          <w:tcPr>
            <w:tcW w:w="889" w:type="pct"/>
            <w:vAlign w:val="center"/>
          </w:tcPr>
          <w:p w14:paraId="49381498">
            <w:pPr>
              <w:pStyle w:val="85"/>
              <w:spacing w:line="300" w:lineRule="exact"/>
              <w:rPr>
                <w:rFonts w:hint="default" w:cs="Times New Roman"/>
                <w:color w:val="auto"/>
              </w:rPr>
            </w:pPr>
          </w:p>
        </w:tc>
        <w:tc>
          <w:tcPr>
            <w:tcW w:w="882" w:type="pct"/>
            <w:vAlign w:val="center"/>
          </w:tcPr>
          <w:p w14:paraId="2B9F0D71">
            <w:pPr>
              <w:pStyle w:val="85"/>
              <w:spacing w:line="300" w:lineRule="exact"/>
              <w:rPr>
                <w:rFonts w:hint="default" w:cs="Times New Roman"/>
                <w:color w:val="auto"/>
              </w:rPr>
            </w:pPr>
          </w:p>
        </w:tc>
        <w:tc>
          <w:tcPr>
            <w:tcW w:w="941" w:type="pct"/>
            <w:vAlign w:val="center"/>
          </w:tcPr>
          <w:p w14:paraId="62368CE0">
            <w:pPr>
              <w:pStyle w:val="85"/>
              <w:spacing w:line="300" w:lineRule="exact"/>
              <w:rPr>
                <w:rFonts w:hint="default" w:cs="Times New Roman"/>
                <w:color w:val="auto"/>
              </w:rPr>
            </w:pPr>
          </w:p>
        </w:tc>
        <w:tc>
          <w:tcPr>
            <w:tcW w:w="907" w:type="pct"/>
            <w:vAlign w:val="center"/>
          </w:tcPr>
          <w:p w14:paraId="6824F1A4">
            <w:pPr>
              <w:pStyle w:val="85"/>
              <w:spacing w:line="300" w:lineRule="exact"/>
              <w:rPr>
                <w:rFonts w:hint="default" w:cs="Times New Roman"/>
                <w:color w:val="000000" w:themeColor="text1"/>
                <w14:textFill>
                  <w14:solidFill>
                    <w14:schemeClr w14:val="tx1"/>
                  </w14:solidFill>
                </w14:textFill>
              </w:rPr>
            </w:pPr>
          </w:p>
        </w:tc>
      </w:tr>
      <w:tr w14:paraId="7204F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Align w:val="center"/>
          </w:tcPr>
          <w:p w14:paraId="0DE418F6">
            <w:pPr>
              <w:pStyle w:val="85"/>
              <w:spacing w:line="300" w:lineRule="exact"/>
              <w:rPr>
                <w:rFonts w:hint="default" w:cs="Times New Roman"/>
                <w:color w:val="auto"/>
              </w:rPr>
            </w:pPr>
            <w:r>
              <w:rPr>
                <w:rFonts w:hint="default" w:cs="Times New Roman"/>
                <w:color w:val="auto"/>
              </w:rPr>
              <w:t>耗氧量</w:t>
            </w:r>
          </w:p>
        </w:tc>
        <w:tc>
          <w:tcPr>
            <w:tcW w:w="889" w:type="pct"/>
            <w:vAlign w:val="center"/>
          </w:tcPr>
          <w:p w14:paraId="7488DEE4">
            <w:pPr>
              <w:pStyle w:val="85"/>
              <w:spacing w:line="300" w:lineRule="exact"/>
              <w:rPr>
                <w:rFonts w:hint="default" w:cs="Times New Roman"/>
                <w:color w:val="auto"/>
              </w:rPr>
            </w:pPr>
          </w:p>
        </w:tc>
        <w:tc>
          <w:tcPr>
            <w:tcW w:w="882" w:type="pct"/>
            <w:vAlign w:val="center"/>
          </w:tcPr>
          <w:p w14:paraId="2D949DDE">
            <w:pPr>
              <w:pStyle w:val="85"/>
              <w:spacing w:line="300" w:lineRule="exact"/>
              <w:rPr>
                <w:rFonts w:hint="default" w:cs="Times New Roman"/>
                <w:color w:val="auto"/>
              </w:rPr>
            </w:pPr>
          </w:p>
        </w:tc>
        <w:tc>
          <w:tcPr>
            <w:tcW w:w="941" w:type="pct"/>
            <w:vAlign w:val="center"/>
          </w:tcPr>
          <w:p w14:paraId="691E4D73">
            <w:pPr>
              <w:pStyle w:val="85"/>
              <w:spacing w:line="300" w:lineRule="exact"/>
              <w:rPr>
                <w:rFonts w:hint="default" w:cs="Times New Roman"/>
                <w:color w:val="auto"/>
              </w:rPr>
            </w:pPr>
          </w:p>
        </w:tc>
        <w:tc>
          <w:tcPr>
            <w:tcW w:w="907" w:type="pct"/>
            <w:vAlign w:val="center"/>
          </w:tcPr>
          <w:p w14:paraId="3CFFBBDF">
            <w:pPr>
              <w:pStyle w:val="85"/>
              <w:spacing w:line="300" w:lineRule="exact"/>
              <w:rPr>
                <w:rFonts w:hint="default" w:cs="Times New Roman"/>
                <w:color w:val="000000" w:themeColor="text1"/>
                <w14:textFill>
                  <w14:solidFill>
                    <w14:schemeClr w14:val="tx1"/>
                  </w14:solidFill>
                </w14:textFill>
              </w:rPr>
            </w:pPr>
          </w:p>
        </w:tc>
      </w:tr>
      <w:tr w14:paraId="3F9892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Align w:val="center"/>
          </w:tcPr>
          <w:p w14:paraId="4CFFEF9C">
            <w:pPr>
              <w:pStyle w:val="85"/>
              <w:spacing w:line="300" w:lineRule="exact"/>
              <w:rPr>
                <w:rFonts w:hint="default" w:cs="Times New Roman"/>
                <w:color w:val="auto"/>
              </w:rPr>
            </w:pPr>
            <w:r>
              <w:rPr>
                <w:rFonts w:hint="default" w:cs="Times New Roman"/>
                <w:color w:val="auto"/>
              </w:rPr>
              <w:t>硫酸盐</w:t>
            </w:r>
          </w:p>
        </w:tc>
        <w:tc>
          <w:tcPr>
            <w:tcW w:w="889" w:type="pct"/>
            <w:vAlign w:val="center"/>
          </w:tcPr>
          <w:p w14:paraId="385BF6D8">
            <w:pPr>
              <w:pStyle w:val="85"/>
              <w:spacing w:line="300" w:lineRule="exact"/>
              <w:rPr>
                <w:rFonts w:hint="default" w:cs="Times New Roman"/>
                <w:color w:val="auto"/>
              </w:rPr>
            </w:pPr>
          </w:p>
        </w:tc>
        <w:tc>
          <w:tcPr>
            <w:tcW w:w="882" w:type="pct"/>
            <w:vAlign w:val="center"/>
          </w:tcPr>
          <w:p w14:paraId="5AFB1129">
            <w:pPr>
              <w:pStyle w:val="85"/>
              <w:spacing w:line="300" w:lineRule="exact"/>
              <w:rPr>
                <w:rFonts w:hint="default" w:cs="Times New Roman"/>
                <w:color w:val="auto"/>
              </w:rPr>
            </w:pPr>
          </w:p>
        </w:tc>
        <w:tc>
          <w:tcPr>
            <w:tcW w:w="941" w:type="pct"/>
            <w:vAlign w:val="center"/>
          </w:tcPr>
          <w:p w14:paraId="5A4730F2">
            <w:pPr>
              <w:pStyle w:val="85"/>
              <w:spacing w:line="300" w:lineRule="exact"/>
              <w:rPr>
                <w:rFonts w:hint="default" w:cs="Times New Roman"/>
                <w:color w:val="auto"/>
              </w:rPr>
            </w:pPr>
          </w:p>
        </w:tc>
        <w:tc>
          <w:tcPr>
            <w:tcW w:w="907" w:type="pct"/>
            <w:vAlign w:val="center"/>
          </w:tcPr>
          <w:p w14:paraId="0FF86E49">
            <w:pPr>
              <w:pStyle w:val="85"/>
              <w:spacing w:line="300" w:lineRule="exact"/>
              <w:rPr>
                <w:rFonts w:hint="default" w:cs="Times New Roman"/>
                <w:color w:val="000000" w:themeColor="text1"/>
                <w14:textFill>
                  <w14:solidFill>
                    <w14:schemeClr w14:val="tx1"/>
                  </w14:solidFill>
                </w14:textFill>
              </w:rPr>
            </w:pPr>
          </w:p>
        </w:tc>
      </w:tr>
      <w:tr w14:paraId="6C1E2E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Align w:val="center"/>
          </w:tcPr>
          <w:p w14:paraId="24944B5C">
            <w:pPr>
              <w:pStyle w:val="85"/>
              <w:spacing w:line="300" w:lineRule="exact"/>
              <w:rPr>
                <w:rFonts w:hint="default" w:cs="Times New Roman"/>
                <w:color w:val="auto"/>
              </w:rPr>
            </w:pPr>
            <w:r>
              <w:rPr>
                <w:rFonts w:hint="default" w:cs="Times New Roman"/>
                <w:color w:val="auto"/>
              </w:rPr>
              <w:t>氯化物</w:t>
            </w:r>
          </w:p>
        </w:tc>
        <w:tc>
          <w:tcPr>
            <w:tcW w:w="889" w:type="pct"/>
            <w:vAlign w:val="center"/>
          </w:tcPr>
          <w:p w14:paraId="0486B558">
            <w:pPr>
              <w:pStyle w:val="85"/>
              <w:spacing w:line="300" w:lineRule="exact"/>
              <w:rPr>
                <w:rFonts w:hint="default" w:cs="Times New Roman"/>
                <w:color w:val="auto"/>
              </w:rPr>
            </w:pPr>
          </w:p>
        </w:tc>
        <w:tc>
          <w:tcPr>
            <w:tcW w:w="882" w:type="pct"/>
            <w:vAlign w:val="center"/>
          </w:tcPr>
          <w:p w14:paraId="270FEA44">
            <w:pPr>
              <w:pStyle w:val="85"/>
              <w:spacing w:line="300" w:lineRule="exact"/>
              <w:rPr>
                <w:rFonts w:hint="default" w:cs="Times New Roman"/>
                <w:color w:val="auto"/>
              </w:rPr>
            </w:pPr>
          </w:p>
        </w:tc>
        <w:tc>
          <w:tcPr>
            <w:tcW w:w="941" w:type="pct"/>
            <w:vAlign w:val="center"/>
          </w:tcPr>
          <w:p w14:paraId="370F2CFE">
            <w:pPr>
              <w:pStyle w:val="85"/>
              <w:spacing w:line="300" w:lineRule="exact"/>
              <w:rPr>
                <w:rFonts w:hint="default" w:cs="Times New Roman"/>
                <w:color w:val="auto"/>
              </w:rPr>
            </w:pPr>
          </w:p>
        </w:tc>
        <w:tc>
          <w:tcPr>
            <w:tcW w:w="907" w:type="pct"/>
            <w:vAlign w:val="center"/>
          </w:tcPr>
          <w:p w14:paraId="388AD37D">
            <w:pPr>
              <w:pStyle w:val="85"/>
              <w:spacing w:line="300" w:lineRule="exact"/>
              <w:rPr>
                <w:rFonts w:hint="default" w:cs="Times New Roman"/>
                <w:color w:val="000000" w:themeColor="text1"/>
                <w14:textFill>
                  <w14:solidFill>
                    <w14:schemeClr w14:val="tx1"/>
                  </w14:solidFill>
                </w14:textFill>
              </w:rPr>
            </w:pPr>
          </w:p>
        </w:tc>
      </w:tr>
      <w:tr w14:paraId="46C006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Align w:val="center"/>
          </w:tcPr>
          <w:p w14:paraId="64D370F0">
            <w:pPr>
              <w:pStyle w:val="85"/>
              <w:spacing w:line="300" w:lineRule="exact"/>
              <w:rPr>
                <w:rFonts w:hint="default" w:cs="Times New Roman"/>
                <w:color w:val="auto"/>
              </w:rPr>
            </w:pPr>
            <w:r>
              <w:rPr>
                <w:rFonts w:hint="default" w:cs="Times New Roman"/>
                <w:color w:val="auto"/>
              </w:rPr>
              <w:t>氟化物</w:t>
            </w:r>
          </w:p>
        </w:tc>
        <w:tc>
          <w:tcPr>
            <w:tcW w:w="889" w:type="pct"/>
            <w:vAlign w:val="center"/>
          </w:tcPr>
          <w:p w14:paraId="15098676">
            <w:pPr>
              <w:pStyle w:val="85"/>
              <w:spacing w:line="300" w:lineRule="exact"/>
              <w:rPr>
                <w:rFonts w:hint="default" w:cs="Times New Roman"/>
                <w:color w:val="auto"/>
              </w:rPr>
            </w:pPr>
          </w:p>
        </w:tc>
        <w:tc>
          <w:tcPr>
            <w:tcW w:w="882" w:type="pct"/>
            <w:vAlign w:val="center"/>
          </w:tcPr>
          <w:p w14:paraId="7A7BF755">
            <w:pPr>
              <w:pStyle w:val="85"/>
              <w:spacing w:line="300" w:lineRule="exact"/>
              <w:rPr>
                <w:rFonts w:hint="default" w:cs="Times New Roman"/>
                <w:color w:val="auto"/>
              </w:rPr>
            </w:pPr>
          </w:p>
        </w:tc>
        <w:tc>
          <w:tcPr>
            <w:tcW w:w="941" w:type="pct"/>
            <w:vAlign w:val="center"/>
          </w:tcPr>
          <w:p w14:paraId="19ABBD0B">
            <w:pPr>
              <w:pStyle w:val="85"/>
              <w:spacing w:line="300" w:lineRule="exact"/>
              <w:rPr>
                <w:rFonts w:hint="default" w:cs="Times New Roman"/>
                <w:color w:val="auto"/>
              </w:rPr>
            </w:pPr>
          </w:p>
        </w:tc>
        <w:tc>
          <w:tcPr>
            <w:tcW w:w="907" w:type="pct"/>
            <w:vAlign w:val="center"/>
          </w:tcPr>
          <w:p w14:paraId="165DCEC3">
            <w:pPr>
              <w:pStyle w:val="85"/>
              <w:spacing w:line="300" w:lineRule="exact"/>
              <w:rPr>
                <w:rFonts w:hint="default" w:cs="Times New Roman"/>
                <w:color w:val="000000" w:themeColor="text1"/>
                <w14:textFill>
                  <w14:solidFill>
                    <w14:schemeClr w14:val="tx1"/>
                  </w14:solidFill>
                </w14:textFill>
              </w:rPr>
            </w:pPr>
          </w:p>
        </w:tc>
      </w:tr>
      <w:tr w14:paraId="17FBC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79" w:type="pct"/>
            <w:vAlign w:val="center"/>
          </w:tcPr>
          <w:p w14:paraId="729BD7CE">
            <w:pPr>
              <w:pStyle w:val="85"/>
              <w:spacing w:line="300" w:lineRule="exact"/>
              <w:rPr>
                <w:rFonts w:hint="default" w:cs="Times New Roman"/>
                <w:color w:val="auto"/>
              </w:rPr>
            </w:pPr>
            <w:r>
              <w:rPr>
                <w:rFonts w:hint="default" w:cs="Times New Roman"/>
                <w:color w:val="auto"/>
              </w:rPr>
              <w:t>六价铬</w:t>
            </w:r>
          </w:p>
        </w:tc>
        <w:tc>
          <w:tcPr>
            <w:tcW w:w="889" w:type="pct"/>
            <w:vAlign w:val="center"/>
          </w:tcPr>
          <w:p w14:paraId="2B91AF5F">
            <w:pPr>
              <w:pStyle w:val="85"/>
              <w:spacing w:line="300" w:lineRule="exact"/>
              <w:rPr>
                <w:rFonts w:hint="default" w:cs="Times New Roman"/>
                <w:color w:val="auto"/>
              </w:rPr>
            </w:pPr>
          </w:p>
        </w:tc>
        <w:tc>
          <w:tcPr>
            <w:tcW w:w="882" w:type="pct"/>
            <w:vAlign w:val="center"/>
          </w:tcPr>
          <w:p w14:paraId="69E5097B">
            <w:pPr>
              <w:pStyle w:val="85"/>
              <w:spacing w:line="300" w:lineRule="exact"/>
              <w:rPr>
                <w:rFonts w:hint="default" w:cs="Times New Roman"/>
                <w:color w:val="auto"/>
              </w:rPr>
            </w:pPr>
          </w:p>
        </w:tc>
        <w:tc>
          <w:tcPr>
            <w:tcW w:w="941" w:type="pct"/>
            <w:vAlign w:val="center"/>
          </w:tcPr>
          <w:p w14:paraId="47901C70">
            <w:pPr>
              <w:pStyle w:val="85"/>
              <w:spacing w:line="300" w:lineRule="exact"/>
              <w:rPr>
                <w:rFonts w:hint="default" w:cs="Times New Roman"/>
                <w:color w:val="auto"/>
              </w:rPr>
            </w:pPr>
          </w:p>
        </w:tc>
        <w:tc>
          <w:tcPr>
            <w:tcW w:w="907" w:type="pct"/>
            <w:vAlign w:val="center"/>
          </w:tcPr>
          <w:p w14:paraId="45D35E5B">
            <w:pPr>
              <w:pStyle w:val="85"/>
              <w:spacing w:line="300" w:lineRule="exact"/>
              <w:rPr>
                <w:rFonts w:hint="default" w:cs="Times New Roman"/>
                <w:color w:val="000000" w:themeColor="text1"/>
                <w14:textFill>
                  <w14:solidFill>
                    <w14:schemeClr w14:val="tx1"/>
                  </w14:solidFill>
                </w14:textFill>
              </w:rPr>
            </w:pPr>
          </w:p>
        </w:tc>
      </w:tr>
      <w:tr w14:paraId="09060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379" w:type="pct"/>
            <w:vAlign w:val="center"/>
          </w:tcPr>
          <w:p w14:paraId="4DA01AE9">
            <w:pPr>
              <w:pStyle w:val="85"/>
              <w:spacing w:line="300" w:lineRule="exact"/>
              <w:rPr>
                <w:rFonts w:hint="default" w:cs="Times New Roman"/>
                <w:color w:val="auto"/>
              </w:rPr>
            </w:pPr>
            <w:r>
              <w:rPr>
                <w:rFonts w:hint="default" w:cs="Times New Roman"/>
                <w:color w:val="auto"/>
              </w:rPr>
              <w:t>砷</w:t>
            </w:r>
          </w:p>
        </w:tc>
        <w:tc>
          <w:tcPr>
            <w:tcW w:w="889" w:type="pct"/>
            <w:vAlign w:val="center"/>
          </w:tcPr>
          <w:p w14:paraId="44826933">
            <w:pPr>
              <w:pStyle w:val="85"/>
              <w:spacing w:line="300" w:lineRule="exact"/>
              <w:rPr>
                <w:rFonts w:hint="default" w:cs="Times New Roman"/>
                <w:color w:val="auto"/>
              </w:rPr>
            </w:pPr>
          </w:p>
        </w:tc>
        <w:tc>
          <w:tcPr>
            <w:tcW w:w="882" w:type="pct"/>
            <w:vAlign w:val="center"/>
          </w:tcPr>
          <w:p w14:paraId="5B1F29B4">
            <w:pPr>
              <w:pStyle w:val="85"/>
              <w:spacing w:line="300" w:lineRule="exact"/>
              <w:rPr>
                <w:rFonts w:hint="default" w:cs="Times New Roman"/>
                <w:color w:val="auto"/>
              </w:rPr>
            </w:pPr>
          </w:p>
        </w:tc>
        <w:tc>
          <w:tcPr>
            <w:tcW w:w="941" w:type="pct"/>
            <w:vAlign w:val="center"/>
          </w:tcPr>
          <w:p w14:paraId="117CB280">
            <w:pPr>
              <w:pStyle w:val="85"/>
              <w:spacing w:line="300" w:lineRule="exact"/>
              <w:rPr>
                <w:rFonts w:hint="default" w:cs="Times New Roman"/>
                <w:color w:val="auto"/>
              </w:rPr>
            </w:pPr>
          </w:p>
        </w:tc>
        <w:tc>
          <w:tcPr>
            <w:tcW w:w="907" w:type="pct"/>
            <w:vAlign w:val="center"/>
          </w:tcPr>
          <w:p w14:paraId="5758EB0A">
            <w:pPr>
              <w:pStyle w:val="85"/>
              <w:spacing w:line="300" w:lineRule="exact"/>
              <w:rPr>
                <w:rFonts w:hint="default" w:cs="Times New Roman"/>
                <w:color w:val="000000" w:themeColor="text1"/>
                <w14:textFill>
                  <w14:solidFill>
                    <w14:schemeClr w14:val="tx1"/>
                  </w14:solidFill>
                </w14:textFill>
              </w:rPr>
            </w:pPr>
          </w:p>
        </w:tc>
      </w:tr>
      <w:tr w14:paraId="3054E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379" w:type="pct"/>
            <w:vAlign w:val="center"/>
          </w:tcPr>
          <w:p w14:paraId="4FBF63E5">
            <w:pPr>
              <w:pStyle w:val="85"/>
              <w:spacing w:line="300" w:lineRule="exact"/>
              <w:rPr>
                <w:rFonts w:hint="default" w:cs="Times New Roman"/>
                <w:color w:val="auto"/>
              </w:rPr>
            </w:pPr>
            <w:r>
              <w:rPr>
                <w:rFonts w:hint="default" w:cs="Times New Roman"/>
                <w:color w:val="auto"/>
              </w:rPr>
              <w:t>铅</w:t>
            </w:r>
          </w:p>
        </w:tc>
        <w:tc>
          <w:tcPr>
            <w:tcW w:w="889" w:type="pct"/>
            <w:vAlign w:val="center"/>
          </w:tcPr>
          <w:p w14:paraId="60FA03F7">
            <w:pPr>
              <w:pStyle w:val="85"/>
              <w:spacing w:line="300" w:lineRule="exact"/>
              <w:rPr>
                <w:rFonts w:hint="default" w:cs="Times New Roman"/>
                <w:color w:val="auto"/>
              </w:rPr>
            </w:pPr>
          </w:p>
        </w:tc>
        <w:tc>
          <w:tcPr>
            <w:tcW w:w="882" w:type="pct"/>
            <w:vAlign w:val="center"/>
          </w:tcPr>
          <w:p w14:paraId="6EA65DD0">
            <w:pPr>
              <w:pStyle w:val="85"/>
              <w:spacing w:line="300" w:lineRule="exact"/>
              <w:rPr>
                <w:rFonts w:hint="default" w:cs="Times New Roman"/>
                <w:color w:val="auto"/>
              </w:rPr>
            </w:pPr>
          </w:p>
        </w:tc>
        <w:tc>
          <w:tcPr>
            <w:tcW w:w="941" w:type="pct"/>
            <w:vAlign w:val="center"/>
          </w:tcPr>
          <w:p w14:paraId="5DB77F55">
            <w:pPr>
              <w:pStyle w:val="85"/>
              <w:spacing w:line="300" w:lineRule="exact"/>
              <w:rPr>
                <w:rFonts w:hint="default" w:cs="Times New Roman"/>
                <w:color w:val="auto"/>
              </w:rPr>
            </w:pPr>
          </w:p>
        </w:tc>
        <w:tc>
          <w:tcPr>
            <w:tcW w:w="907" w:type="pct"/>
            <w:vAlign w:val="center"/>
          </w:tcPr>
          <w:p w14:paraId="2E11DD3C">
            <w:pPr>
              <w:pStyle w:val="85"/>
              <w:spacing w:line="300" w:lineRule="exact"/>
              <w:rPr>
                <w:rFonts w:hint="default" w:cs="Times New Roman"/>
                <w:color w:val="000000" w:themeColor="text1"/>
                <w14:textFill>
                  <w14:solidFill>
                    <w14:schemeClr w14:val="tx1"/>
                  </w14:solidFill>
                </w14:textFill>
              </w:rPr>
            </w:pPr>
          </w:p>
        </w:tc>
      </w:tr>
      <w:tr w14:paraId="493773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379" w:type="pct"/>
            <w:vAlign w:val="center"/>
          </w:tcPr>
          <w:p w14:paraId="4B819873">
            <w:pPr>
              <w:pStyle w:val="85"/>
              <w:spacing w:line="300" w:lineRule="exact"/>
              <w:rPr>
                <w:rFonts w:hint="default" w:cs="Times New Roman"/>
                <w:color w:val="auto"/>
              </w:rPr>
            </w:pPr>
            <w:r>
              <w:rPr>
                <w:rFonts w:hint="default" w:cs="Times New Roman"/>
                <w:color w:val="auto"/>
              </w:rPr>
              <w:t>铁</w:t>
            </w:r>
          </w:p>
        </w:tc>
        <w:tc>
          <w:tcPr>
            <w:tcW w:w="889" w:type="pct"/>
            <w:vAlign w:val="center"/>
          </w:tcPr>
          <w:p w14:paraId="499C2978">
            <w:pPr>
              <w:pStyle w:val="85"/>
              <w:spacing w:line="300" w:lineRule="exact"/>
              <w:rPr>
                <w:rFonts w:hint="default" w:cs="Times New Roman"/>
                <w:color w:val="auto"/>
              </w:rPr>
            </w:pPr>
          </w:p>
        </w:tc>
        <w:tc>
          <w:tcPr>
            <w:tcW w:w="882" w:type="pct"/>
            <w:vAlign w:val="center"/>
          </w:tcPr>
          <w:p w14:paraId="7BF614FD">
            <w:pPr>
              <w:pStyle w:val="85"/>
              <w:spacing w:line="300" w:lineRule="exact"/>
              <w:rPr>
                <w:rFonts w:hint="default" w:cs="Times New Roman"/>
                <w:color w:val="auto"/>
              </w:rPr>
            </w:pPr>
          </w:p>
        </w:tc>
        <w:tc>
          <w:tcPr>
            <w:tcW w:w="941" w:type="pct"/>
            <w:vAlign w:val="center"/>
          </w:tcPr>
          <w:p w14:paraId="75BA9B5C">
            <w:pPr>
              <w:pStyle w:val="85"/>
              <w:spacing w:line="300" w:lineRule="exact"/>
              <w:rPr>
                <w:rFonts w:hint="default" w:cs="Times New Roman"/>
                <w:color w:val="auto"/>
              </w:rPr>
            </w:pPr>
          </w:p>
        </w:tc>
        <w:tc>
          <w:tcPr>
            <w:tcW w:w="907" w:type="pct"/>
            <w:vAlign w:val="center"/>
          </w:tcPr>
          <w:p w14:paraId="0EAF4A5B">
            <w:pPr>
              <w:pStyle w:val="85"/>
              <w:spacing w:line="300" w:lineRule="exact"/>
              <w:rPr>
                <w:rFonts w:hint="default" w:cs="Times New Roman"/>
                <w:color w:val="000000" w:themeColor="text1"/>
                <w14:textFill>
                  <w14:solidFill>
                    <w14:schemeClr w14:val="tx1"/>
                  </w14:solidFill>
                </w14:textFill>
              </w:rPr>
            </w:pPr>
          </w:p>
        </w:tc>
      </w:tr>
      <w:tr w14:paraId="2528BC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379" w:type="pct"/>
            <w:vAlign w:val="center"/>
          </w:tcPr>
          <w:p w14:paraId="0C0D3100">
            <w:pPr>
              <w:pStyle w:val="85"/>
              <w:spacing w:line="300" w:lineRule="exact"/>
              <w:rPr>
                <w:rFonts w:hint="default" w:cs="Times New Roman"/>
                <w:color w:val="auto"/>
              </w:rPr>
            </w:pPr>
            <w:r>
              <w:rPr>
                <w:rFonts w:hint="default" w:cs="Times New Roman"/>
                <w:color w:val="auto"/>
              </w:rPr>
              <w:t>锰</w:t>
            </w:r>
          </w:p>
        </w:tc>
        <w:tc>
          <w:tcPr>
            <w:tcW w:w="889" w:type="pct"/>
            <w:vAlign w:val="center"/>
          </w:tcPr>
          <w:p w14:paraId="6928AB7F">
            <w:pPr>
              <w:pStyle w:val="85"/>
              <w:spacing w:line="300" w:lineRule="exact"/>
              <w:rPr>
                <w:rFonts w:hint="default" w:cs="Times New Roman"/>
                <w:color w:val="auto"/>
              </w:rPr>
            </w:pPr>
          </w:p>
        </w:tc>
        <w:tc>
          <w:tcPr>
            <w:tcW w:w="882" w:type="pct"/>
            <w:vAlign w:val="center"/>
          </w:tcPr>
          <w:p w14:paraId="68C0AA88">
            <w:pPr>
              <w:pStyle w:val="85"/>
              <w:spacing w:line="300" w:lineRule="exact"/>
              <w:rPr>
                <w:rFonts w:hint="default" w:cs="Times New Roman"/>
                <w:color w:val="auto"/>
              </w:rPr>
            </w:pPr>
          </w:p>
        </w:tc>
        <w:tc>
          <w:tcPr>
            <w:tcW w:w="941" w:type="pct"/>
            <w:vAlign w:val="center"/>
          </w:tcPr>
          <w:p w14:paraId="78E01E19">
            <w:pPr>
              <w:pStyle w:val="85"/>
              <w:spacing w:line="300" w:lineRule="exact"/>
              <w:rPr>
                <w:rFonts w:hint="default" w:cs="Times New Roman"/>
                <w:color w:val="auto"/>
              </w:rPr>
            </w:pPr>
          </w:p>
        </w:tc>
        <w:tc>
          <w:tcPr>
            <w:tcW w:w="907" w:type="pct"/>
            <w:vAlign w:val="center"/>
          </w:tcPr>
          <w:p w14:paraId="63F67EDA">
            <w:pPr>
              <w:pStyle w:val="85"/>
              <w:spacing w:line="300" w:lineRule="exact"/>
              <w:rPr>
                <w:rFonts w:hint="default" w:cs="Times New Roman"/>
                <w:color w:val="000000" w:themeColor="text1"/>
                <w14:textFill>
                  <w14:solidFill>
                    <w14:schemeClr w14:val="tx1"/>
                  </w14:solidFill>
                </w14:textFill>
              </w:rPr>
            </w:pPr>
          </w:p>
        </w:tc>
      </w:tr>
      <w:tr w14:paraId="055D94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379" w:type="pct"/>
            <w:vAlign w:val="center"/>
          </w:tcPr>
          <w:p w14:paraId="53250724">
            <w:pPr>
              <w:pStyle w:val="85"/>
              <w:spacing w:line="300" w:lineRule="exact"/>
              <w:rPr>
                <w:rFonts w:hint="default" w:cs="Times New Roman"/>
                <w:color w:val="auto"/>
              </w:rPr>
            </w:pPr>
            <w:r>
              <w:rPr>
                <w:rFonts w:hint="default" w:cs="Times New Roman"/>
                <w:color w:val="auto"/>
              </w:rPr>
              <w:t>铜</w:t>
            </w:r>
          </w:p>
        </w:tc>
        <w:tc>
          <w:tcPr>
            <w:tcW w:w="889" w:type="pct"/>
            <w:vAlign w:val="center"/>
          </w:tcPr>
          <w:p w14:paraId="2AAB5394">
            <w:pPr>
              <w:pStyle w:val="85"/>
              <w:spacing w:line="300" w:lineRule="exact"/>
              <w:rPr>
                <w:rFonts w:hint="default" w:cs="Times New Roman"/>
                <w:color w:val="auto"/>
              </w:rPr>
            </w:pPr>
          </w:p>
        </w:tc>
        <w:tc>
          <w:tcPr>
            <w:tcW w:w="882" w:type="pct"/>
            <w:vAlign w:val="center"/>
          </w:tcPr>
          <w:p w14:paraId="7823CCEF">
            <w:pPr>
              <w:pStyle w:val="85"/>
              <w:spacing w:line="300" w:lineRule="exact"/>
              <w:rPr>
                <w:rFonts w:hint="default" w:cs="Times New Roman"/>
                <w:color w:val="auto"/>
              </w:rPr>
            </w:pPr>
          </w:p>
        </w:tc>
        <w:tc>
          <w:tcPr>
            <w:tcW w:w="941" w:type="pct"/>
            <w:vAlign w:val="center"/>
          </w:tcPr>
          <w:p w14:paraId="71B9DE20">
            <w:pPr>
              <w:pStyle w:val="85"/>
              <w:spacing w:line="300" w:lineRule="exact"/>
              <w:rPr>
                <w:rFonts w:hint="default" w:cs="Times New Roman"/>
                <w:color w:val="auto"/>
              </w:rPr>
            </w:pPr>
          </w:p>
        </w:tc>
        <w:tc>
          <w:tcPr>
            <w:tcW w:w="907" w:type="pct"/>
            <w:vAlign w:val="center"/>
          </w:tcPr>
          <w:p w14:paraId="622270B5">
            <w:pPr>
              <w:pStyle w:val="85"/>
              <w:spacing w:line="300" w:lineRule="exact"/>
              <w:rPr>
                <w:rFonts w:hint="default" w:cs="Times New Roman"/>
                <w:color w:val="000000" w:themeColor="text1"/>
                <w14:textFill>
                  <w14:solidFill>
                    <w14:schemeClr w14:val="tx1"/>
                  </w14:solidFill>
                </w14:textFill>
              </w:rPr>
            </w:pPr>
          </w:p>
        </w:tc>
      </w:tr>
      <w:tr w14:paraId="4F446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379" w:type="pct"/>
            <w:vAlign w:val="center"/>
          </w:tcPr>
          <w:p w14:paraId="50D873B2">
            <w:pPr>
              <w:pStyle w:val="85"/>
              <w:spacing w:line="300" w:lineRule="exact"/>
              <w:rPr>
                <w:rFonts w:hint="default" w:cs="Times New Roman"/>
                <w:color w:val="auto"/>
              </w:rPr>
            </w:pPr>
            <w:r>
              <w:rPr>
                <w:rFonts w:hint="default" w:cs="Times New Roman"/>
                <w:color w:val="auto"/>
              </w:rPr>
              <w:t>锌</w:t>
            </w:r>
          </w:p>
        </w:tc>
        <w:tc>
          <w:tcPr>
            <w:tcW w:w="889" w:type="pct"/>
            <w:vAlign w:val="center"/>
          </w:tcPr>
          <w:p w14:paraId="13ECBE4B">
            <w:pPr>
              <w:pStyle w:val="85"/>
              <w:spacing w:line="300" w:lineRule="exact"/>
              <w:rPr>
                <w:rFonts w:hint="default" w:cs="Times New Roman"/>
                <w:color w:val="auto"/>
              </w:rPr>
            </w:pPr>
          </w:p>
        </w:tc>
        <w:tc>
          <w:tcPr>
            <w:tcW w:w="882" w:type="pct"/>
            <w:vAlign w:val="center"/>
          </w:tcPr>
          <w:p w14:paraId="432469FC">
            <w:pPr>
              <w:pStyle w:val="85"/>
              <w:spacing w:line="300" w:lineRule="exact"/>
              <w:rPr>
                <w:rFonts w:hint="default" w:cs="Times New Roman"/>
                <w:color w:val="auto"/>
              </w:rPr>
            </w:pPr>
          </w:p>
        </w:tc>
        <w:tc>
          <w:tcPr>
            <w:tcW w:w="941" w:type="pct"/>
            <w:vAlign w:val="center"/>
          </w:tcPr>
          <w:p w14:paraId="4F922762">
            <w:pPr>
              <w:pStyle w:val="85"/>
              <w:spacing w:line="300" w:lineRule="exact"/>
              <w:rPr>
                <w:rFonts w:hint="default" w:cs="Times New Roman"/>
                <w:color w:val="auto"/>
              </w:rPr>
            </w:pPr>
          </w:p>
        </w:tc>
        <w:tc>
          <w:tcPr>
            <w:tcW w:w="907" w:type="pct"/>
            <w:vAlign w:val="center"/>
          </w:tcPr>
          <w:p w14:paraId="229475EC">
            <w:pPr>
              <w:pStyle w:val="85"/>
              <w:spacing w:line="300" w:lineRule="exact"/>
              <w:rPr>
                <w:rFonts w:hint="default" w:cs="Times New Roman"/>
                <w:color w:val="000000" w:themeColor="text1"/>
                <w14:textFill>
                  <w14:solidFill>
                    <w14:schemeClr w14:val="tx1"/>
                  </w14:solidFill>
                </w14:textFill>
              </w:rPr>
            </w:pPr>
          </w:p>
        </w:tc>
      </w:tr>
      <w:tr w14:paraId="5C62D1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379" w:type="pct"/>
            <w:vAlign w:val="center"/>
          </w:tcPr>
          <w:p w14:paraId="3034CC35">
            <w:pPr>
              <w:pStyle w:val="85"/>
              <w:spacing w:line="300" w:lineRule="exact"/>
              <w:rPr>
                <w:rFonts w:hint="default" w:cs="Times New Roman"/>
                <w:color w:val="auto"/>
              </w:rPr>
            </w:pPr>
            <w:r>
              <w:rPr>
                <w:rFonts w:hint="default" w:cs="Times New Roman"/>
                <w:color w:val="auto"/>
              </w:rPr>
              <w:t>总大肠菌群（MPN/L）</w:t>
            </w:r>
          </w:p>
        </w:tc>
        <w:tc>
          <w:tcPr>
            <w:tcW w:w="889" w:type="pct"/>
            <w:vAlign w:val="center"/>
          </w:tcPr>
          <w:p w14:paraId="4903CC90">
            <w:pPr>
              <w:pStyle w:val="85"/>
              <w:spacing w:line="300" w:lineRule="exact"/>
              <w:rPr>
                <w:rFonts w:hint="default" w:cs="Times New Roman"/>
                <w:color w:val="auto"/>
              </w:rPr>
            </w:pPr>
          </w:p>
        </w:tc>
        <w:tc>
          <w:tcPr>
            <w:tcW w:w="882" w:type="pct"/>
            <w:vAlign w:val="center"/>
          </w:tcPr>
          <w:p w14:paraId="4D108464">
            <w:pPr>
              <w:pStyle w:val="85"/>
              <w:spacing w:line="300" w:lineRule="exact"/>
              <w:rPr>
                <w:rFonts w:hint="default" w:cs="Times New Roman"/>
                <w:color w:val="auto"/>
              </w:rPr>
            </w:pPr>
          </w:p>
        </w:tc>
        <w:tc>
          <w:tcPr>
            <w:tcW w:w="941" w:type="pct"/>
            <w:vAlign w:val="center"/>
          </w:tcPr>
          <w:p w14:paraId="48E15F04">
            <w:pPr>
              <w:pStyle w:val="85"/>
              <w:spacing w:line="300" w:lineRule="exact"/>
              <w:rPr>
                <w:rFonts w:hint="default" w:cs="Times New Roman"/>
                <w:color w:val="auto"/>
              </w:rPr>
            </w:pPr>
          </w:p>
        </w:tc>
        <w:tc>
          <w:tcPr>
            <w:tcW w:w="907" w:type="pct"/>
            <w:vAlign w:val="center"/>
          </w:tcPr>
          <w:p w14:paraId="030DC635">
            <w:pPr>
              <w:pStyle w:val="85"/>
              <w:spacing w:line="300" w:lineRule="exact"/>
              <w:rPr>
                <w:rFonts w:hint="default" w:cs="Times New Roman"/>
                <w:color w:val="000000" w:themeColor="text1"/>
                <w14:textFill>
                  <w14:solidFill>
                    <w14:schemeClr w14:val="tx1"/>
                  </w14:solidFill>
                </w14:textFill>
              </w:rPr>
            </w:pPr>
          </w:p>
        </w:tc>
      </w:tr>
      <w:tr w14:paraId="241F5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379" w:type="pct"/>
            <w:vAlign w:val="center"/>
          </w:tcPr>
          <w:p w14:paraId="00D3117B">
            <w:pPr>
              <w:pStyle w:val="85"/>
              <w:spacing w:line="300" w:lineRule="exact"/>
              <w:rPr>
                <w:rFonts w:hint="default" w:cs="Times New Roman"/>
                <w:color w:val="auto"/>
              </w:rPr>
            </w:pPr>
            <w:r>
              <w:rPr>
                <w:rFonts w:hint="default" w:cs="Times New Roman"/>
                <w:color w:val="auto"/>
              </w:rPr>
              <w:t>细菌总数（CFU/mL）</w:t>
            </w:r>
          </w:p>
        </w:tc>
        <w:tc>
          <w:tcPr>
            <w:tcW w:w="889" w:type="pct"/>
            <w:vAlign w:val="center"/>
          </w:tcPr>
          <w:p w14:paraId="64E3658A">
            <w:pPr>
              <w:pStyle w:val="85"/>
              <w:spacing w:line="300" w:lineRule="exact"/>
              <w:rPr>
                <w:rFonts w:hint="default" w:cs="Times New Roman"/>
                <w:color w:val="auto"/>
              </w:rPr>
            </w:pPr>
          </w:p>
        </w:tc>
        <w:tc>
          <w:tcPr>
            <w:tcW w:w="882" w:type="pct"/>
            <w:vAlign w:val="center"/>
          </w:tcPr>
          <w:p w14:paraId="1BD83A0E">
            <w:pPr>
              <w:pStyle w:val="85"/>
              <w:spacing w:line="300" w:lineRule="exact"/>
              <w:rPr>
                <w:rFonts w:hint="default" w:cs="Times New Roman"/>
                <w:color w:val="auto"/>
              </w:rPr>
            </w:pPr>
          </w:p>
        </w:tc>
        <w:tc>
          <w:tcPr>
            <w:tcW w:w="941" w:type="pct"/>
            <w:vAlign w:val="center"/>
          </w:tcPr>
          <w:p w14:paraId="1FEA7698">
            <w:pPr>
              <w:pStyle w:val="85"/>
              <w:spacing w:line="300" w:lineRule="exact"/>
              <w:rPr>
                <w:rFonts w:hint="default" w:cs="Times New Roman"/>
                <w:color w:val="auto"/>
              </w:rPr>
            </w:pPr>
          </w:p>
        </w:tc>
        <w:tc>
          <w:tcPr>
            <w:tcW w:w="907" w:type="pct"/>
            <w:vAlign w:val="center"/>
          </w:tcPr>
          <w:p w14:paraId="02B98D67">
            <w:pPr>
              <w:pStyle w:val="85"/>
              <w:spacing w:line="300" w:lineRule="exact"/>
              <w:rPr>
                <w:rFonts w:hint="default" w:cs="Times New Roman"/>
                <w:color w:val="000000" w:themeColor="text1"/>
                <w14:textFill>
                  <w14:solidFill>
                    <w14:schemeClr w14:val="tx1"/>
                  </w14:solidFill>
                </w14:textFill>
              </w:rPr>
            </w:pPr>
          </w:p>
        </w:tc>
      </w:tr>
    </w:tbl>
    <w:p w14:paraId="2D44C60D">
      <w:pPr>
        <w:adjustRightInd w:val="0"/>
        <w:snapToGrid w:val="0"/>
        <w:spacing w:line="360" w:lineRule="exact"/>
        <w:ind w:firstLine="420" w:firstLineChars="200"/>
        <w:rPr>
          <w:rFonts w:ascii="Times New Roman" w:hAnsi="宋体"/>
          <w:sz w:val="21"/>
          <w:szCs w:val="21"/>
        </w:rPr>
      </w:pPr>
      <w:r>
        <w:rPr>
          <w:rFonts w:hint="eastAsia" w:ascii="Times New Roman"/>
          <w:sz w:val="21"/>
          <w:szCs w:val="21"/>
        </w:rPr>
        <w:t>注：</w:t>
      </w:r>
      <w:r>
        <w:rPr>
          <w:rFonts w:ascii="Times New Roman"/>
          <w:sz w:val="21"/>
          <w:szCs w:val="21"/>
        </w:rPr>
        <w:t>ND</w:t>
      </w:r>
      <w:r>
        <w:rPr>
          <w:rFonts w:hint="eastAsia" w:ascii="Times New Roman" w:hAnsi="宋体"/>
          <w:sz w:val="21"/>
          <w:szCs w:val="21"/>
        </w:rPr>
        <w:t>表示</w:t>
      </w:r>
      <w:r>
        <w:rPr>
          <w:rFonts w:ascii="Times New Roman" w:hAnsi="宋体"/>
          <w:sz w:val="21"/>
          <w:szCs w:val="21"/>
        </w:rPr>
        <w:t>未检出</w:t>
      </w:r>
      <w:r>
        <w:rPr>
          <w:rFonts w:hint="eastAsia" w:ascii="Times New Roman" w:hAnsi="宋体"/>
          <w:sz w:val="21"/>
          <w:szCs w:val="21"/>
        </w:rPr>
        <w:t>，括号内为检出限</w:t>
      </w:r>
      <w:r>
        <w:rPr>
          <w:rFonts w:ascii="Times New Roman" w:hAnsi="宋体"/>
          <w:sz w:val="21"/>
          <w:szCs w:val="21"/>
        </w:rPr>
        <w:t>。</w:t>
      </w:r>
    </w:p>
    <w:p w14:paraId="36DA0C4E">
      <w:pPr>
        <w:pStyle w:val="83"/>
        <w:spacing w:line="500" w:lineRule="exact"/>
        <w:rPr>
          <w:rFonts w:hint="default"/>
          <w:color w:val="000000"/>
          <w:szCs w:val="24"/>
        </w:rPr>
      </w:pPr>
      <w:r>
        <w:rPr>
          <w:color w:val="000000"/>
          <w:szCs w:val="24"/>
        </w:rPr>
        <w:t>表4.3-18地下水水位监测结果表</w:t>
      </w:r>
    </w:p>
    <w:tbl>
      <w:tblPr>
        <w:tblStyle w:val="4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873"/>
        <w:gridCol w:w="1379"/>
        <w:gridCol w:w="1368"/>
        <w:gridCol w:w="1568"/>
        <w:gridCol w:w="1495"/>
        <w:gridCol w:w="1496"/>
      </w:tblGrid>
      <w:tr w14:paraId="00101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5" w:hRule="atLeast"/>
          <w:jc w:val="center"/>
        </w:trPr>
        <w:tc>
          <w:tcPr>
            <w:tcW w:w="1020" w:type="pct"/>
            <w:vAlign w:val="center"/>
          </w:tcPr>
          <w:p w14:paraId="27201EAF">
            <w:pPr>
              <w:pStyle w:val="84"/>
              <w:spacing w:line="300" w:lineRule="exact"/>
              <w:rPr>
                <w:b w:val="0"/>
                <w:bCs w:val="0"/>
                <w:color w:val="auto"/>
              </w:rPr>
            </w:pPr>
            <w:r>
              <w:rPr>
                <w:rFonts w:hint="eastAsia"/>
                <w:b w:val="0"/>
                <w:bCs w:val="0"/>
                <w:color w:val="auto"/>
              </w:rPr>
              <w:t>监测</w:t>
            </w:r>
            <w:r>
              <w:rPr>
                <w:b w:val="0"/>
                <w:bCs w:val="0"/>
                <w:color w:val="auto"/>
              </w:rPr>
              <w:t>点位</w:t>
            </w:r>
          </w:p>
        </w:tc>
        <w:tc>
          <w:tcPr>
            <w:tcW w:w="751" w:type="pct"/>
            <w:vAlign w:val="center"/>
          </w:tcPr>
          <w:p w14:paraId="6FC9C0C1">
            <w:pPr>
              <w:pStyle w:val="84"/>
              <w:spacing w:line="300" w:lineRule="exact"/>
              <w:rPr>
                <w:b w:val="0"/>
                <w:bCs w:val="0"/>
                <w:color w:val="auto"/>
              </w:rPr>
            </w:pPr>
            <w:r>
              <w:rPr>
                <w:rFonts w:hint="eastAsia"/>
                <w:b w:val="0"/>
                <w:bCs w:val="0"/>
                <w:color w:val="auto"/>
              </w:rPr>
              <w:t>埋深</w:t>
            </w:r>
            <w:r>
              <w:rPr>
                <w:b w:val="0"/>
                <w:bCs w:val="0"/>
                <w:color w:val="auto"/>
              </w:rPr>
              <w:t>（m）</w:t>
            </w:r>
          </w:p>
        </w:tc>
        <w:tc>
          <w:tcPr>
            <w:tcW w:w="745" w:type="pct"/>
            <w:vAlign w:val="center"/>
          </w:tcPr>
          <w:p w14:paraId="066C267E">
            <w:pPr>
              <w:pStyle w:val="84"/>
              <w:spacing w:line="300" w:lineRule="exact"/>
              <w:rPr>
                <w:b w:val="0"/>
                <w:bCs w:val="0"/>
                <w:color w:val="auto"/>
              </w:rPr>
            </w:pPr>
            <w:r>
              <w:rPr>
                <w:b w:val="0"/>
                <w:bCs w:val="0"/>
                <w:color w:val="auto"/>
              </w:rPr>
              <w:t>水位（m）</w:t>
            </w:r>
          </w:p>
        </w:tc>
        <w:tc>
          <w:tcPr>
            <w:tcW w:w="854" w:type="pct"/>
            <w:vAlign w:val="center"/>
          </w:tcPr>
          <w:p w14:paraId="7587B6C0">
            <w:pPr>
              <w:pStyle w:val="84"/>
              <w:spacing w:line="300" w:lineRule="exact"/>
              <w:rPr>
                <w:b w:val="0"/>
                <w:bCs w:val="0"/>
                <w:color w:val="auto"/>
              </w:rPr>
            </w:pPr>
            <w:r>
              <w:rPr>
                <w:rFonts w:hint="eastAsia"/>
                <w:b w:val="0"/>
                <w:bCs w:val="0"/>
                <w:color w:val="auto"/>
              </w:rPr>
              <w:t>监测</w:t>
            </w:r>
            <w:r>
              <w:rPr>
                <w:b w:val="0"/>
                <w:bCs w:val="0"/>
                <w:color w:val="auto"/>
              </w:rPr>
              <w:t>点位</w:t>
            </w:r>
          </w:p>
        </w:tc>
        <w:tc>
          <w:tcPr>
            <w:tcW w:w="1495" w:type="dxa"/>
            <w:vAlign w:val="center"/>
          </w:tcPr>
          <w:p w14:paraId="1290FEB6">
            <w:pPr>
              <w:pStyle w:val="84"/>
              <w:spacing w:line="300" w:lineRule="exact"/>
              <w:rPr>
                <w:b w:val="0"/>
                <w:bCs w:val="0"/>
                <w:color w:val="auto"/>
              </w:rPr>
            </w:pPr>
            <w:r>
              <w:rPr>
                <w:rFonts w:hint="eastAsia"/>
                <w:b w:val="0"/>
                <w:bCs w:val="0"/>
                <w:color w:val="auto"/>
              </w:rPr>
              <w:t>埋深</w:t>
            </w:r>
            <w:r>
              <w:rPr>
                <w:b w:val="0"/>
                <w:bCs w:val="0"/>
                <w:color w:val="auto"/>
              </w:rPr>
              <w:t>（m）</w:t>
            </w:r>
          </w:p>
        </w:tc>
        <w:tc>
          <w:tcPr>
            <w:tcW w:w="1496" w:type="dxa"/>
            <w:vAlign w:val="center"/>
          </w:tcPr>
          <w:p w14:paraId="302C8C1A">
            <w:pPr>
              <w:pStyle w:val="84"/>
              <w:spacing w:line="300" w:lineRule="exact"/>
              <w:rPr>
                <w:b w:val="0"/>
                <w:bCs w:val="0"/>
                <w:color w:val="auto"/>
              </w:rPr>
            </w:pPr>
            <w:r>
              <w:rPr>
                <w:b w:val="0"/>
                <w:bCs w:val="0"/>
                <w:color w:val="auto"/>
              </w:rPr>
              <w:t>水位（m）</w:t>
            </w:r>
          </w:p>
        </w:tc>
      </w:tr>
      <w:tr w14:paraId="4FFFF9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020" w:type="pct"/>
            <w:vAlign w:val="center"/>
          </w:tcPr>
          <w:p w14:paraId="1B0E064E">
            <w:pPr>
              <w:spacing w:line="300" w:lineRule="exact"/>
              <w:jc w:val="center"/>
              <w:rPr>
                <w:rFonts w:ascii="Times New Roman"/>
                <w:sz w:val="21"/>
                <w:szCs w:val="21"/>
              </w:rPr>
            </w:pPr>
            <w:r>
              <w:rPr>
                <w:rFonts w:hint="eastAsia" w:ascii="Times New Roman"/>
                <w:sz w:val="21"/>
                <w:szCs w:val="21"/>
              </w:rPr>
              <w:t>D1</w:t>
            </w:r>
          </w:p>
        </w:tc>
        <w:tc>
          <w:tcPr>
            <w:tcW w:w="751" w:type="pct"/>
            <w:vAlign w:val="center"/>
          </w:tcPr>
          <w:p w14:paraId="6FBCC7F0">
            <w:pPr>
              <w:spacing w:line="300" w:lineRule="exact"/>
              <w:jc w:val="center"/>
              <w:rPr>
                <w:rFonts w:ascii="Times New Roman"/>
                <w:sz w:val="21"/>
                <w:szCs w:val="21"/>
              </w:rPr>
            </w:pPr>
          </w:p>
        </w:tc>
        <w:tc>
          <w:tcPr>
            <w:tcW w:w="745" w:type="pct"/>
            <w:vAlign w:val="center"/>
          </w:tcPr>
          <w:p w14:paraId="7DE1ACE9">
            <w:pPr>
              <w:spacing w:line="300" w:lineRule="exact"/>
              <w:jc w:val="center"/>
              <w:rPr>
                <w:rFonts w:ascii="Times New Roman"/>
                <w:sz w:val="21"/>
                <w:szCs w:val="21"/>
              </w:rPr>
            </w:pPr>
          </w:p>
        </w:tc>
        <w:tc>
          <w:tcPr>
            <w:tcW w:w="854" w:type="pct"/>
            <w:vAlign w:val="center"/>
          </w:tcPr>
          <w:p w14:paraId="075701EB">
            <w:pPr>
              <w:spacing w:line="300" w:lineRule="exact"/>
              <w:jc w:val="center"/>
              <w:rPr>
                <w:rFonts w:ascii="Times New Roman"/>
                <w:sz w:val="21"/>
                <w:szCs w:val="21"/>
              </w:rPr>
            </w:pPr>
            <w:r>
              <w:rPr>
                <w:rFonts w:hint="eastAsia" w:ascii="Times New Roman"/>
                <w:sz w:val="21"/>
                <w:szCs w:val="21"/>
              </w:rPr>
              <w:t>D4</w:t>
            </w:r>
          </w:p>
        </w:tc>
        <w:tc>
          <w:tcPr>
            <w:tcW w:w="814" w:type="pct"/>
            <w:vAlign w:val="center"/>
          </w:tcPr>
          <w:p w14:paraId="2340E6B3">
            <w:pPr>
              <w:spacing w:line="300" w:lineRule="exact"/>
              <w:jc w:val="center"/>
              <w:rPr>
                <w:rFonts w:ascii="Times New Roman"/>
                <w:sz w:val="21"/>
                <w:szCs w:val="21"/>
              </w:rPr>
            </w:pPr>
          </w:p>
        </w:tc>
        <w:tc>
          <w:tcPr>
            <w:tcW w:w="814" w:type="pct"/>
            <w:vAlign w:val="center"/>
          </w:tcPr>
          <w:p w14:paraId="73ECA7C1">
            <w:pPr>
              <w:spacing w:line="300" w:lineRule="exact"/>
              <w:jc w:val="center"/>
              <w:rPr>
                <w:rFonts w:ascii="Times New Roman"/>
                <w:sz w:val="21"/>
                <w:szCs w:val="21"/>
              </w:rPr>
            </w:pPr>
          </w:p>
        </w:tc>
      </w:tr>
      <w:tr w14:paraId="031318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020" w:type="pct"/>
            <w:vAlign w:val="center"/>
          </w:tcPr>
          <w:p w14:paraId="7BA769E0">
            <w:pPr>
              <w:spacing w:line="300" w:lineRule="exact"/>
              <w:jc w:val="center"/>
              <w:rPr>
                <w:rFonts w:ascii="Times New Roman"/>
                <w:sz w:val="21"/>
                <w:szCs w:val="21"/>
              </w:rPr>
            </w:pPr>
            <w:r>
              <w:rPr>
                <w:rFonts w:hint="eastAsia" w:ascii="Times New Roman"/>
                <w:sz w:val="21"/>
                <w:szCs w:val="21"/>
              </w:rPr>
              <w:t>D2</w:t>
            </w:r>
          </w:p>
        </w:tc>
        <w:tc>
          <w:tcPr>
            <w:tcW w:w="751" w:type="pct"/>
            <w:vAlign w:val="center"/>
          </w:tcPr>
          <w:p w14:paraId="27D3F289">
            <w:pPr>
              <w:spacing w:line="300" w:lineRule="exact"/>
              <w:jc w:val="center"/>
              <w:rPr>
                <w:rFonts w:ascii="Times New Roman"/>
                <w:sz w:val="21"/>
                <w:szCs w:val="21"/>
              </w:rPr>
            </w:pPr>
          </w:p>
        </w:tc>
        <w:tc>
          <w:tcPr>
            <w:tcW w:w="745" w:type="pct"/>
            <w:vAlign w:val="center"/>
          </w:tcPr>
          <w:p w14:paraId="3D9FC774">
            <w:pPr>
              <w:spacing w:line="300" w:lineRule="exact"/>
              <w:jc w:val="center"/>
              <w:rPr>
                <w:rFonts w:ascii="Times New Roman"/>
                <w:sz w:val="21"/>
                <w:szCs w:val="21"/>
              </w:rPr>
            </w:pPr>
          </w:p>
        </w:tc>
        <w:tc>
          <w:tcPr>
            <w:tcW w:w="854" w:type="pct"/>
            <w:vAlign w:val="center"/>
          </w:tcPr>
          <w:p w14:paraId="3851CE78">
            <w:pPr>
              <w:spacing w:line="300" w:lineRule="exact"/>
              <w:jc w:val="center"/>
              <w:rPr>
                <w:rFonts w:ascii="Times New Roman"/>
                <w:sz w:val="21"/>
                <w:szCs w:val="21"/>
              </w:rPr>
            </w:pPr>
            <w:r>
              <w:rPr>
                <w:rFonts w:hint="eastAsia" w:ascii="Times New Roman"/>
                <w:sz w:val="21"/>
                <w:szCs w:val="21"/>
              </w:rPr>
              <w:t>D5</w:t>
            </w:r>
          </w:p>
        </w:tc>
        <w:tc>
          <w:tcPr>
            <w:tcW w:w="814" w:type="pct"/>
            <w:vAlign w:val="center"/>
          </w:tcPr>
          <w:p w14:paraId="4A1DEA8C">
            <w:pPr>
              <w:spacing w:line="300" w:lineRule="exact"/>
              <w:jc w:val="center"/>
              <w:rPr>
                <w:rFonts w:ascii="Times New Roman"/>
                <w:sz w:val="21"/>
                <w:szCs w:val="21"/>
              </w:rPr>
            </w:pPr>
          </w:p>
        </w:tc>
        <w:tc>
          <w:tcPr>
            <w:tcW w:w="814" w:type="pct"/>
            <w:vAlign w:val="center"/>
          </w:tcPr>
          <w:p w14:paraId="5A57052C">
            <w:pPr>
              <w:spacing w:line="300" w:lineRule="exact"/>
              <w:jc w:val="center"/>
              <w:rPr>
                <w:rFonts w:ascii="Times New Roman"/>
                <w:sz w:val="21"/>
                <w:szCs w:val="21"/>
              </w:rPr>
            </w:pPr>
          </w:p>
        </w:tc>
      </w:tr>
      <w:tr w14:paraId="21CEF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020" w:type="pct"/>
            <w:vAlign w:val="center"/>
          </w:tcPr>
          <w:p w14:paraId="1EAF640D">
            <w:pPr>
              <w:spacing w:line="300" w:lineRule="exact"/>
              <w:jc w:val="center"/>
              <w:rPr>
                <w:rFonts w:ascii="Times New Roman"/>
                <w:sz w:val="21"/>
                <w:szCs w:val="21"/>
              </w:rPr>
            </w:pPr>
            <w:r>
              <w:rPr>
                <w:rFonts w:hint="eastAsia" w:ascii="Times New Roman"/>
                <w:sz w:val="21"/>
                <w:szCs w:val="21"/>
              </w:rPr>
              <w:t>D3</w:t>
            </w:r>
          </w:p>
        </w:tc>
        <w:tc>
          <w:tcPr>
            <w:tcW w:w="751" w:type="pct"/>
            <w:vAlign w:val="center"/>
          </w:tcPr>
          <w:p w14:paraId="62D0058F">
            <w:pPr>
              <w:spacing w:line="300" w:lineRule="exact"/>
              <w:jc w:val="center"/>
              <w:rPr>
                <w:rFonts w:ascii="Times New Roman"/>
                <w:sz w:val="21"/>
                <w:szCs w:val="21"/>
              </w:rPr>
            </w:pPr>
          </w:p>
        </w:tc>
        <w:tc>
          <w:tcPr>
            <w:tcW w:w="745" w:type="pct"/>
            <w:vAlign w:val="center"/>
          </w:tcPr>
          <w:p w14:paraId="623BC06A">
            <w:pPr>
              <w:spacing w:line="300" w:lineRule="exact"/>
              <w:jc w:val="center"/>
              <w:rPr>
                <w:rFonts w:ascii="Times New Roman"/>
                <w:sz w:val="21"/>
                <w:szCs w:val="21"/>
              </w:rPr>
            </w:pPr>
          </w:p>
        </w:tc>
        <w:tc>
          <w:tcPr>
            <w:tcW w:w="854" w:type="pct"/>
            <w:vAlign w:val="center"/>
          </w:tcPr>
          <w:p w14:paraId="5B3A0450">
            <w:pPr>
              <w:spacing w:line="300" w:lineRule="exact"/>
              <w:jc w:val="center"/>
              <w:rPr>
                <w:rFonts w:ascii="Times New Roman"/>
                <w:sz w:val="21"/>
                <w:szCs w:val="21"/>
              </w:rPr>
            </w:pPr>
            <w:r>
              <w:rPr>
                <w:rFonts w:hint="eastAsia" w:ascii="Times New Roman"/>
                <w:sz w:val="21"/>
                <w:szCs w:val="21"/>
              </w:rPr>
              <w:t>D6</w:t>
            </w:r>
          </w:p>
        </w:tc>
        <w:tc>
          <w:tcPr>
            <w:tcW w:w="814" w:type="pct"/>
            <w:vAlign w:val="center"/>
          </w:tcPr>
          <w:p w14:paraId="53A2E132">
            <w:pPr>
              <w:spacing w:line="300" w:lineRule="exact"/>
              <w:jc w:val="center"/>
              <w:rPr>
                <w:rFonts w:ascii="Times New Roman"/>
                <w:sz w:val="21"/>
                <w:szCs w:val="21"/>
              </w:rPr>
            </w:pPr>
          </w:p>
        </w:tc>
        <w:tc>
          <w:tcPr>
            <w:tcW w:w="814" w:type="pct"/>
            <w:vAlign w:val="center"/>
          </w:tcPr>
          <w:p w14:paraId="23A3080A">
            <w:pPr>
              <w:spacing w:line="300" w:lineRule="exact"/>
              <w:jc w:val="center"/>
              <w:rPr>
                <w:rFonts w:ascii="Times New Roman"/>
                <w:sz w:val="21"/>
                <w:szCs w:val="21"/>
              </w:rPr>
            </w:pPr>
          </w:p>
        </w:tc>
      </w:tr>
    </w:tbl>
    <w:p w14:paraId="3B8A076B">
      <w:pPr>
        <w:pStyle w:val="82"/>
        <w:pageBreakBefore w:val="0"/>
        <w:widowControl w:val="0"/>
        <w:kinsoku/>
        <w:wordWrap/>
        <w:overflowPunct/>
        <w:topLinePunct w:val="0"/>
        <w:autoSpaceDE/>
        <w:autoSpaceDN/>
        <w:bidi w:val="0"/>
        <w:spacing w:line="500" w:lineRule="exact"/>
        <w:textAlignment w:val="auto"/>
        <w:rPr>
          <w:color w:val="000000" w:themeColor="text1"/>
          <w14:textFill>
            <w14:solidFill>
              <w14:schemeClr w14:val="tx1"/>
            </w14:solidFill>
          </w14:textFill>
        </w:rPr>
      </w:pPr>
      <w:r>
        <w:rPr>
          <w:color w:val="000000" w:themeColor="text1"/>
          <w14:textFill>
            <w14:solidFill>
              <w14:schemeClr w14:val="tx1"/>
            </w14:solidFill>
          </w14:textFill>
        </w:rPr>
        <w:t>从上表可见，评价区域地下水环境质量良好。</w:t>
      </w:r>
      <w:r>
        <w:rPr>
          <w:rFonts w:cs="Times New Roman"/>
          <w:color w:val="000000" w:themeColor="text1"/>
          <w14:textFill>
            <w14:solidFill>
              <w14:schemeClr w14:val="tx1"/>
            </w14:solidFill>
          </w14:textFill>
        </w:rPr>
        <w:t>除</w:t>
      </w:r>
      <w:r>
        <w:rPr>
          <w:rFonts w:hint="eastAsia" w:cs="Times New Roman"/>
          <w:color w:val="000000" w:themeColor="text1"/>
          <w14:textFill>
            <w14:solidFill>
              <w14:schemeClr w14:val="tx1"/>
            </w14:solidFill>
          </w14:textFill>
        </w:rPr>
        <w:t>耗氧量</w:t>
      </w:r>
      <w:r>
        <w:rPr>
          <w:rFonts w:cs="Times New Roman"/>
          <w:color w:val="000000" w:themeColor="text1"/>
          <w14:textFill>
            <w14:solidFill>
              <w14:schemeClr w14:val="tx1"/>
            </w14:solidFill>
          </w14:textFill>
        </w:rPr>
        <w:t>不能达到《地下水环境质量标准》（GB/T14848-2017）中的Ⅲ类水质标准（达到Ⅳ类水质标准），其余各点位监测因子均能满足《地下水环境质量标准》（GB/T14848-2017）中的Ⅲ类及以上水质标准</w:t>
      </w:r>
      <w:r>
        <w:rPr>
          <w:rFonts w:hint="eastAsia"/>
          <w:color w:val="000000" w:themeColor="text1"/>
          <w14:textFill>
            <w14:solidFill>
              <w14:schemeClr w14:val="tx1"/>
            </w14:solidFill>
          </w14:textFill>
        </w:rPr>
        <w:t>。</w:t>
      </w:r>
    </w:p>
    <w:p w14:paraId="4D9346A7">
      <w:pPr>
        <w:pStyle w:val="7"/>
        <w:pageBreakBefore w:val="0"/>
        <w:widowControl w:val="0"/>
        <w:kinsoku/>
        <w:wordWrap/>
        <w:overflowPunct/>
        <w:topLinePunct w:val="0"/>
        <w:autoSpaceDE/>
        <w:autoSpaceDN/>
        <w:bidi w:val="0"/>
        <w:spacing w:line="500" w:lineRule="exact"/>
        <w:textAlignment w:val="auto"/>
      </w:pPr>
      <w:r>
        <w:rPr>
          <w:rFonts w:hint="eastAsia"/>
        </w:rPr>
        <w:t>4</w:t>
      </w:r>
      <w:r>
        <w:t>.</w:t>
      </w:r>
      <w:r>
        <w:rPr>
          <w:rFonts w:hint="eastAsia"/>
          <w:lang w:val="en-US" w:eastAsia="zh-CN"/>
        </w:rPr>
        <w:t>3</w:t>
      </w:r>
      <w:r>
        <w:t xml:space="preserve">.6 </w:t>
      </w:r>
      <w:r>
        <w:rPr>
          <w:rFonts w:hint="eastAsia"/>
        </w:rPr>
        <w:t>小结</w:t>
      </w:r>
    </w:p>
    <w:p w14:paraId="18761C0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pPr>
      <w:r>
        <w:rPr>
          <w:rFonts w:hint="eastAsia"/>
        </w:rPr>
        <w:t>（1）大气：本次监测设置1个大气监测点，监测结果表明NH</w:t>
      </w:r>
      <w:r>
        <w:rPr>
          <w:rFonts w:hint="eastAsia"/>
          <w:vertAlign w:val="subscript"/>
        </w:rPr>
        <w:t>3</w:t>
      </w:r>
      <w:r>
        <w:rPr>
          <w:rFonts w:hint="eastAsia"/>
        </w:rPr>
        <w:t>、H</w:t>
      </w:r>
      <w:r>
        <w:rPr>
          <w:rFonts w:hint="eastAsia"/>
          <w:vertAlign w:val="subscript"/>
        </w:rPr>
        <w:t>2</w:t>
      </w:r>
      <w:r>
        <w:rPr>
          <w:rFonts w:hint="eastAsia"/>
        </w:rPr>
        <w:t>S满足《环境影响评价技术导则大气环境》（HJ2.2-2018）附录D.1中空气质量浓度参考限值，恶臭满足《畜禽养殖产地环境评价规范》（HJ568-2010）表5中指标限值</w:t>
      </w:r>
      <w:r>
        <w:rPr>
          <w:rFonts w:hint="eastAsia"/>
          <w:szCs w:val="24"/>
        </w:rPr>
        <w:t>，</w:t>
      </w:r>
      <w:r>
        <w:rPr>
          <w:rFonts w:hint="eastAsia"/>
        </w:rPr>
        <w:t>建设项目所在地周围大气环境质量良好。</w:t>
      </w:r>
    </w:p>
    <w:p w14:paraId="04BFABC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（2）地表水：本次监测设置1个水质监测断面，监测结果表明颜倪河水质满足《地表水环境质量标准》（GB3838-2002）Ⅲ类标准要求。</w:t>
      </w:r>
    </w:p>
    <w:p w14:paraId="6F31230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）声环境：本次监测设置6个点位监测项目所在地声环境状况，监测结果表明本项目厂界所有测点噪声监测值均满足《声环境质量标准》（GB3096-2008）中1类标准，</w:t>
      </w:r>
      <w:r>
        <w:rPr>
          <w:rFonts w:hint="eastAsia"/>
          <w:color w:val="000000" w:themeColor="text1"/>
          <w:lang w:val="en-US" w:eastAsia="zh-CN"/>
          <w14:textFill>
            <w14:solidFill>
              <w14:schemeClr w14:val="tx1"/>
            </w14:solidFill>
          </w14:textFill>
        </w:rPr>
        <w:t>厂界</w:t>
      </w:r>
      <w:r>
        <w:rPr>
          <w:rFonts w:hint="eastAsia"/>
          <w:color w:val="000000" w:themeColor="text1"/>
          <w14:textFill>
            <w14:solidFill>
              <w14:schemeClr w14:val="tx1"/>
            </w14:solidFill>
          </w14:textFill>
        </w:rPr>
        <w:t>西</w:t>
      </w:r>
      <w:r>
        <w:rPr>
          <w:color w:val="000000" w:themeColor="text1"/>
          <w14:textFill>
            <w14:solidFill>
              <w14:schemeClr w14:val="tx1"/>
            </w14:solidFill>
          </w14:textFill>
        </w:rPr>
        <w:t>北</w:t>
      </w:r>
      <w:r>
        <w:rPr>
          <w:rFonts w:hint="eastAsia"/>
          <w:color w:val="000000" w:themeColor="text1"/>
          <w14:textFill>
            <w14:solidFill>
              <w14:schemeClr w14:val="tx1"/>
            </w14:solidFill>
          </w14:textFill>
        </w:rPr>
        <w:t>60</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处</w:t>
      </w:r>
      <w:r>
        <w:rPr>
          <w:color w:val="000000" w:themeColor="text1"/>
          <w14:textFill>
            <w14:solidFill>
              <w14:schemeClr w14:val="tx1"/>
            </w14:solidFill>
          </w14:textFill>
        </w:rPr>
        <w:t>的</w:t>
      </w:r>
      <w:r>
        <w:rPr>
          <w:rFonts w:hint="eastAsia"/>
          <w:color w:val="000000" w:themeColor="text1"/>
          <w14:textFill>
            <w14:solidFill>
              <w14:schemeClr w14:val="tx1"/>
            </w14:solidFill>
          </w14:textFill>
        </w:rPr>
        <w:t>戴庄</w:t>
      </w:r>
      <w:r>
        <w:rPr>
          <w:rFonts w:hint="eastAsia"/>
          <w:b w:val="0"/>
          <w:bCs w:val="0"/>
          <w:lang w:eastAsia="zh-CN"/>
        </w:rPr>
        <w:t>（</w:t>
      </w:r>
      <w:r>
        <w:rPr>
          <w:rFonts w:hint="eastAsia"/>
          <w:b w:val="0"/>
          <w:bCs w:val="0"/>
          <w:lang w:val="en-US" w:eastAsia="zh-CN"/>
        </w:rPr>
        <w:t>与本项目边界相距145m</w:t>
      </w:r>
      <w:r>
        <w:rPr>
          <w:rFonts w:hint="eastAsia"/>
          <w:b w:val="0"/>
          <w:bCs w:val="0"/>
          <w:lang w:eastAsia="zh-CN"/>
        </w:rPr>
        <w:t>）</w:t>
      </w:r>
      <w:r>
        <w:rPr>
          <w:rFonts w:hint="eastAsia"/>
          <w:color w:val="000000" w:themeColor="text1"/>
          <w14:textFill>
            <w14:solidFill>
              <w14:schemeClr w14:val="tx1"/>
            </w14:solidFill>
          </w14:textFill>
        </w:rPr>
        <w:t>及</w:t>
      </w:r>
      <w:r>
        <w:rPr>
          <w:rFonts w:hint="eastAsia"/>
          <w:color w:val="000000" w:themeColor="text1"/>
          <w:lang w:val="en-US" w:eastAsia="zh-CN"/>
          <w14:textFill>
            <w14:solidFill>
              <w14:schemeClr w14:val="tx1"/>
            </w14:solidFill>
          </w14:textFill>
        </w:rPr>
        <w:t>厂界</w:t>
      </w:r>
      <w:r>
        <w:rPr>
          <w:rFonts w:hint="eastAsia"/>
          <w:color w:val="000000" w:themeColor="text1"/>
          <w14:textFill>
            <w14:solidFill>
              <w14:schemeClr w14:val="tx1"/>
            </w14:solidFill>
          </w14:textFill>
        </w:rPr>
        <w:t>西南190m处的油坊庄</w:t>
      </w:r>
      <w:r>
        <w:rPr>
          <w:rFonts w:hint="eastAsia"/>
          <w:b w:val="0"/>
          <w:bCs w:val="0"/>
          <w:lang w:eastAsia="zh-CN"/>
        </w:rPr>
        <w:t>（</w:t>
      </w:r>
      <w:r>
        <w:rPr>
          <w:rFonts w:hint="eastAsia"/>
          <w:b w:val="0"/>
          <w:bCs w:val="0"/>
          <w:lang w:val="en-US" w:eastAsia="zh-CN"/>
        </w:rPr>
        <w:t>与本项目边界相距245m</w:t>
      </w:r>
      <w:r>
        <w:rPr>
          <w:rFonts w:hint="eastAsia"/>
          <w:b w:val="0"/>
          <w:bCs w:val="0"/>
          <w:lang w:eastAsia="zh-CN"/>
        </w:rPr>
        <w:t>）</w:t>
      </w:r>
      <w:r>
        <w:rPr>
          <w:rFonts w:hint="eastAsia"/>
          <w:color w:val="000000" w:themeColor="text1"/>
          <w14:textFill>
            <w14:solidFill>
              <w14:schemeClr w14:val="tx1"/>
            </w14:solidFill>
          </w14:textFill>
        </w:rPr>
        <w:t>噪声监测值均</w:t>
      </w:r>
      <w:r>
        <w:rPr>
          <w:color w:val="000000" w:themeColor="text1"/>
          <w14:textFill>
            <w14:solidFill>
              <w14:schemeClr w14:val="tx1"/>
            </w14:solidFill>
          </w14:textFill>
        </w:rPr>
        <w:t>满足</w:t>
      </w:r>
      <w:r>
        <w:rPr>
          <w:rFonts w:hint="eastAsia"/>
          <w:color w:val="000000" w:themeColor="text1"/>
          <w14:textFill>
            <w14:solidFill>
              <w14:schemeClr w14:val="tx1"/>
            </w14:solidFill>
          </w14:textFill>
        </w:rPr>
        <w:t>《声环境质量</w:t>
      </w:r>
      <w:r>
        <w:rPr>
          <w:rFonts w:hint="eastAsia"/>
        </w:rPr>
        <w:t>标准》（GB3096-2008）中</w:t>
      </w:r>
      <w:r>
        <w:t>1</w:t>
      </w:r>
      <w:r>
        <w:rPr>
          <w:rFonts w:hint="eastAsia"/>
        </w:rPr>
        <w:t>类标准，表明该区域内目前声环境质量较好。</w:t>
      </w:r>
    </w:p>
    <w:p w14:paraId="6C2E7763">
      <w:pPr>
        <w:pageBreakBefore w:val="0"/>
        <w:widowControl w:val="0"/>
        <w:kinsoku/>
        <w:wordWrap/>
        <w:overflowPunct/>
        <w:topLinePunct w:val="0"/>
        <w:autoSpaceDE/>
        <w:autoSpaceDN/>
        <w:bidi w:val="0"/>
        <w:spacing w:line="500" w:lineRule="exact"/>
        <w:ind w:firstLine="480" w:firstLineChars="200"/>
        <w:textAlignment w:val="auto"/>
      </w:pPr>
      <w:r>
        <w:rPr>
          <w:rFonts w:hint="eastAsia"/>
        </w:rPr>
        <w:t>（4）土壤：本次监测在项目所在地厂区内设3个土壤表层样，监测结果表明项目占地范围内各监测点位的土壤监测因子均能满足《土壤环境质量农用地土壤污染风险管控标准》（GB15618-2018）中农用地土壤污染风险筛选值要求。</w:t>
      </w:r>
    </w:p>
    <w:p w14:paraId="04EB0A27">
      <w:pPr>
        <w:pStyle w:val="82"/>
        <w:pageBreakBefore w:val="0"/>
        <w:widowControl w:val="0"/>
        <w:kinsoku/>
        <w:wordWrap/>
        <w:overflowPunct/>
        <w:topLinePunct w:val="0"/>
        <w:autoSpaceDE/>
        <w:autoSpaceDN/>
        <w:bidi w:val="0"/>
        <w:spacing w:line="50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）地下水：本次监测在项目所在地周边布设3个地下水水质监测点位，6个地下水水位监测点位，根据监测结果可知，项目所在区域地下水</w:t>
      </w:r>
      <w:r>
        <w:rPr>
          <w:rFonts w:cs="Times New Roman"/>
          <w:color w:val="000000" w:themeColor="text1"/>
          <w14:textFill>
            <w14:solidFill>
              <w14:schemeClr w14:val="tx1"/>
            </w14:solidFill>
          </w14:textFill>
        </w:rPr>
        <w:t>除</w:t>
      </w:r>
      <w:r>
        <w:rPr>
          <w:rFonts w:hint="eastAsia" w:cs="Times New Roman"/>
          <w:color w:val="000000" w:themeColor="text1"/>
          <w14:textFill>
            <w14:solidFill>
              <w14:schemeClr w14:val="tx1"/>
            </w14:solidFill>
          </w14:textFill>
        </w:rPr>
        <w:t>耗氧量</w:t>
      </w:r>
      <w:r>
        <w:rPr>
          <w:rFonts w:cs="Times New Roman"/>
          <w:color w:val="000000" w:themeColor="text1"/>
          <w14:textFill>
            <w14:solidFill>
              <w14:schemeClr w14:val="tx1"/>
            </w14:solidFill>
          </w14:textFill>
        </w:rPr>
        <w:t>不能达到《地下水环境质量标准》（GB/T14848-2017）中的Ⅲ类水质标准（达到Ⅳ类水质标准），其余各点位监测因子均能满足《地下水环境质量标准》（GB/T14848-2017）中的Ⅲ类及以上水质标准</w:t>
      </w:r>
      <w:r>
        <w:rPr>
          <w:rFonts w:hint="eastAsia" w:cs="Times New Roman"/>
          <w:color w:val="000000" w:themeColor="text1"/>
          <w14:textFill>
            <w14:solidFill>
              <w14:schemeClr w14:val="tx1"/>
            </w14:solidFill>
          </w14:textFill>
        </w:rPr>
        <w:t>，</w:t>
      </w:r>
      <w:r>
        <w:rPr>
          <w:color w:val="000000" w:themeColor="text1"/>
          <w14:textFill>
            <w14:solidFill>
              <w14:schemeClr w14:val="tx1"/>
            </w14:solidFill>
          </w14:textFill>
        </w:rPr>
        <w:t>评价区域地下水环境质量良好</w:t>
      </w:r>
      <w:r>
        <w:rPr>
          <w:rFonts w:hint="eastAsia"/>
          <w:color w:val="000000" w:themeColor="text1"/>
          <w14:textFill>
            <w14:solidFill>
              <w14:schemeClr w14:val="tx1"/>
            </w14:solidFill>
          </w14:textFill>
        </w:rPr>
        <w:t>。</w:t>
      </w:r>
    </w:p>
    <w:p w14:paraId="427B3791">
      <w:pPr>
        <w:ind w:firstLine="480" w:firstLineChars="200"/>
        <w:sectPr>
          <w:pgSz w:w="11906" w:h="16838"/>
          <w:pgMar w:top="1417" w:right="1417" w:bottom="1417" w:left="1417" w:header="850" w:footer="850" w:gutter="0"/>
          <w:pgNumType w:fmt="decimal"/>
          <w:cols w:space="425" w:num="1"/>
          <w:docGrid w:type="lines" w:linePitch="326" w:charSpace="0"/>
        </w:sectPr>
      </w:pPr>
    </w:p>
    <w:p w14:paraId="6B805DC3">
      <w:pPr>
        <w:pStyle w:val="3"/>
        <w:spacing w:line="480" w:lineRule="exact"/>
      </w:pPr>
      <w:bookmarkStart w:id="100" w:name="_Toc24682"/>
      <w:r>
        <w:rPr>
          <w:rFonts w:hint="eastAsia"/>
        </w:rPr>
        <w:t>5</w:t>
      </w:r>
      <w:r>
        <w:t xml:space="preserve"> </w:t>
      </w:r>
      <w:r>
        <w:rPr>
          <w:rFonts w:hint="eastAsia"/>
        </w:rPr>
        <w:t>环境影响预测与评价</w:t>
      </w:r>
      <w:bookmarkEnd w:id="100"/>
    </w:p>
    <w:p w14:paraId="137793FC">
      <w:pPr>
        <w:pStyle w:val="4"/>
        <w:spacing w:after="0" w:line="480" w:lineRule="exact"/>
        <w:jc w:val="both"/>
      </w:pPr>
      <w:bookmarkStart w:id="101" w:name="_Toc22678"/>
      <w:r>
        <w:rPr>
          <w:rFonts w:hint="eastAsia"/>
        </w:rPr>
        <w:t>5</w:t>
      </w:r>
      <w:r>
        <w:t xml:space="preserve">.1 </w:t>
      </w:r>
      <w:r>
        <w:rPr>
          <w:rFonts w:hint="eastAsia"/>
        </w:rPr>
        <w:t>施工期环境影响评价</w:t>
      </w:r>
      <w:bookmarkEnd w:id="101"/>
    </w:p>
    <w:p w14:paraId="7232523B">
      <w:pPr>
        <w:spacing w:line="480" w:lineRule="exact"/>
        <w:ind w:firstLine="480" w:firstLineChars="200"/>
      </w:pPr>
      <w:r>
        <w:rPr>
          <w:rFonts w:hint="eastAsia"/>
        </w:rPr>
        <w:t>本项目在建设施工过程中，将会对周围环境造成一定的影响，其具体表现是：在施工建设阶段建筑机械和运输车辆产生的噪声和扬尘污染；施工过程及建材处理与使用过程产生的废水及固体废弃物所导致对周围环境的不良影响，如建筑垃圾、淤泥污染道路等。上述现象若不经妥善处理，施工阶段将对周围环境产生一定影响。现将建筑施工期间对环境产生的污染影响及其防治措施归纳如下，以对项目在建设阶段对环境的影响做出必要分析，并为环保措施的制定提供依据。</w:t>
      </w:r>
    </w:p>
    <w:p w14:paraId="30727D7D">
      <w:pPr>
        <w:pStyle w:val="7"/>
        <w:spacing w:line="480" w:lineRule="exact"/>
      </w:pPr>
      <w:r>
        <w:rPr>
          <w:rFonts w:hint="eastAsia"/>
        </w:rPr>
        <w:t>5</w:t>
      </w:r>
      <w:r>
        <w:t xml:space="preserve">.1.1 </w:t>
      </w:r>
      <w:r>
        <w:rPr>
          <w:rFonts w:hint="eastAsia"/>
        </w:rPr>
        <w:t>施工期大气环境影响分析和防治对策</w:t>
      </w:r>
    </w:p>
    <w:p w14:paraId="1A762BAA">
      <w:pPr>
        <w:spacing w:line="480" w:lineRule="exact"/>
        <w:ind w:firstLine="480" w:firstLineChars="200"/>
      </w:pPr>
      <w:r>
        <w:rPr>
          <w:rFonts w:hint="eastAsia"/>
        </w:rPr>
        <w:t>本项目施工过程中废气主要来源于施工机械驱动设备（如柴油机等）和运输及施工车辆所排放的废气。此外，还有施工队伍因生活需要使用燃料而排放的废气以及施工中产生的粉尘和扬尘等。</w:t>
      </w:r>
    </w:p>
    <w:p w14:paraId="5E3BB7CB">
      <w:pPr>
        <w:spacing w:line="480" w:lineRule="exact"/>
        <w:ind w:firstLine="480" w:firstLineChars="200"/>
      </w:pPr>
      <w:r>
        <w:rPr>
          <w:rFonts w:hint="eastAsia"/>
        </w:rPr>
        <w:t>本工程项目在建设过程中，粉尘污染主要来源于：</w:t>
      </w:r>
    </w:p>
    <w:p w14:paraId="22A4CAFD">
      <w:pPr>
        <w:spacing w:line="480" w:lineRule="exact"/>
        <w:ind w:firstLine="480" w:firstLineChars="200"/>
      </w:pPr>
      <w:r>
        <w:rPr>
          <w:rFonts w:hint="eastAsia"/>
        </w:rPr>
        <w:t>①土方的挖掘、堆放、清运、回填和场地平整等过程产生的粉尘；</w:t>
      </w:r>
    </w:p>
    <w:p w14:paraId="06A1C971">
      <w:pPr>
        <w:spacing w:line="480" w:lineRule="exact"/>
        <w:ind w:firstLine="480" w:firstLineChars="200"/>
      </w:pPr>
      <w:r>
        <w:rPr>
          <w:rFonts w:hint="eastAsia"/>
        </w:rPr>
        <w:t>②建筑材料如水泥、白灰、砂子以及土方等在其装卸、运输、堆放等过程中，因风力作用而产生的扬尘污染；</w:t>
      </w:r>
    </w:p>
    <w:p w14:paraId="01A58FC4">
      <w:pPr>
        <w:spacing w:line="480" w:lineRule="exact"/>
        <w:ind w:firstLine="480" w:firstLineChars="200"/>
      </w:pPr>
      <w:r>
        <w:rPr>
          <w:rFonts w:hint="eastAsia"/>
        </w:rPr>
        <w:t>③搅拌车辆及运输车辆往来造成地面扬尘；</w:t>
      </w:r>
    </w:p>
    <w:p w14:paraId="3C284C1F">
      <w:pPr>
        <w:spacing w:line="480" w:lineRule="exact"/>
        <w:ind w:firstLine="480" w:firstLineChars="200"/>
      </w:pPr>
      <w:r>
        <w:rPr>
          <w:rFonts w:hint="eastAsia"/>
        </w:rPr>
        <w:t>④施工垃圾堆放及清运过程中产生的扬尘。</w:t>
      </w:r>
    </w:p>
    <w:p w14:paraId="27460E4F">
      <w:pPr>
        <w:spacing w:line="480" w:lineRule="exact"/>
        <w:ind w:firstLine="480" w:firstLineChars="200"/>
      </w:pPr>
      <w:r>
        <w:rPr>
          <w:rFonts w:hint="eastAsia"/>
        </w:rPr>
        <w:t>上述施工过程中产生的废气、粉尘及扬尘将会造成周围大气环境污染，其中又以粉尘的危害较为严重。</w:t>
      </w:r>
    </w:p>
    <w:p w14:paraId="524B1EE2">
      <w:pPr>
        <w:spacing w:line="480" w:lineRule="exact"/>
        <w:ind w:firstLine="480" w:firstLineChars="200"/>
      </w:pPr>
      <w:r>
        <w:rPr>
          <w:rFonts w:hint="eastAsia"/>
        </w:rPr>
        <w:t>施工期间产生的粉尘（扬尘）污染主要取决于施工作业方式、材料的堆放及风力等因素，其中受风力因素的影响最大。随着风速的增大，施工扬尘产生的污染程度和超标范围也将随之增强和扩大。项目地处平原地区，年平均风速达2.9米/秒，区域内的大气输送条件较好，对大气污染物的扩散较为有利，一定程度上减轻了扬尘对大气的污染程度。</w:t>
      </w:r>
    </w:p>
    <w:p w14:paraId="4C5E8FD5">
      <w:pPr>
        <w:spacing w:line="480" w:lineRule="exact"/>
        <w:ind w:firstLine="480" w:firstLineChars="200"/>
      </w:pPr>
      <w:r>
        <w:rPr>
          <w:rFonts w:hint="eastAsia"/>
        </w:rPr>
        <w:t>为减轻粉尘和扬尘污染程度和影响范围，建设单位应做到“施工一律围挡、场地一律硬化、车辆一律冲洗、运输一律密闭、拆迁一律洒水、裸地一律覆盖、干道一律机扫、裸土一律整治”等“八个一律”，具体包括以下几个方面：</w:t>
      </w:r>
    </w:p>
    <w:p w14:paraId="4B03FCF9">
      <w:pPr>
        <w:spacing w:line="480" w:lineRule="exact"/>
        <w:ind w:firstLine="480" w:firstLineChars="200"/>
      </w:pPr>
      <w:r>
        <w:rPr>
          <w:rFonts w:hint="eastAsia"/>
        </w:rPr>
        <w:t>①建筑工地施工现场必须按规定设置实体围墙或围挡，工地内必须建设混凝土循环车道，工地出入口必须使用洗轮机或设置符合规格的清洗池、沉淀池、过滤池、冲洗设备及排水设施等，严禁露天堆放易产生扬尘污染的建筑物料，按规定配置移动式监控设施等。</w:t>
      </w:r>
    </w:p>
    <w:p w14:paraId="3438FE0F">
      <w:pPr>
        <w:spacing w:line="480" w:lineRule="exact"/>
        <w:ind w:firstLine="480" w:firstLineChars="200"/>
      </w:pPr>
      <w:r>
        <w:rPr>
          <w:rFonts w:hint="eastAsia"/>
        </w:rPr>
        <w:t>②收储工地必须设置全封闭实体围墙，裸露地面必须采取覆盖防尘布、防尘网或播撒草籽绿化等防尘措施，每周洒水降尘不低于3次。</w:t>
      </w:r>
    </w:p>
    <w:p w14:paraId="03650119">
      <w:pPr>
        <w:spacing w:line="480" w:lineRule="exact"/>
        <w:ind w:firstLine="480" w:firstLineChars="200"/>
      </w:pPr>
      <w:r>
        <w:rPr>
          <w:rFonts w:hint="eastAsia"/>
        </w:rPr>
        <w:t>③土石方及物料运输实行申报制度，城管部门会同公安交巡警部门核准运输时间和路线，并颁发《建筑垃圾运输通行证》，各镇、办事处安排专人对出土工地进行24小时监管，对污染、超载、超速、故意遮挡车牌、未按规定悬挂车牌等行为依法进行查处等。</w:t>
      </w:r>
    </w:p>
    <w:p w14:paraId="0F08F57D">
      <w:pPr>
        <w:spacing w:line="480" w:lineRule="exact"/>
        <w:ind w:firstLine="480" w:firstLineChars="200"/>
      </w:pPr>
      <w:r>
        <w:rPr>
          <w:rFonts w:hint="eastAsia"/>
        </w:rPr>
        <w:t>④物料堆放每天洒水降尘不少于2次，场地内部要全部砼硬化，出入口保持整洁卫生。</w:t>
      </w:r>
    </w:p>
    <w:p w14:paraId="5FD1E8C7">
      <w:pPr>
        <w:spacing w:line="480" w:lineRule="exact"/>
        <w:ind w:firstLine="480" w:firstLineChars="200"/>
      </w:pPr>
      <w:r>
        <w:rPr>
          <w:rFonts w:hint="eastAsia"/>
        </w:rPr>
        <w:t>⑤道路出入口凡黄土裸露的，一律实行硬化和砌筑挡土墙，硬化长度以绿化带宽度平齐，硬化宽度以现有的路口宽度为准。</w:t>
      </w:r>
    </w:p>
    <w:p w14:paraId="3543B0BB">
      <w:pPr>
        <w:spacing w:line="480" w:lineRule="exact"/>
        <w:ind w:firstLine="480" w:firstLineChars="200"/>
      </w:pPr>
      <w:r>
        <w:rPr>
          <w:rFonts w:hint="eastAsia"/>
        </w:rPr>
        <w:t>⑥施工挖掘现场一律实行全封闭围挡，工程现场每天洒水降尘不少于两次，出入口车辆及时清洗干净，工程施工必须按限期完成。</w:t>
      </w:r>
    </w:p>
    <w:p w14:paraId="68607441">
      <w:pPr>
        <w:spacing w:line="480" w:lineRule="exact"/>
        <w:ind w:firstLine="480" w:firstLineChars="200"/>
      </w:pPr>
      <w:r>
        <w:rPr>
          <w:rFonts w:hint="eastAsia"/>
        </w:rPr>
        <w:t>⑦道路保洁降尘采取“一冲刷、两普扫、两降尘、一禁止”，推广采用洗扫一体化的作业设备和作业方式，主干道路机械化清扫率和冲扫率达100%等。</w:t>
      </w:r>
    </w:p>
    <w:p w14:paraId="743108B5">
      <w:pPr>
        <w:spacing w:line="480" w:lineRule="exact"/>
        <w:ind w:firstLine="480" w:firstLineChars="200"/>
      </w:pPr>
      <w:r>
        <w:rPr>
          <w:rFonts w:hint="eastAsia"/>
        </w:rPr>
        <w:t>⑧在工程土方开挖、回填和场地平整过程，应避免在大风条件下作业，并对作业面洒水保持土壤在一定湿度，减少扬尘的污染影响范围；在土方挖掘、平整阶段，运土车辆出场冲洗，必须做到净车出场，最大限度减少泥土撒落构成扬尘污染，在运输、装卸建筑材料时，应采用封闭车辆运输，尤其是泥砂等。</w:t>
      </w:r>
    </w:p>
    <w:p w14:paraId="4B6E944E">
      <w:pPr>
        <w:spacing w:line="480" w:lineRule="exact"/>
        <w:ind w:firstLine="480" w:firstLineChars="200"/>
      </w:pPr>
      <w:r>
        <w:rPr>
          <w:rFonts w:hint="eastAsia"/>
        </w:rPr>
        <w:t>⑨进出工地的物料、渣土、垃圾运输车辆，应采用密闭车斗，并保证物料不遗撒外漏。运输车辆行驶路线要征询环保部门同意，并限速行驶。</w:t>
      </w:r>
    </w:p>
    <w:p w14:paraId="15B60111">
      <w:pPr>
        <w:spacing w:line="480" w:lineRule="exact"/>
        <w:ind w:firstLine="480" w:firstLineChars="200"/>
      </w:pPr>
      <w:r>
        <w:rPr>
          <w:rFonts w:hint="eastAsia"/>
        </w:rPr>
        <w:t>⑩严格执行江苏省《施工场地扬尘排放标准》（DB32/4437-2022）的</w:t>
      </w:r>
      <w:r>
        <w:t>要求</w:t>
      </w:r>
      <w:r>
        <w:rPr>
          <w:rFonts w:hint="eastAsia"/>
        </w:rPr>
        <w:t>，</w:t>
      </w:r>
      <w:r>
        <w:t>确保施工扬尘不超过相应排放限制，同时</w:t>
      </w:r>
      <w:r>
        <w:rPr>
          <w:rFonts w:hint="eastAsia"/>
        </w:rPr>
        <w:t>进行施工</w:t>
      </w:r>
      <w:r>
        <w:t>场地的</w:t>
      </w:r>
      <w:r>
        <w:rPr>
          <w:rFonts w:hint="eastAsia"/>
        </w:rPr>
        <w:t>PM</w:t>
      </w:r>
      <w:r>
        <w:rPr>
          <w:rFonts w:hint="eastAsia"/>
          <w:vertAlign w:val="subscript"/>
        </w:rPr>
        <w:t>10</w:t>
      </w:r>
      <w:r>
        <w:rPr>
          <w:rFonts w:hint="eastAsia"/>
        </w:rPr>
        <w:t>或TSP的</w:t>
      </w:r>
      <w:r>
        <w:t>手工自动监测</w:t>
      </w:r>
      <w:r>
        <w:rPr>
          <w:rFonts w:hint="eastAsia"/>
        </w:rPr>
        <w:t>，确保</w:t>
      </w:r>
      <w:r>
        <w:t>达标排放。</w:t>
      </w:r>
    </w:p>
    <w:p w14:paraId="7C1EBEA9">
      <w:pPr>
        <w:pStyle w:val="7"/>
        <w:spacing w:line="480" w:lineRule="exact"/>
      </w:pPr>
      <w:r>
        <w:rPr>
          <w:rFonts w:hint="eastAsia"/>
        </w:rPr>
        <w:t>5</w:t>
      </w:r>
      <w:r>
        <w:t xml:space="preserve">.1.2 </w:t>
      </w:r>
      <w:r>
        <w:rPr>
          <w:rFonts w:hint="eastAsia"/>
        </w:rPr>
        <w:t>施工期水环境影响分析和防治对策</w:t>
      </w:r>
    </w:p>
    <w:p w14:paraId="6298B515">
      <w:pPr>
        <w:spacing w:line="480" w:lineRule="exact"/>
        <w:ind w:firstLine="480" w:firstLineChars="200"/>
      </w:pPr>
      <w:r>
        <w:rPr>
          <w:rFonts w:hint="eastAsia"/>
        </w:rPr>
        <w:t>施工期产生的废水包括施工人员的生活污水和施工本身产生的施工废水。</w:t>
      </w:r>
    </w:p>
    <w:p w14:paraId="33FC99E7">
      <w:pPr>
        <w:spacing w:line="480" w:lineRule="exact"/>
        <w:ind w:firstLine="480" w:firstLineChars="200"/>
      </w:pPr>
      <w:r>
        <w:rPr>
          <w:rFonts w:hint="eastAsia"/>
        </w:rPr>
        <w:t>生活污水主要源自施工人员平时的生活，包括粪便污水、清洗污水，主要污染物为COD、SS和BOD</w:t>
      </w:r>
      <w:r>
        <w:rPr>
          <w:rFonts w:hint="eastAsia"/>
          <w:vertAlign w:val="subscript"/>
        </w:rPr>
        <w:t>5</w:t>
      </w:r>
      <w:r>
        <w:rPr>
          <w:rFonts w:hint="eastAsia"/>
        </w:rPr>
        <w:t>等。根据类比调查，其污水水质为COD350mg/L、BOD</w:t>
      </w:r>
      <w:r>
        <w:rPr>
          <w:rFonts w:hint="eastAsia"/>
          <w:vertAlign w:val="subscript"/>
        </w:rPr>
        <w:t>5</w:t>
      </w:r>
      <w:r>
        <w:rPr>
          <w:rFonts w:hint="eastAsia"/>
        </w:rPr>
        <w:t>200mg/L、SS150mg/L。施工废水主要包括土方阶段降水井排水、结构阶段混凝土养护排水、各种车辆冲洗水等，其中主要是工程养护排水。据有关资料，工程养护中约有70%的水流失，流失同时夹带泥沙、杂物，处理不当会污染环境，堵塞污水管道。</w:t>
      </w:r>
    </w:p>
    <w:p w14:paraId="44F3D470">
      <w:pPr>
        <w:spacing w:line="480" w:lineRule="exact"/>
        <w:ind w:firstLine="480" w:firstLineChars="200"/>
      </w:pPr>
      <w:r>
        <w:rPr>
          <w:rFonts w:hint="eastAsia"/>
        </w:rPr>
        <w:t>在施工中上述废水量均不大，但如果不经处理或处理不当，同样会危害环境，因此施工期废水不应随意直排。施工期生活污水经化粪池处理后可用于灌溉农田，不外排，对附近水体水质无影响。此外，施工场地要求设置专门的收集沉淀池，建筑废水经隔油沉淀后，可回用水质要求不高的砂石冲洗水、混凝土养护水等，余量可用于路面洒水抑尘。</w:t>
      </w:r>
    </w:p>
    <w:p w14:paraId="2F56764F">
      <w:pPr>
        <w:spacing w:line="480" w:lineRule="exact"/>
        <w:ind w:firstLine="480" w:firstLineChars="200"/>
      </w:pPr>
      <w:r>
        <w:rPr>
          <w:rFonts w:hint="eastAsia"/>
        </w:rPr>
        <w:t>采取的控制措施为：</w:t>
      </w:r>
    </w:p>
    <w:p w14:paraId="7B18D220">
      <w:pPr>
        <w:spacing w:line="480" w:lineRule="exact"/>
        <w:ind w:firstLine="480" w:firstLineChars="200"/>
      </w:pPr>
      <w:r>
        <w:rPr>
          <w:rFonts w:hint="eastAsia"/>
        </w:rPr>
        <w:t>（1）施工过程产生的砂石冲洗水、混凝土养护水、设备水压试验水以及设备车辆洗涤水等应导入事先设置的沉淀池，经沉淀后回用。</w:t>
      </w:r>
    </w:p>
    <w:p w14:paraId="5CE4A2B6">
      <w:pPr>
        <w:spacing w:line="480" w:lineRule="exact"/>
        <w:ind w:firstLine="480" w:firstLineChars="200"/>
      </w:pPr>
      <w:r>
        <w:rPr>
          <w:rFonts w:hint="eastAsia"/>
        </w:rPr>
        <w:t>（2）加强对生活污水的处理，特别是厕所污水必须排入化粪池，严禁直接排入环境，废水经化粪池处理后用于农田灌溉。</w:t>
      </w:r>
    </w:p>
    <w:p w14:paraId="75397FA3">
      <w:pPr>
        <w:spacing w:line="480" w:lineRule="exact"/>
        <w:ind w:firstLine="480" w:firstLineChars="200"/>
      </w:pPr>
      <w:r>
        <w:rPr>
          <w:rFonts w:hint="eastAsia"/>
        </w:rPr>
        <w:t>（3）对各类车辆、设备使用的燃油、机油和润滑油等应加强管理，加强施工机械维护，防止施工机械漏油。所有废弃油脂类均要集中处理，不得随意倾倒、排入雨水管网和附近其他河流。</w:t>
      </w:r>
    </w:p>
    <w:p w14:paraId="0BA584D6">
      <w:pPr>
        <w:pStyle w:val="7"/>
        <w:spacing w:line="480" w:lineRule="exact"/>
      </w:pPr>
      <w:r>
        <w:rPr>
          <w:rFonts w:hint="eastAsia"/>
        </w:rPr>
        <w:t>5</w:t>
      </w:r>
      <w:r>
        <w:t xml:space="preserve">.1.3 </w:t>
      </w:r>
      <w:r>
        <w:rPr>
          <w:rFonts w:hint="eastAsia"/>
        </w:rPr>
        <w:t>施工期噪声环境影响分析和防治措施</w:t>
      </w:r>
    </w:p>
    <w:p w14:paraId="797DECB5">
      <w:pPr>
        <w:spacing w:line="480" w:lineRule="exact"/>
        <w:ind w:firstLine="480" w:firstLineChars="200"/>
      </w:pPr>
      <w:r>
        <w:rPr>
          <w:rFonts w:hint="eastAsia"/>
        </w:rPr>
        <w:t>（1）施工噪声源强</w:t>
      </w:r>
    </w:p>
    <w:p w14:paraId="496A7AF6">
      <w:pPr>
        <w:spacing w:line="480" w:lineRule="exact"/>
        <w:ind w:firstLine="480" w:firstLineChars="200"/>
      </w:pPr>
      <w:r>
        <w:rPr>
          <w:rFonts w:hint="eastAsia"/>
        </w:rPr>
        <w:t>噪声是施工期主要的污染因子，施工期间，运输车辆和各种施工机械如打桩机、挖掘机、推土机、搅拌机都是主要的噪声源，根据有关资料将主要施工机械的噪声状况列于表5.1-1。</w:t>
      </w:r>
    </w:p>
    <w:p w14:paraId="45505AE6">
      <w:pPr>
        <w:pStyle w:val="31"/>
        <w:spacing w:before="0" w:line="480" w:lineRule="exact"/>
      </w:pPr>
      <w:r>
        <w:rPr>
          <w:rFonts w:hint="eastAsia"/>
        </w:rPr>
        <w:t>表</w:t>
      </w:r>
      <w:r>
        <w:t xml:space="preserve">5.1-1  </w:t>
      </w:r>
      <w:r>
        <w:rPr>
          <w:rFonts w:hint="eastAsia"/>
        </w:rPr>
        <w:t>施工机械设备噪声值</w:t>
      </w:r>
    </w:p>
    <w:tbl>
      <w:tblPr>
        <w:tblStyle w:val="4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1631"/>
        <w:gridCol w:w="2058"/>
        <w:gridCol w:w="1057"/>
        <w:gridCol w:w="1415"/>
        <w:gridCol w:w="2173"/>
      </w:tblGrid>
      <w:tr w14:paraId="25A40B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Align w:val="center"/>
          </w:tcPr>
          <w:p w14:paraId="4F706B92">
            <w:pPr>
              <w:pStyle w:val="61"/>
              <w:spacing w:line="300" w:lineRule="exact"/>
              <w:rPr>
                <w:rFonts w:asciiTheme="majorHAnsi" w:hAnsiTheme="majorHAnsi"/>
                <w:szCs w:val="21"/>
                <w:lang w:val="zh-CN"/>
              </w:rPr>
            </w:pPr>
            <w:r>
              <w:rPr>
                <w:rFonts w:asciiTheme="majorHAnsi" w:hAnsiTheme="majorHAnsi"/>
                <w:szCs w:val="21"/>
              </w:rPr>
              <w:t>序号</w:t>
            </w:r>
          </w:p>
        </w:tc>
        <w:tc>
          <w:tcPr>
            <w:tcW w:w="878" w:type="pct"/>
            <w:vAlign w:val="center"/>
          </w:tcPr>
          <w:p w14:paraId="3C36C97E">
            <w:pPr>
              <w:pStyle w:val="61"/>
              <w:spacing w:line="300" w:lineRule="exact"/>
              <w:rPr>
                <w:rFonts w:asciiTheme="majorHAnsi" w:hAnsiTheme="majorHAnsi"/>
                <w:szCs w:val="21"/>
              </w:rPr>
            </w:pPr>
            <w:r>
              <w:rPr>
                <w:rFonts w:asciiTheme="majorHAnsi" w:hAnsiTheme="majorHAnsi"/>
                <w:szCs w:val="21"/>
              </w:rPr>
              <w:t>设备名称</w:t>
            </w:r>
          </w:p>
        </w:tc>
        <w:tc>
          <w:tcPr>
            <w:tcW w:w="1108" w:type="pct"/>
            <w:vAlign w:val="center"/>
          </w:tcPr>
          <w:p w14:paraId="65E98AFE">
            <w:pPr>
              <w:pStyle w:val="61"/>
              <w:spacing w:line="300" w:lineRule="exact"/>
              <w:rPr>
                <w:rFonts w:asciiTheme="majorHAnsi" w:hAnsiTheme="majorHAnsi"/>
                <w:szCs w:val="21"/>
              </w:rPr>
            </w:pPr>
            <w:r>
              <w:rPr>
                <w:rFonts w:asciiTheme="majorHAnsi" w:hAnsiTheme="majorHAnsi"/>
                <w:szCs w:val="21"/>
              </w:rPr>
              <w:t>距源10m处A声级</w:t>
            </w:r>
          </w:p>
        </w:tc>
        <w:tc>
          <w:tcPr>
            <w:tcW w:w="569" w:type="pct"/>
            <w:vAlign w:val="center"/>
          </w:tcPr>
          <w:p w14:paraId="24B45581">
            <w:pPr>
              <w:pStyle w:val="61"/>
              <w:spacing w:line="300" w:lineRule="exact"/>
              <w:rPr>
                <w:rFonts w:asciiTheme="majorHAnsi" w:hAnsiTheme="majorHAnsi"/>
                <w:szCs w:val="21"/>
              </w:rPr>
            </w:pPr>
            <w:r>
              <w:rPr>
                <w:rFonts w:asciiTheme="majorHAnsi" w:hAnsiTheme="majorHAnsi"/>
                <w:szCs w:val="21"/>
              </w:rPr>
              <w:t>序号</w:t>
            </w:r>
          </w:p>
        </w:tc>
        <w:tc>
          <w:tcPr>
            <w:tcW w:w="762" w:type="pct"/>
            <w:vAlign w:val="center"/>
          </w:tcPr>
          <w:p w14:paraId="51E77BB4">
            <w:pPr>
              <w:pStyle w:val="61"/>
              <w:spacing w:line="300" w:lineRule="exact"/>
              <w:rPr>
                <w:rFonts w:asciiTheme="majorHAnsi" w:hAnsiTheme="majorHAnsi"/>
                <w:szCs w:val="21"/>
              </w:rPr>
            </w:pPr>
            <w:r>
              <w:rPr>
                <w:rFonts w:asciiTheme="majorHAnsi" w:hAnsiTheme="majorHAnsi"/>
                <w:szCs w:val="21"/>
              </w:rPr>
              <w:t>设备名称</w:t>
            </w:r>
          </w:p>
        </w:tc>
        <w:tc>
          <w:tcPr>
            <w:tcW w:w="1170" w:type="pct"/>
            <w:vAlign w:val="center"/>
          </w:tcPr>
          <w:p w14:paraId="293A0E38">
            <w:pPr>
              <w:pStyle w:val="61"/>
              <w:spacing w:line="300" w:lineRule="exact"/>
              <w:rPr>
                <w:rFonts w:asciiTheme="majorHAnsi" w:hAnsiTheme="majorHAnsi"/>
                <w:szCs w:val="21"/>
              </w:rPr>
            </w:pPr>
            <w:r>
              <w:rPr>
                <w:rFonts w:asciiTheme="majorHAnsi" w:hAnsiTheme="majorHAnsi"/>
                <w:szCs w:val="21"/>
              </w:rPr>
              <w:t>距源10m处A声级</w:t>
            </w:r>
          </w:p>
        </w:tc>
      </w:tr>
      <w:tr w14:paraId="26CE0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Align w:val="center"/>
          </w:tcPr>
          <w:p w14:paraId="70250467">
            <w:pPr>
              <w:pStyle w:val="61"/>
              <w:spacing w:line="300" w:lineRule="exact"/>
              <w:rPr>
                <w:rFonts w:asciiTheme="majorHAnsi" w:hAnsiTheme="majorHAnsi"/>
                <w:szCs w:val="21"/>
                <w:lang w:val="zh-CN"/>
              </w:rPr>
            </w:pPr>
            <w:r>
              <w:rPr>
                <w:rFonts w:asciiTheme="majorHAnsi" w:hAnsiTheme="majorHAnsi"/>
                <w:szCs w:val="21"/>
                <w:lang w:val="zh-CN"/>
              </w:rPr>
              <w:t>1</w:t>
            </w:r>
          </w:p>
        </w:tc>
        <w:tc>
          <w:tcPr>
            <w:tcW w:w="878" w:type="pct"/>
            <w:vAlign w:val="center"/>
          </w:tcPr>
          <w:p w14:paraId="24B5F577">
            <w:pPr>
              <w:pStyle w:val="61"/>
              <w:spacing w:line="300" w:lineRule="exact"/>
              <w:rPr>
                <w:rFonts w:asciiTheme="majorHAnsi" w:hAnsiTheme="majorHAnsi"/>
                <w:szCs w:val="21"/>
              </w:rPr>
            </w:pPr>
            <w:r>
              <w:rPr>
                <w:rFonts w:asciiTheme="majorHAnsi" w:hAnsiTheme="majorHAnsi"/>
                <w:szCs w:val="21"/>
              </w:rPr>
              <w:t>打桩机</w:t>
            </w:r>
          </w:p>
        </w:tc>
        <w:tc>
          <w:tcPr>
            <w:tcW w:w="1108" w:type="pct"/>
            <w:vAlign w:val="center"/>
          </w:tcPr>
          <w:p w14:paraId="78AE1F11">
            <w:pPr>
              <w:pStyle w:val="61"/>
              <w:spacing w:line="300" w:lineRule="exact"/>
              <w:rPr>
                <w:rFonts w:asciiTheme="majorHAnsi" w:hAnsiTheme="majorHAnsi"/>
                <w:szCs w:val="21"/>
              </w:rPr>
            </w:pPr>
            <w:r>
              <w:rPr>
                <w:rFonts w:asciiTheme="majorHAnsi" w:hAnsiTheme="majorHAnsi"/>
                <w:szCs w:val="21"/>
              </w:rPr>
              <w:t>105</w:t>
            </w:r>
          </w:p>
        </w:tc>
        <w:tc>
          <w:tcPr>
            <w:tcW w:w="569" w:type="pct"/>
            <w:vAlign w:val="center"/>
          </w:tcPr>
          <w:p w14:paraId="2D69BB1E">
            <w:pPr>
              <w:pStyle w:val="61"/>
              <w:spacing w:line="300" w:lineRule="exact"/>
              <w:rPr>
                <w:rFonts w:asciiTheme="majorHAnsi" w:hAnsiTheme="majorHAnsi"/>
                <w:szCs w:val="21"/>
              </w:rPr>
            </w:pPr>
            <w:r>
              <w:rPr>
                <w:rFonts w:asciiTheme="majorHAnsi" w:hAnsiTheme="majorHAnsi"/>
                <w:szCs w:val="21"/>
              </w:rPr>
              <w:t>5</w:t>
            </w:r>
          </w:p>
        </w:tc>
        <w:tc>
          <w:tcPr>
            <w:tcW w:w="762" w:type="pct"/>
            <w:vAlign w:val="center"/>
          </w:tcPr>
          <w:p w14:paraId="25996888">
            <w:pPr>
              <w:pStyle w:val="61"/>
              <w:spacing w:line="300" w:lineRule="exact"/>
              <w:rPr>
                <w:rFonts w:asciiTheme="majorHAnsi" w:hAnsiTheme="majorHAnsi"/>
                <w:szCs w:val="21"/>
              </w:rPr>
            </w:pPr>
            <w:r>
              <w:rPr>
                <w:rFonts w:asciiTheme="majorHAnsi" w:hAnsiTheme="majorHAnsi"/>
                <w:szCs w:val="21"/>
              </w:rPr>
              <w:t>夯土机</w:t>
            </w:r>
          </w:p>
        </w:tc>
        <w:tc>
          <w:tcPr>
            <w:tcW w:w="1170" w:type="pct"/>
            <w:vAlign w:val="center"/>
          </w:tcPr>
          <w:p w14:paraId="50A1AA06">
            <w:pPr>
              <w:pStyle w:val="61"/>
              <w:spacing w:line="300" w:lineRule="exact"/>
              <w:rPr>
                <w:rFonts w:asciiTheme="majorHAnsi" w:hAnsiTheme="majorHAnsi"/>
                <w:szCs w:val="21"/>
              </w:rPr>
            </w:pPr>
            <w:r>
              <w:rPr>
                <w:rFonts w:asciiTheme="majorHAnsi" w:hAnsiTheme="majorHAnsi"/>
                <w:szCs w:val="21"/>
              </w:rPr>
              <w:t>83</w:t>
            </w:r>
          </w:p>
        </w:tc>
      </w:tr>
      <w:tr w14:paraId="4901D4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Align w:val="center"/>
          </w:tcPr>
          <w:p w14:paraId="6E7B92B8">
            <w:pPr>
              <w:pStyle w:val="61"/>
              <w:spacing w:line="300" w:lineRule="exact"/>
              <w:rPr>
                <w:rFonts w:asciiTheme="majorHAnsi" w:hAnsiTheme="majorHAnsi"/>
                <w:szCs w:val="21"/>
                <w:lang w:val="zh-CN"/>
              </w:rPr>
            </w:pPr>
            <w:r>
              <w:rPr>
                <w:rFonts w:asciiTheme="majorHAnsi" w:hAnsiTheme="majorHAnsi"/>
                <w:szCs w:val="21"/>
                <w:lang w:val="zh-CN"/>
              </w:rPr>
              <w:t>2</w:t>
            </w:r>
          </w:p>
        </w:tc>
        <w:tc>
          <w:tcPr>
            <w:tcW w:w="878" w:type="pct"/>
            <w:vAlign w:val="center"/>
          </w:tcPr>
          <w:p w14:paraId="2AF91201">
            <w:pPr>
              <w:pStyle w:val="61"/>
              <w:spacing w:line="300" w:lineRule="exact"/>
              <w:rPr>
                <w:rFonts w:asciiTheme="majorHAnsi" w:hAnsiTheme="majorHAnsi"/>
                <w:szCs w:val="21"/>
              </w:rPr>
            </w:pPr>
            <w:r>
              <w:rPr>
                <w:rFonts w:asciiTheme="majorHAnsi" w:hAnsiTheme="majorHAnsi"/>
                <w:szCs w:val="21"/>
              </w:rPr>
              <w:t>挖掘机</w:t>
            </w:r>
          </w:p>
        </w:tc>
        <w:tc>
          <w:tcPr>
            <w:tcW w:w="1108" w:type="pct"/>
            <w:vAlign w:val="center"/>
          </w:tcPr>
          <w:p w14:paraId="65C6E231">
            <w:pPr>
              <w:pStyle w:val="61"/>
              <w:spacing w:line="300" w:lineRule="exact"/>
              <w:rPr>
                <w:rFonts w:asciiTheme="majorHAnsi" w:hAnsiTheme="majorHAnsi"/>
                <w:szCs w:val="21"/>
              </w:rPr>
            </w:pPr>
            <w:r>
              <w:rPr>
                <w:rFonts w:asciiTheme="majorHAnsi" w:hAnsiTheme="majorHAnsi"/>
                <w:szCs w:val="21"/>
              </w:rPr>
              <w:t>82</w:t>
            </w:r>
          </w:p>
        </w:tc>
        <w:tc>
          <w:tcPr>
            <w:tcW w:w="569" w:type="pct"/>
            <w:vAlign w:val="center"/>
          </w:tcPr>
          <w:p w14:paraId="597C9E26">
            <w:pPr>
              <w:pStyle w:val="61"/>
              <w:spacing w:line="300" w:lineRule="exact"/>
              <w:rPr>
                <w:rFonts w:asciiTheme="majorHAnsi" w:hAnsiTheme="majorHAnsi"/>
                <w:szCs w:val="21"/>
              </w:rPr>
            </w:pPr>
            <w:r>
              <w:rPr>
                <w:rFonts w:asciiTheme="majorHAnsi" w:hAnsiTheme="majorHAnsi"/>
                <w:szCs w:val="21"/>
              </w:rPr>
              <w:t>6</w:t>
            </w:r>
          </w:p>
        </w:tc>
        <w:tc>
          <w:tcPr>
            <w:tcW w:w="762" w:type="pct"/>
            <w:vAlign w:val="center"/>
          </w:tcPr>
          <w:p w14:paraId="0881757B">
            <w:pPr>
              <w:pStyle w:val="61"/>
              <w:spacing w:line="300" w:lineRule="exact"/>
              <w:rPr>
                <w:rFonts w:asciiTheme="majorHAnsi" w:hAnsiTheme="majorHAnsi"/>
                <w:szCs w:val="21"/>
              </w:rPr>
            </w:pPr>
            <w:r>
              <w:rPr>
                <w:rFonts w:asciiTheme="majorHAnsi" w:hAnsiTheme="majorHAnsi"/>
                <w:szCs w:val="21"/>
              </w:rPr>
              <w:t>起重机</w:t>
            </w:r>
          </w:p>
        </w:tc>
        <w:tc>
          <w:tcPr>
            <w:tcW w:w="1170" w:type="pct"/>
            <w:vAlign w:val="center"/>
          </w:tcPr>
          <w:p w14:paraId="6036264F">
            <w:pPr>
              <w:pStyle w:val="61"/>
              <w:spacing w:line="300" w:lineRule="exact"/>
              <w:rPr>
                <w:rFonts w:asciiTheme="majorHAnsi" w:hAnsiTheme="majorHAnsi"/>
                <w:szCs w:val="21"/>
              </w:rPr>
            </w:pPr>
            <w:r>
              <w:rPr>
                <w:rFonts w:asciiTheme="majorHAnsi" w:hAnsiTheme="majorHAnsi"/>
                <w:szCs w:val="21"/>
              </w:rPr>
              <w:t>82</w:t>
            </w:r>
          </w:p>
        </w:tc>
      </w:tr>
      <w:tr w14:paraId="678C5E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Align w:val="center"/>
          </w:tcPr>
          <w:p w14:paraId="43B50934">
            <w:pPr>
              <w:pStyle w:val="61"/>
              <w:spacing w:line="300" w:lineRule="exact"/>
              <w:rPr>
                <w:rFonts w:asciiTheme="majorHAnsi" w:hAnsiTheme="majorHAnsi"/>
                <w:szCs w:val="21"/>
                <w:lang w:val="zh-CN"/>
              </w:rPr>
            </w:pPr>
            <w:r>
              <w:rPr>
                <w:rFonts w:asciiTheme="majorHAnsi" w:hAnsiTheme="majorHAnsi"/>
                <w:szCs w:val="21"/>
                <w:lang w:val="zh-CN"/>
              </w:rPr>
              <w:t>3</w:t>
            </w:r>
          </w:p>
        </w:tc>
        <w:tc>
          <w:tcPr>
            <w:tcW w:w="878" w:type="pct"/>
            <w:vAlign w:val="center"/>
          </w:tcPr>
          <w:p w14:paraId="527DB229">
            <w:pPr>
              <w:pStyle w:val="61"/>
              <w:spacing w:line="300" w:lineRule="exact"/>
              <w:rPr>
                <w:rFonts w:asciiTheme="majorHAnsi" w:hAnsiTheme="majorHAnsi"/>
                <w:szCs w:val="21"/>
              </w:rPr>
            </w:pPr>
            <w:r>
              <w:rPr>
                <w:rFonts w:asciiTheme="majorHAnsi" w:hAnsiTheme="majorHAnsi"/>
                <w:szCs w:val="21"/>
              </w:rPr>
              <w:t>推土机</w:t>
            </w:r>
          </w:p>
        </w:tc>
        <w:tc>
          <w:tcPr>
            <w:tcW w:w="1108" w:type="pct"/>
            <w:vAlign w:val="center"/>
          </w:tcPr>
          <w:p w14:paraId="395394F0">
            <w:pPr>
              <w:pStyle w:val="61"/>
              <w:spacing w:line="300" w:lineRule="exact"/>
              <w:rPr>
                <w:rFonts w:asciiTheme="majorHAnsi" w:hAnsiTheme="majorHAnsi"/>
                <w:szCs w:val="21"/>
              </w:rPr>
            </w:pPr>
            <w:r>
              <w:rPr>
                <w:rFonts w:asciiTheme="majorHAnsi" w:hAnsiTheme="majorHAnsi"/>
                <w:szCs w:val="21"/>
              </w:rPr>
              <w:t>76</w:t>
            </w:r>
          </w:p>
        </w:tc>
        <w:tc>
          <w:tcPr>
            <w:tcW w:w="569" w:type="pct"/>
            <w:vAlign w:val="center"/>
          </w:tcPr>
          <w:p w14:paraId="1ADE5A77">
            <w:pPr>
              <w:pStyle w:val="61"/>
              <w:spacing w:line="300" w:lineRule="exact"/>
              <w:rPr>
                <w:rFonts w:asciiTheme="majorHAnsi" w:hAnsiTheme="majorHAnsi"/>
                <w:szCs w:val="21"/>
              </w:rPr>
            </w:pPr>
            <w:r>
              <w:rPr>
                <w:rFonts w:asciiTheme="majorHAnsi" w:hAnsiTheme="majorHAnsi"/>
                <w:szCs w:val="21"/>
              </w:rPr>
              <w:t>7</w:t>
            </w:r>
          </w:p>
        </w:tc>
        <w:tc>
          <w:tcPr>
            <w:tcW w:w="762" w:type="pct"/>
            <w:vAlign w:val="center"/>
          </w:tcPr>
          <w:p w14:paraId="02142937">
            <w:pPr>
              <w:pStyle w:val="61"/>
              <w:spacing w:line="300" w:lineRule="exact"/>
              <w:rPr>
                <w:rFonts w:asciiTheme="majorHAnsi" w:hAnsiTheme="majorHAnsi"/>
                <w:szCs w:val="21"/>
              </w:rPr>
            </w:pPr>
            <w:r>
              <w:rPr>
                <w:rFonts w:asciiTheme="majorHAnsi" w:hAnsiTheme="majorHAnsi"/>
                <w:szCs w:val="21"/>
              </w:rPr>
              <w:t>卡车</w:t>
            </w:r>
          </w:p>
        </w:tc>
        <w:tc>
          <w:tcPr>
            <w:tcW w:w="1170" w:type="pct"/>
            <w:vAlign w:val="center"/>
          </w:tcPr>
          <w:p w14:paraId="30C052E6">
            <w:pPr>
              <w:pStyle w:val="61"/>
              <w:spacing w:line="300" w:lineRule="exact"/>
              <w:rPr>
                <w:rFonts w:asciiTheme="majorHAnsi" w:hAnsiTheme="majorHAnsi"/>
                <w:szCs w:val="21"/>
              </w:rPr>
            </w:pPr>
            <w:r>
              <w:rPr>
                <w:rFonts w:asciiTheme="majorHAnsi" w:hAnsiTheme="majorHAnsi"/>
                <w:szCs w:val="21"/>
              </w:rPr>
              <w:t>85</w:t>
            </w:r>
          </w:p>
        </w:tc>
      </w:tr>
      <w:tr w14:paraId="613582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Align w:val="center"/>
          </w:tcPr>
          <w:p w14:paraId="5425CC1D">
            <w:pPr>
              <w:pStyle w:val="61"/>
              <w:spacing w:line="300" w:lineRule="exact"/>
              <w:rPr>
                <w:rFonts w:asciiTheme="majorHAnsi" w:hAnsiTheme="majorHAnsi"/>
                <w:szCs w:val="21"/>
                <w:lang w:val="zh-CN"/>
              </w:rPr>
            </w:pPr>
            <w:r>
              <w:rPr>
                <w:rFonts w:asciiTheme="majorHAnsi" w:hAnsiTheme="majorHAnsi"/>
                <w:szCs w:val="21"/>
                <w:lang w:val="zh-CN"/>
              </w:rPr>
              <w:t>4</w:t>
            </w:r>
          </w:p>
        </w:tc>
        <w:tc>
          <w:tcPr>
            <w:tcW w:w="878" w:type="pct"/>
            <w:vAlign w:val="center"/>
          </w:tcPr>
          <w:p w14:paraId="16DF0E77">
            <w:pPr>
              <w:pStyle w:val="61"/>
              <w:spacing w:line="300" w:lineRule="exact"/>
              <w:rPr>
                <w:rFonts w:asciiTheme="majorHAnsi" w:hAnsiTheme="majorHAnsi"/>
                <w:szCs w:val="21"/>
              </w:rPr>
            </w:pPr>
            <w:r>
              <w:rPr>
                <w:rFonts w:asciiTheme="majorHAnsi" w:hAnsiTheme="majorHAnsi"/>
                <w:szCs w:val="21"/>
              </w:rPr>
              <w:t>搅拌机</w:t>
            </w:r>
          </w:p>
        </w:tc>
        <w:tc>
          <w:tcPr>
            <w:tcW w:w="1108" w:type="pct"/>
            <w:vAlign w:val="center"/>
          </w:tcPr>
          <w:p w14:paraId="2D8A487B">
            <w:pPr>
              <w:pStyle w:val="61"/>
              <w:spacing w:line="300" w:lineRule="exact"/>
              <w:rPr>
                <w:rFonts w:asciiTheme="majorHAnsi" w:hAnsiTheme="majorHAnsi"/>
                <w:szCs w:val="21"/>
              </w:rPr>
            </w:pPr>
            <w:r>
              <w:rPr>
                <w:rFonts w:asciiTheme="majorHAnsi" w:hAnsiTheme="majorHAnsi"/>
                <w:szCs w:val="21"/>
              </w:rPr>
              <w:t>84</w:t>
            </w:r>
          </w:p>
        </w:tc>
        <w:tc>
          <w:tcPr>
            <w:tcW w:w="569" w:type="pct"/>
            <w:vAlign w:val="center"/>
          </w:tcPr>
          <w:p w14:paraId="72614E7F">
            <w:pPr>
              <w:pStyle w:val="61"/>
              <w:spacing w:line="300" w:lineRule="exact"/>
              <w:rPr>
                <w:rFonts w:asciiTheme="majorHAnsi" w:hAnsiTheme="majorHAnsi"/>
                <w:szCs w:val="21"/>
              </w:rPr>
            </w:pPr>
            <w:r>
              <w:rPr>
                <w:rFonts w:asciiTheme="majorHAnsi" w:hAnsiTheme="majorHAnsi"/>
                <w:szCs w:val="21"/>
              </w:rPr>
              <w:t>8</w:t>
            </w:r>
          </w:p>
        </w:tc>
        <w:tc>
          <w:tcPr>
            <w:tcW w:w="762" w:type="pct"/>
            <w:vAlign w:val="center"/>
          </w:tcPr>
          <w:p w14:paraId="5FE9FDA6">
            <w:pPr>
              <w:pStyle w:val="61"/>
              <w:spacing w:line="300" w:lineRule="exact"/>
              <w:rPr>
                <w:rFonts w:asciiTheme="majorHAnsi" w:hAnsiTheme="majorHAnsi"/>
                <w:szCs w:val="21"/>
              </w:rPr>
            </w:pPr>
            <w:r>
              <w:rPr>
                <w:rFonts w:asciiTheme="majorHAnsi" w:hAnsiTheme="majorHAnsi"/>
                <w:szCs w:val="21"/>
              </w:rPr>
              <w:t>电锯</w:t>
            </w:r>
          </w:p>
        </w:tc>
        <w:tc>
          <w:tcPr>
            <w:tcW w:w="1170" w:type="pct"/>
            <w:vAlign w:val="center"/>
          </w:tcPr>
          <w:p w14:paraId="1C07D611">
            <w:pPr>
              <w:pStyle w:val="61"/>
              <w:spacing w:line="300" w:lineRule="exact"/>
              <w:rPr>
                <w:rFonts w:asciiTheme="majorHAnsi" w:hAnsiTheme="majorHAnsi"/>
                <w:szCs w:val="21"/>
              </w:rPr>
            </w:pPr>
            <w:r>
              <w:rPr>
                <w:rFonts w:asciiTheme="majorHAnsi" w:hAnsiTheme="majorHAnsi"/>
                <w:szCs w:val="21"/>
              </w:rPr>
              <w:t>84</w:t>
            </w:r>
          </w:p>
        </w:tc>
      </w:tr>
    </w:tbl>
    <w:p w14:paraId="60887D5E">
      <w:pPr>
        <w:spacing w:line="480" w:lineRule="exact"/>
        <w:ind w:firstLine="480" w:firstLineChars="200"/>
      </w:pPr>
      <w:r>
        <w:rPr>
          <w:rFonts w:hint="eastAsia"/>
        </w:rPr>
        <w:t>由上表可以看出，现场施工机械设备噪声较高，而且在施工过程中，这些施工机械又往往是同时作业，噪声源辐射量的相互叠加，声级值将更高，辐射范围也更大。</w:t>
      </w:r>
    </w:p>
    <w:p w14:paraId="18F4F968">
      <w:pPr>
        <w:spacing w:line="480" w:lineRule="exact"/>
        <w:ind w:firstLine="480" w:firstLineChars="200"/>
      </w:pPr>
      <w:r>
        <w:rPr>
          <w:rFonts w:hint="eastAsia"/>
        </w:rPr>
        <w:t>施工噪声对周边声环境的影响，采用《建筑施工场界环境噪声排放标准》（GB12523-2011）进行评价。</w:t>
      </w:r>
    </w:p>
    <w:p w14:paraId="6C9FED9A">
      <w:pPr>
        <w:spacing w:line="480" w:lineRule="exact"/>
        <w:ind w:firstLine="480" w:firstLineChars="200"/>
      </w:pPr>
      <w:r>
        <w:rPr>
          <w:rFonts w:hint="eastAsia"/>
        </w:rPr>
        <w:t>（2）施工噪声预测结果</w:t>
      </w:r>
    </w:p>
    <w:p w14:paraId="70FB1DB5">
      <w:pPr>
        <w:spacing w:line="480" w:lineRule="exact"/>
        <w:ind w:firstLine="480" w:firstLineChars="200"/>
      </w:pPr>
      <w:r>
        <w:rPr>
          <w:rFonts w:hint="eastAsia"/>
        </w:rPr>
        <w:t>施工机械噪声主要属中低频噪声，预测其影响时可只考虑其扩散衰减，预测模型可选用：</w:t>
      </w:r>
    </w:p>
    <w:p w14:paraId="07724544">
      <w:pPr>
        <w:spacing w:line="480" w:lineRule="exact"/>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−20</m:t>
          </m:r>
          <m:func>
            <m:funcPr>
              <m:ctrlPr>
                <w:rPr>
                  <w:rFonts w:ascii="Cambria Math" w:hAnsi="Cambria Math"/>
                  <w:i/>
                </w:rPr>
              </m:ctrlPr>
            </m:funcPr>
            <m:fName>
              <m:r>
                <m:rPr>
                  <m:sty m:val="p"/>
                </m:rPr>
                <w:rPr>
                  <w:rFonts w:ascii="Cambria Math" w:hAnsi="Cambria Math"/>
                </w:rPr>
                <m:t>lg</m:t>
              </m:r>
              <m:ctrlPr>
                <w:rPr>
                  <w:rFonts w:ascii="Cambria Math" w:hAnsi="Cambria Math"/>
                  <w:i/>
                </w:rPr>
              </m:ctrlP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i/>
                        </w:rPr>
                      </m:ctrlPr>
                    </m:den>
                  </m:f>
                  <m:ctrlPr>
                    <w:rPr>
                      <w:rFonts w:ascii="Cambria Math" w:hAnsi="Cambria Math"/>
                      <w:i/>
                    </w:rPr>
                  </m:ctrlPr>
                </m:e>
              </m:d>
              <m:ctrlPr>
                <w:rPr>
                  <w:rFonts w:ascii="Cambria Math" w:hAnsi="Cambria Math"/>
                  <w:i/>
                </w:rPr>
              </m:ctrlPr>
            </m:e>
          </m:func>
        </m:oMath>
      </m:oMathPara>
    </w:p>
    <w:p w14:paraId="7D77A015">
      <w:pPr>
        <w:spacing w:line="480" w:lineRule="exact"/>
        <w:ind w:firstLine="480" w:firstLineChars="200"/>
      </w:pPr>
      <w:r>
        <w:rPr>
          <w:rFonts w:hint="eastAsia"/>
        </w:rPr>
        <w:t>式中：</w:t>
      </w:r>
      <w:r>
        <w:rPr>
          <w:rFonts w:hint="eastAsia"/>
          <w:i/>
          <w:iCs/>
        </w:rPr>
        <w:t>L</w:t>
      </w:r>
      <w:r>
        <w:rPr>
          <w:rFonts w:hint="eastAsia"/>
          <w:i/>
          <w:iCs/>
          <w:vertAlign w:val="subscript"/>
        </w:rPr>
        <w:t>1</w:t>
      </w:r>
      <w:r>
        <w:rPr>
          <w:rFonts w:hint="eastAsia"/>
        </w:rPr>
        <w:t>、</w:t>
      </w:r>
      <w:r>
        <w:rPr>
          <w:rFonts w:hint="eastAsia"/>
          <w:i/>
          <w:iCs/>
        </w:rPr>
        <w:t>L</w:t>
      </w:r>
      <w:r>
        <w:rPr>
          <w:rFonts w:hint="eastAsia"/>
          <w:i/>
          <w:iCs/>
          <w:vertAlign w:val="subscript"/>
        </w:rPr>
        <w:t>2</w:t>
      </w:r>
      <w:r>
        <w:rPr>
          <w:rFonts w:hint="eastAsia"/>
        </w:rPr>
        <w:t>分别为距声源</w:t>
      </w:r>
      <w:r>
        <w:rPr>
          <w:rFonts w:hint="eastAsia"/>
          <w:i/>
          <w:iCs/>
        </w:rPr>
        <w:t>r</w:t>
      </w:r>
      <w:r>
        <w:rPr>
          <w:rFonts w:hint="eastAsia"/>
          <w:i/>
          <w:iCs/>
          <w:vertAlign w:val="subscript"/>
        </w:rPr>
        <w:t>1</w:t>
      </w:r>
      <w:r>
        <w:rPr>
          <w:rFonts w:hint="eastAsia"/>
        </w:rPr>
        <w:t>、</w:t>
      </w:r>
      <w:r>
        <w:rPr>
          <w:rFonts w:hint="eastAsia"/>
          <w:i/>
          <w:iCs/>
        </w:rPr>
        <w:t>r</w:t>
      </w:r>
      <w:r>
        <w:rPr>
          <w:rFonts w:hint="eastAsia"/>
          <w:i/>
          <w:iCs/>
          <w:vertAlign w:val="subscript"/>
        </w:rPr>
        <w:t>2</w:t>
      </w:r>
      <w:r>
        <w:rPr>
          <w:rFonts w:hint="eastAsia"/>
        </w:rPr>
        <w:t>处的等效声级值，dB(A)；</w:t>
      </w:r>
    </w:p>
    <w:p w14:paraId="77F45022">
      <w:pPr>
        <w:spacing w:line="480" w:lineRule="exact"/>
        <w:ind w:firstLine="1200" w:firstLineChars="500"/>
      </w:pPr>
      <w:r>
        <w:rPr>
          <w:rFonts w:hint="eastAsia"/>
          <w:i/>
          <w:iCs/>
        </w:rPr>
        <w:t>r</w:t>
      </w:r>
      <w:r>
        <w:rPr>
          <w:rFonts w:hint="eastAsia"/>
          <w:i/>
          <w:iCs/>
          <w:vertAlign w:val="subscript"/>
        </w:rPr>
        <w:t>1</w:t>
      </w:r>
      <w:r>
        <w:rPr>
          <w:rFonts w:hint="eastAsia"/>
        </w:rPr>
        <w:t>、</w:t>
      </w:r>
      <w:r>
        <w:rPr>
          <w:rFonts w:hint="eastAsia"/>
          <w:i/>
          <w:iCs/>
        </w:rPr>
        <w:t>r</w:t>
      </w:r>
      <w:r>
        <w:rPr>
          <w:rFonts w:hint="eastAsia"/>
          <w:i/>
          <w:iCs/>
          <w:vertAlign w:val="subscript"/>
        </w:rPr>
        <w:t>2</w:t>
      </w:r>
      <w:r>
        <w:rPr>
          <w:rFonts w:hint="eastAsia"/>
        </w:rPr>
        <w:t>为接受点距声源的距离，m。</w:t>
      </w:r>
    </w:p>
    <w:p w14:paraId="5533ACEE">
      <w:pPr>
        <w:spacing w:line="480" w:lineRule="exact"/>
        <w:ind w:firstLine="480" w:firstLineChars="200"/>
      </w:pPr>
      <w:r>
        <w:rPr>
          <w:rFonts w:hint="eastAsia"/>
        </w:rPr>
        <w:t>由上式可推出噪声随距离增加而衰减的量</w:t>
      </w:r>
      <w:r>
        <w:rPr>
          <w:rFonts w:ascii="Times New Roman" w:hAnsi="Times New Roman" w:cs="Times New Roman"/>
        </w:rPr>
        <w:t>Δ</w:t>
      </w:r>
      <w:r>
        <w:rPr>
          <w:rFonts w:hint="eastAsia"/>
          <w:i/>
          <w:iCs/>
        </w:rPr>
        <w:t>L</w:t>
      </w:r>
      <w:r>
        <w:rPr>
          <w:rFonts w:hint="eastAsia"/>
        </w:rPr>
        <w:t>：</w:t>
      </w:r>
    </w:p>
    <w:p w14:paraId="4D2FE47C">
      <w:pPr>
        <w:spacing w:line="480" w:lineRule="exact"/>
      </w:pPr>
      <m:oMathPara>
        <m:oMath>
          <m:r>
            <m:rPr/>
            <w:rPr>
              <w:rFonts w:ascii="Cambria Math" w:hAnsi="Cambria Math"/>
            </w:rPr>
            <m:t>∆L=</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=20</m:t>
          </m:r>
          <m:func>
            <m:funcPr>
              <m:ctrlPr>
                <w:rPr>
                  <w:rFonts w:ascii="Cambria Math" w:hAnsi="Cambria Math"/>
                  <w:i/>
                </w:rPr>
              </m:ctrlPr>
            </m:funcPr>
            <m:fName>
              <m:r>
                <m:rPr>
                  <m:sty m:val="p"/>
                </m:rPr>
                <w:rPr>
                  <w:rFonts w:ascii="Cambria Math" w:hAnsi="Cambria Math"/>
                </w:rPr>
                <m:t>lg</m:t>
              </m:r>
              <m:ctrlPr>
                <w:rPr>
                  <w:rFonts w:ascii="Cambria Math" w:hAnsi="Cambria Math"/>
                  <w:i/>
                </w:rPr>
              </m:ctrlPr>
            </m:fName>
            <m:e>
              <m:f>
                <m:fPr>
                  <m:type m:val="lin"/>
                  <m:ctrlPr>
                    <w:rPr>
                      <w:rFonts w:ascii="Cambria Math" w:hAnsi="Cambria Math"/>
                      <w:i/>
                    </w:rPr>
                  </m:ctrlPr>
                </m:fPr>
                <m:num>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i/>
                    </w:rPr>
                  </m:ctrlPr>
                </m:den>
              </m:f>
              <m:ctrlPr>
                <w:rPr>
                  <w:rFonts w:ascii="Cambria Math" w:hAnsi="Cambria Math"/>
                  <w:i/>
                </w:rPr>
              </m:ctrlPr>
            </m:e>
          </m:func>
        </m:oMath>
      </m:oMathPara>
    </w:p>
    <w:p w14:paraId="1EE460F2">
      <w:pPr>
        <w:spacing w:line="480" w:lineRule="exact"/>
        <w:ind w:firstLine="480" w:firstLineChars="200"/>
      </w:pPr>
      <w:r>
        <w:rPr>
          <w:rFonts w:hint="eastAsia"/>
        </w:rPr>
        <w:t>由此可计算出噪声值随距离衰减的情况，结果见表5.1-2。</w:t>
      </w:r>
    </w:p>
    <w:p w14:paraId="57AE3FD5">
      <w:pPr>
        <w:pStyle w:val="31"/>
        <w:spacing w:before="0" w:line="480" w:lineRule="exact"/>
      </w:pPr>
      <w:r>
        <w:rPr>
          <w:rFonts w:hint="eastAsia"/>
        </w:rPr>
        <w:t>表</w:t>
      </w:r>
      <w:r>
        <w:t xml:space="preserve">5.1-2  </w:t>
      </w:r>
      <w:r>
        <w:rPr>
          <w:rFonts w:hint="eastAsia"/>
        </w:rPr>
        <w:t>噪声值随距离的衰减情况</w:t>
      </w:r>
    </w:p>
    <w:tbl>
      <w:tblPr>
        <w:tblStyle w:val="4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5"/>
        <w:gridCol w:w="838"/>
        <w:gridCol w:w="838"/>
        <w:gridCol w:w="838"/>
        <w:gridCol w:w="836"/>
        <w:gridCol w:w="838"/>
        <w:gridCol w:w="836"/>
        <w:gridCol w:w="836"/>
        <w:gridCol w:w="837"/>
        <w:gridCol w:w="839"/>
      </w:tblGrid>
      <w:tr w14:paraId="657F0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9" w:type="pct"/>
            <w:vAlign w:val="center"/>
          </w:tcPr>
          <w:p w14:paraId="5266DDD5">
            <w:pPr>
              <w:pStyle w:val="61"/>
              <w:rPr>
                <w:szCs w:val="21"/>
                <w:lang w:val="zh-CN"/>
              </w:rPr>
            </w:pPr>
            <w:r>
              <w:rPr>
                <w:rFonts w:hint="eastAsia"/>
                <w:szCs w:val="21"/>
                <w:lang w:val="zh-CN"/>
              </w:rPr>
              <w:t>距离（m）</w:t>
            </w:r>
          </w:p>
        </w:tc>
        <w:tc>
          <w:tcPr>
            <w:tcW w:w="451" w:type="pct"/>
            <w:vAlign w:val="center"/>
          </w:tcPr>
          <w:p w14:paraId="59A0D597">
            <w:pPr>
              <w:pStyle w:val="61"/>
              <w:rPr>
                <w:szCs w:val="21"/>
              </w:rPr>
            </w:pPr>
            <w:r>
              <w:rPr>
                <w:rFonts w:hint="eastAsia"/>
                <w:szCs w:val="21"/>
              </w:rPr>
              <w:t>1</w:t>
            </w:r>
            <w:r>
              <w:rPr>
                <w:szCs w:val="21"/>
              </w:rPr>
              <w:t>0</w:t>
            </w:r>
          </w:p>
        </w:tc>
        <w:tc>
          <w:tcPr>
            <w:tcW w:w="451" w:type="pct"/>
            <w:vAlign w:val="center"/>
          </w:tcPr>
          <w:p w14:paraId="59902587">
            <w:pPr>
              <w:pStyle w:val="61"/>
              <w:rPr>
                <w:szCs w:val="21"/>
              </w:rPr>
            </w:pPr>
            <w:r>
              <w:rPr>
                <w:rFonts w:hint="eastAsia"/>
                <w:szCs w:val="21"/>
              </w:rPr>
              <w:t>5</w:t>
            </w:r>
            <w:r>
              <w:rPr>
                <w:szCs w:val="21"/>
              </w:rPr>
              <w:t>0</w:t>
            </w:r>
          </w:p>
        </w:tc>
        <w:tc>
          <w:tcPr>
            <w:tcW w:w="451" w:type="pct"/>
            <w:vAlign w:val="center"/>
          </w:tcPr>
          <w:p w14:paraId="71854F2E">
            <w:pPr>
              <w:pStyle w:val="61"/>
              <w:rPr>
                <w:szCs w:val="21"/>
              </w:rPr>
            </w:pPr>
            <w:r>
              <w:rPr>
                <w:rFonts w:hint="eastAsia"/>
                <w:szCs w:val="21"/>
              </w:rPr>
              <w:t>1</w:t>
            </w:r>
            <w:r>
              <w:rPr>
                <w:szCs w:val="21"/>
              </w:rPr>
              <w:t>00</w:t>
            </w:r>
          </w:p>
        </w:tc>
        <w:tc>
          <w:tcPr>
            <w:tcW w:w="450" w:type="pct"/>
            <w:vAlign w:val="center"/>
          </w:tcPr>
          <w:p w14:paraId="2E41FB8D">
            <w:pPr>
              <w:pStyle w:val="61"/>
              <w:rPr>
                <w:szCs w:val="21"/>
              </w:rPr>
            </w:pPr>
            <w:r>
              <w:rPr>
                <w:rFonts w:hint="eastAsia"/>
                <w:szCs w:val="21"/>
              </w:rPr>
              <w:t>1</w:t>
            </w:r>
            <w:r>
              <w:rPr>
                <w:szCs w:val="21"/>
              </w:rPr>
              <w:t>50</w:t>
            </w:r>
          </w:p>
        </w:tc>
        <w:tc>
          <w:tcPr>
            <w:tcW w:w="451" w:type="pct"/>
            <w:vAlign w:val="center"/>
          </w:tcPr>
          <w:p w14:paraId="07ED7408">
            <w:pPr>
              <w:pStyle w:val="61"/>
              <w:rPr>
                <w:szCs w:val="21"/>
              </w:rPr>
            </w:pPr>
            <w:r>
              <w:rPr>
                <w:rFonts w:hint="eastAsia"/>
                <w:szCs w:val="21"/>
              </w:rPr>
              <w:t>2</w:t>
            </w:r>
            <w:r>
              <w:rPr>
                <w:szCs w:val="21"/>
              </w:rPr>
              <w:t>00</w:t>
            </w:r>
          </w:p>
        </w:tc>
        <w:tc>
          <w:tcPr>
            <w:tcW w:w="450" w:type="pct"/>
            <w:vAlign w:val="center"/>
          </w:tcPr>
          <w:p w14:paraId="758926FA">
            <w:pPr>
              <w:pStyle w:val="61"/>
              <w:rPr>
                <w:szCs w:val="21"/>
              </w:rPr>
            </w:pPr>
            <w:r>
              <w:rPr>
                <w:rFonts w:hint="eastAsia"/>
                <w:szCs w:val="21"/>
              </w:rPr>
              <w:t>2</w:t>
            </w:r>
            <w:r>
              <w:rPr>
                <w:szCs w:val="21"/>
              </w:rPr>
              <w:t>50</w:t>
            </w:r>
          </w:p>
        </w:tc>
        <w:tc>
          <w:tcPr>
            <w:tcW w:w="450" w:type="pct"/>
            <w:vAlign w:val="center"/>
          </w:tcPr>
          <w:p w14:paraId="4AE2113D">
            <w:pPr>
              <w:pStyle w:val="61"/>
              <w:rPr>
                <w:szCs w:val="21"/>
              </w:rPr>
            </w:pPr>
            <w:r>
              <w:rPr>
                <w:rFonts w:hint="eastAsia"/>
                <w:szCs w:val="21"/>
              </w:rPr>
              <w:t>3</w:t>
            </w:r>
            <w:r>
              <w:rPr>
                <w:szCs w:val="21"/>
              </w:rPr>
              <w:t>00</w:t>
            </w:r>
          </w:p>
        </w:tc>
        <w:tc>
          <w:tcPr>
            <w:tcW w:w="450" w:type="pct"/>
            <w:vAlign w:val="center"/>
          </w:tcPr>
          <w:p w14:paraId="2E911EAC">
            <w:pPr>
              <w:pStyle w:val="61"/>
              <w:rPr>
                <w:szCs w:val="21"/>
              </w:rPr>
            </w:pPr>
            <w:r>
              <w:rPr>
                <w:rFonts w:hint="eastAsia"/>
                <w:szCs w:val="21"/>
              </w:rPr>
              <w:t>4</w:t>
            </w:r>
            <w:r>
              <w:rPr>
                <w:szCs w:val="21"/>
              </w:rPr>
              <w:t>00</w:t>
            </w:r>
          </w:p>
        </w:tc>
        <w:tc>
          <w:tcPr>
            <w:tcW w:w="451" w:type="pct"/>
            <w:vAlign w:val="center"/>
          </w:tcPr>
          <w:p w14:paraId="715DA4A5">
            <w:pPr>
              <w:pStyle w:val="61"/>
              <w:rPr>
                <w:szCs w:val="21"/>
              </w:rPr>
            </w:pPr>
            <w:r>
              <w:rPr>
                <w:rFonts w:hint="eastAsia"/>
                <w:szCs w:val="21"/>
              </w:rPr>
              <w:t>6</w:t>
            </w:r>
            <w:r>
              <w:rPr>
                <w:szCs w:val="21"/>
              </w:rPr>
              <w:t>00</w:t>
            </w:r>
          </w:p>
        </w:tc>
      </w:tr>
      <w:tr w14:paraId="1201B1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9" w:type="pct"/>
            <w:vAlign w:val="center"/>
          </w:tcPr>
          <w:p w14:paraId="6063B7FC">
            <w:pPr>
              <w:pStyle w:val="61"/>
              <w:rPr>
                <w:szCs w:val="21"/>
                <w:lang w:val="zh-CN"/>
              </w:rPr>
            </w:pPr>
            <w:r>
              <w:rPr>
                <w:szCs w:val="21"/>
              </w:rPr>
              <w:t>Δ</w:t>
            </w:r>
            <w:r>
              <w:rPr>
                <w:rFonts w:hint="eastAsia"/>
                <w:i/>
                <w:iCs/>
                <w:szCs w:val="21"/>
              </w:rPr>
              <w:t>L</w:t>
            </w:r>
            <w:r>
              <w:rPr>
                <w:rFonts w:hint="eastAsia"/>
                <w:szCs w:val="21"/>
              </w:rPr>
              <w:t>（dB(A)）</w:t>
            </w:r>
          </w:p>
        </w:tc>
        <w:tc>
          <w:tcPr>
            <w:tcW w:w="451" w:type="pct"/>
            <w:vAlign w:val="center"/>
          </w:tcPr>
          <w:p w14:paraId="455572B3">
            <w:pPr>
              <w:pStyle w:val="61"/>
              <w:rPr>
                <w:i/>
                <w:iCs/>
                <w:szCs w:val="21"/>
              </w:rPr>
            </w:pPr>
            <w:r>
              <w:rPr>
                <w:szCs w:val="21"/>
              </w:rPr>
              <w:t>20</w:t>
            </w:r>
          </w:p>
        </w:tc>
        <w:tc>
          <w:tcPr>
            <w:tcW w:w="451" w:type="pct"/>
            <w:vAlign w:val="center"/>
          </w:tcPr>
          <w:p w14:paraId="7ECFA46D">
            <w:pPr>
              <w:pStyle w:val="61"/>
              <w:rPr>
                <w:szCs w:val="21"/>
              </w:rPr>
            </w:pPr>
            <w:r>
              <w:rPr>
                <w:szCs w:val="21"/>
              </w:rPr>
              <w:t>34</w:t>
            </w:r>
          </w:p>
        </w:tc>
        <w:tc>
          <w:tcPr>
            <w:tcW w:w="451" w:type="pct"/>
            <w:vAlign w:val="center"/>
          </w:tcPr>
          <w:p w14:paraId="1FB78E29">
            <w:pPr>
              <w:pStyle w:val="61"/>
              <w:rPr>
                <w:szCs w:val="21"/>
              </w:rPr>
            </w:pPr>
            <w:r>
              <w:rPr>
                <w:szCs w:val="21"/>
              </w:rPr>
              <w:t>40</w:t>
            </w:r>
          </w:p>
        </w:tc>
        <w:tc>
          <w:tcPr>
            <w:tcW w:w="450" w:type="pct"/>
            <w:vAlign w:val="center"/>
          </w:tcPr>
          <w:p w14:paraId="43A88AF0">
            <w:pPr>
              <w:pStyle w:val="61"/>
              <w:rPr>
                <w:szCs w:val="21"/>
              </w:rPr>
            </w:pPr>
            <w:r>
              <w:rPr>
                <w:szCs w:val="21"/>
              </w:rPr>
              <w:t>43</w:t>
            </w:r>
          </w:p>
        </w:tc>
        <w:tc>
          <w:tcPr>
            <w:tcW w:w="451" w:type="pct"/>
            <w:vAlign w:val="center"/>
          </w:tcPr>
          <w:p w14:paraId="4152BF33">
            <w:pPr>
              <w:pStyle w:val="61"/>
              <w:rPr>
                <w:szCs w:val="21"/>
              </w:rPr>
            </w:pPr>
            <w:r>
              <w:rPr>
                <w:szCs w:val="21"/>
              </w:rPr>
              <w:t>46</w:t>
            </w:r>
          </w:p>
        </w:tc>
        <w:tc>
          <w:tcPr>
            <w:tcW w:w="450" w:type="pct"/>
            <w:vAlign w:val="center"/>
          </w:tcPr>
          <w:p w14:paraId="407B451D">
            <w:pPr>
              <w:pStyle w:val="61"/>
              <w:rPr>
                <w:szCs w:val="21"/>
              </w:rPr>
            </w:pPr>
            <w:r>
              <w:rPr>
                <w:szCs w:val="21"/>
              </w:rPr>
              <w:t>48</w:t>
            </w:r>
          </w:p>
        </w:tc>
        <w:tc>
          <w:tcPr>
            <w:tcW w:w="450" w:type="pct"/>
            <w:vAlign w:val="center"/>
          </w:tcPr>
          <w:p w14:paraId="3396E8B3">
            <w:pPr>
              <w:pStyle w:val="61"/>
              <w:rPr>
                <w:szCs w:val="21"/>
              </w:rPr>
            </w:pPr>
            <w:r>
              <w:rPr>
                <w:szCs w:val="21"/>
              </w:rPr>
              <w:t>49</w:t>
            </w:r>
          </w:p>
        </w:tc>
        <w:tc>
          <w:tcPr>
            <w:tcW w:w="450" w:type="pct"/>
            <w:vAlign w:val="center"/>
          </w:tcPr>
          <w:p w14:paraId="21A7337F">
            <w:pPr>
              <w:pStyle w:val="61"/>
              <w:rPr>
                <w:szCs w:val="21"/>
              </w:rPr>
            </w:pPr>
            <w:r>
              <w:rPr>
                <w:szCs w:val="21"/>
              </w:rPr>
              <w:t>52</w:t>
            </w:r>
          </w:p>
        </w:tc>
        <w:tc>
          <w:tcPr>
            <w:tcW w:w="451" w:type="pct"/>
            <w:vAlign w:val="center"/>
          </w:tcPr>
          <w:p w14:paraId="1F2180B0">
            <w:pPr>
              <w:pStyle w:val="61"/>
              <w:rPr>
                <w:szCs w:val="21"/>
              </w:rPr>
            </w:pPr>
            <w:r>
              <w:rPr>
                <w:szCs w:val="21"/>
              </w:rPr>
              <w:t>57</w:t>
            </w:r>
          </w:p>
        </w:tc>
      </w:tr>
    </w:tbl>
    <w:p w14:paraId="25B23CE8">
      <w:pPr>
        <w:spacing w:line="480" w:lineRule="exact"/>
        <w:ind w:firstLine="480" w:firstLineChars="200"/>
      </w:pPr>
      <w:r>
        <w:rPr>
          <w:rFonts w:hint="eastAsia"/>
        </w:rPr>
        <w:t>如按施工机械噪声最高的打桩机和混凝土搅拌机计算，工程施工噪声随距离衰减后的情况如表5.1-3。</w:t>
      </w:r>
    </w:p>
    <w:p w14:paraId="4CA8D75D">
      <w:pPr>
        <w:pStyle w:val="31"/>
        <w:spacing w:before="0" w:line="480" w:lineRule="exact"/>
      </w:pPr>
      <w:r>
        <w:rPr>
          <w:rFonts w:hint="eastAsia"/>
        </w:rPr>
        <w:t>表</w:t>
      </w:r>
      <w:r>
        <w:t xml:space="preserve">5.1-3  </w:t>
      </w:r>
      <w:r>
        <w:rPr>
          <w:rFonts w:hint="eastAsia"/>
        </w:rPr>
        <w:t>施工设备噪声对不同距离接受点的影响值</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7"/>
        <w:gridCol w:w="887"/>
        <w:gridCol w:w="890"/>
        <w:gridCol w:w="890"/>
        <w:gridCol w:w="890"/>
        <w:gridCol w:w="890"/>
        <w:gridCol w:w="890"/>
        <w:gridCol w:w="890"/>
        <w:gridCol w:w="890"/>
      </w:tblGrid>
      <w:tr w14:paraId="4D881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vAlign w:val="center"/>
          </w:tcPr>
          <w:p w14:paraId="2CC37497">
            <w:pPr>
              <w:pStyle w:val="61"/>
              <w:rPr>
                <w:lang w:val="zh-CN"/>
              </w:rPr>
            </w:pPr>
            <w:r>
              <w:rPr>
                <w:rFonts w:hint="eastAsia"/>
                <w:lang w:val="zh-CN"/>
              </w:rPr>
              <w:t>离源距离（m）</w:t>
            </w:r>
          </w:p>
        </w:tc>
        <w:tc>
          <w:tcPr>
            <w:tcW w:w="478" w:type="pct"/>
            <w:vAlign w:val="center"/>
          </w:tcPr>
          <w:p w14:paraId="44744FFD">
            <w:pPr>
              <w:pStyle w:val="61"/>
            </w:pPr>
            <w:r>
              <w:rPr>
                <w:rFonts w:hint="eastAsia"/>
              </w:rPr>
              <w:t>1</w:t>
            </w:r>
            <w:r>
              <w:t>0</w:t>
            </w:r>
          </w:p>
        </w:tc>
        <w:tc>
          <w:tcPr>
            <w:tcW w:w="479" w:type="pct"/>
            <w:vAlign w:val="center"/>
          </w:tcPr>
          <w:p w14:paraId="458DA279">
            <w:pPr>
              <w:pStyle w:val="61"/>
            </w:pPr>
            <w:r>
              <w:rPr>
                <w:rFonts w:hint="eastAsia"/>
              </w:rPr>
              <w:t>2</w:t>
            </w:r>
            <w:r>
              <w:t>0</w:t>
            </w:r>
          </w:p>
        </w:tc>
        <w:tc>
          <w:tcPr>
            <w:tcW w:w="479" w:type="pct"/>
            <w:vAlign w:val="center"/>
          </w:tcPr>
          <w:p w14:paraId="1BBBCE49">
            <w:pPr>
              <w:pStyle w:val="61"/>
            </w:pPr>
            <w:r>
              <w:rPr>
                <w:rFonts w:hint="eastAsia"/>
              </w:rPr>
              <w:t>4</w:t>
            </w:r>
            <w:r>
              <w:t>0</w:t>
            </w:r>
          </w:p>
        </w:tc>
        <w:tc>
          <w:tcPr>
            <w:tcW w:w="479" w:type="pct"/>
            <w:vAlign w:val="center"/>
          </w:tcPr>
          <w:p w14:paraId="57C0B217">
            <w:pPr>
              <w:pStyle w:val="61"/>
            </w:pPr>
            <w:r>
              <w:t>60</w:t>
            </w:r>
          </w:p>
        </w:tc>
        <w:tc>
          <w:tcPr>
            <w:tcW w:w="479" w:type="pct"/>
            <w:vAlign w:val="center"/>
          </w:tcPr>
          <w:p w14:paraId="319E7890">
            <w:pPr>
              <w:pStyle w:val="61"/>
            </w:pPr>
            <w:r>
              <w:rPr>
                <w:rFonts w:hint="eastAsia"/>
              </w:rPr>
              <w:t>8</w:t>
            </w:r>
            <w:r>
              <w:t>0</w:t>
            </w:r>
          </w:p>
        </w:tc>
        <w:tc>
          <w:tcPr>
            <w:tcW w:w="479" w:type="pct"/>
            <w:vAlign w:val="center"/>
          </w:tcPr>
          <w:p w14:paraId="22A0D1ED">
            <w:pPr>
              <w:pStyle w:val="61"/>
            </w:pPr>
            <w:r>
              <w:rPr>
                <w:rFonts w:hint="eastAsia"/>
              </w:rPr>
              <w:t>1</w:t>
            </w:r>
            <w:r>
              <w:t>00</w:t>
            </w:r>
          </w:p>
        </w:tc>
        <w:tc>
          <w:tcPr>
            <w:tcW w:w="479" w:type="pct"/>
            <w:vAlign w:val="center"/>
          </w:tcPr>
          <w:p w14:paraId="14426138">
            <w:pPr>
              <w:pStyle w:val="61"/>
            </w:pPr>
            <w:r>
              <w:rPr>
                <w:rFonts w:hint="eastAsia"/>
              </w:rPr>
              <w:t>1</w:t>
            </w:r>
            <w:r>
              <w:t>50</w:t>
            </w:r>
          </w:p>
        </w:tc>
        <w:tc>
          <w:tcPr>
            <w:tcW w:w="479" w:type="pct"/>
            <w:vAlign w:val="center"/>
          </w:tcPr>
          <w:p w14:paraId="4157949C">
            <w:pPr>
              <w:pStyle w:val="61"/>
            </w:pPr>
            <w:r>
              <w:rPr>
                <w:rFonts w:hint="eastAsia"/>
              </w:rPr>
              <w:t>2</w:t>
            </w:r>
            <w:r>
              <w:t>00</w:t>
            </w:r>
          </w:p>
        </w:tc>
      </w:tr>
      <w:tr w14:paraId="07A47C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vAlign w:val="center"/>
          </w:tcPr>
          <w:p w14:paraId="123E4F28">
            <w:pPr>
              <w:pStyle w:val="61"/>
              <w:rPr>
                <w:lang w:val="zh-CN"/>
              </w:rPr>
            </w:pPr>
            <w:r>
              <w:rPr>
                <w:rFonts w:hint="eastAsia"/>
              </w:rPr>
              <w:t>推土机（dB(A)）</w:t>
            </w:r>
          </w:p>
        </w:tc>
        <w:tc>
          <w:tcPr>
            <w:tcW w:w="478" w:type="pct"/>
            <w:vAlign w:val="center"/>
          </w:tcPr>
          <w:p w14:paraId="17782244">
            <w:pPr>
              <w:pStyle w:val="61"/>
            </w:pPr>
            <w:r>
              <w:rPr>
                <w:rFonts w:hint="eastAsia"/>
              </w:rPr>
              <w:t>8</w:t>
            </w:r>
            <w:r>
              <w:t>5</w:t>
            </w:r>
          </w:p>
        </w:tc>
        <w:tc>
          <w:tcPr>
            <w:tcW w:w="479" w:type="pct"/>
            <w:vAlign w:val="center"/>
          </w:tcPr>
          <w:p w14:paraId="563B9061">
            <w:pPr>
              <w:pStyle w:val="61"/>
            </w:pPr>
            <w:r>
              <w:rPr>
                <w:rFonts w:hint="eastAsia"/>
              </w:rPr>
              <w:t>7</w:t>
            </w:r>
            <w:r>
              <w:t>9</w:t>
            </w:r>
          </w:p>
        </w:tc>
        <w:tc>
          <w:tcPr>
            <w:tcW w:w="479" w:type="pct"/>
            <w:vAlign w:val="center"/>
          </w:tcPr>
          <w:p w14:paraId="05B6D9FF">
            <w:pPr>
              <w:pStyle w:val="61"/>
            </w:pPr>
            <w:r>
              <w:rPr>
                <w:rFonts w:hint="eastAsia"/>
              </w:rPr>
              <w:t>7</w:t>
            </w:r>
            <w:r>
              <w:t>3</w:t>
            </w:r>
          </w:p>
        </w:tc>
        <w:tc>
          <w:tcPr>
            <w:tcW w:w="479" w:type="pct"/>
            <w:vAlign w:val="center"/>
          </w:tcPr>
          <w:p w14:paraId="2E4594FA">
            <w:pPr>
              <w:pStyle w:val="61"/>
            </w:pPr>
            <w:r>
              <w:rPr>
                <w:rFonts w:hint="eastAsia"/>
              </w:rPr>
              <w:t>6</w:t>
            </w:r>
            <w:r>
              <w:t>9.5</w:t>
            </w:r>
          </w:p>
        </w:tc>
        <w:tc>
          <w:tcPr>
            <w:tcW w:w="479" w:type="pct"/>
            <w:vAlign w:val="center"/>
          </w:tcPr>
          <w:p w14:paraId="2E495139">
            <w:pPr>
              <w:pStyle w:val="61"/>
            </w:pPr>
            <w:r>
              <w:rPr>
                <w:rFonts w:hint="eastAsia"/>
              </w:rPr>
              <w:t>6</w:t>
            </w:r>
            <w:r>
              <w:t>7</w:t>
            </w:r>
          </w:p>
        </w:tc>
        <w:tc>
          <w:tcPr>
            <w:tcW w:w="479" w:type="pct"/>
            <w:vAlign w:val="center"/>
          </w:tcPr>
          <w:p w14:paraId="61EEDFD9">
            <w:pPr>
              <w:pStyle w:val="61"/>
            </w:pPr>
            <w:r>
              <w:rPr>
                <w:rFonts w:hint="eastAsia"/>
              </w:rPr>
              <w:t>6</w:t>
            </w:r>
            <w:r>
              <w:t>5</w:t>
            </w:r>
          </w:p>
        </w:tc>
        <w:tc>
          <w:tcPr>
            <w:tcW w:w="479" w:type="pct"/>
            <w:vAlign w:val="center"/>
          </w:tcPr>
          <w:p w14:paraId="010CC392">
            <w:pPr>
              <w:pStyle w:val="61"/>
            </w:pPr>
            <w:r>
              <w:rPr>
                <w:rFonts w:hint="eastAsia"/>
              </w:rPr>
              <w:t>6</w:t>
            </w:r>
            <w:r>
              <w:t>1.5</w:t>
            </w:r>
          </w:p>
        </w:tc>
        <w:tc>
          <w:tcPr>
            <w:tcW w:w="479" w:type="pct"/>
            <w:vAlign w:val="center"/>
          </w:tcPr>
          <w:p w14:paraId="59990928">
            <w:pPr>
              <w:pStyle w:val="61"/>
            </w:pPr>
            <w:r>
              <w:rPr>
                <w:rFonts w:hint="eastAsia"/>
              </w:rPr>
              <w:t>5</w:t>
            </w:r>
            <w:r>
              <w:t>7</w:t>
            </w:r>
          </w:p>
        </w:tc>
      </w:tr>
      <w:tr w14:paraId="0A60F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vAlign w:val="center"/>
          </w:tcPr>
          <w:p w14:paraId="548FCCEB">
            <w:pPr>
              <w:pStyle w:val="61"/>
            </w:pPr>
            <w:r>
              <w:rPr>
                <w:rFonts w:hint="eastAsia" w:ascii="宋体" w:cs="宋体"/>
                <w:szCs w:val="21"/>
              </w:rPr>
              <w:t>打桩机</w:t>
            </w:r>
            <w:r>
              <w:rPr>
                <w:rFonts w:hint="eastAsia"/>
              </w:rPr>
              <w:t>（dB(A)）</w:t>
            </w:r>
          </w:p>
        </w:tc>
        <w:tc>
          <w:tcPr>
            <w:tcW w:w="478" w:type="pct"/>
            <w:vAlign w:val="center"/>
          </w:tcPr>
          <w:p w14:paraId="5A39AC58">
            <w:pPr>
              <w:pStyle w:val="61"/>
            </w:pPr>
            <w:r>
              <w:rPr>
                <w:rFonts w:hint="eastAsia"/>
              </w:rPr>
              <w:t>9</w:t>
            </w:r>
            <w:r>
              <w:t>0</w:t>
            </w:r>
          </w:p>
        </w:tc>
        <w:tc>
          <w:tcPr>
            <w:tcW w:w="479" w:type="pct"/>
            <w:vAlign w:val="center"/>
          </w:tcPr>
          <w:p w14:paraId="49EAAAC5">
            <w:pPr>
              <w:pStyle w:val="61"/>
            </w:pPr>
            <w:r>
              <w:rPr>
                <w:rFonts w:hint="eastAsia"/>
              </w:rPr>
              <w:t>8</w:t>
            </w:r>
            <w:r>
              <w:t>4</w:t>
            </w:r>
          </w:p>
        </w:tc>
        <w:tc>
          <w:tcPr>
            <w:tcW w:w="479" w:type="pct"/>
            <w:vAlign w:val="center"/>
          </w:tcPr>
          <w:p w14:paraId="1C586D15">
            <w:pPr>
              <w:pStyle w:val="61"/>
            </w:pPr>
            <w:r>
              <w:rPr>
                <w:rFonts w:hint="eastAsia"/>
              </w:rPr>
              <w:t>7</w:t>
            </w:r>
            <w:r>
              <w:t>8</w:t>
            </w:r>
          </w:p>
        </w:tc>
        <w:tc>
          <w:tcPr>
            <w:tcW w:w="479" w:type="pct"/>
            <w:vAlign w:val="center"/>
          </w:tcPr>
          <w:p w14:paraId="7247E158">
            <w:pPr>
              <w:pStyle w:val="61"/>
            </w:pPr>
            <w:r>
              <w:rPr>
                <w:rFonts w:hint="eastAsia"/>
              </w:rPr>
              <w:t>7</w:t>
            </w:r>
            <w:r>
              <w:t>4.5</w:t>
            </w:r>
          </w:p>
        </w:tc>
        <w:tc>
          <w:tcPr>
            <w:tcW w:w="479" w:type="pct"/>
            <w:vAlign w:val="center"/>
          </w:tcPr>
          <w:p w14:paraId="53290506">
            <w:pPr>
              <w:pStyle w:val="61"/>
            </w:pPr>
            <w:r>
              <w:rPr>
                <w:rFonts w:hint="eastAsia"/>
              </w:rPr>
              <w:t>7</w:t>
            </w:r>
            <w:r>
              <w:t>2</w:t>
            </w:r>
          </w:p>
        </w:tc>
        <w:tc>
          <w:tcPr>
            <w:tcW w:w="479" w:type="pct"/>
            <w:vAlign w:val="center"/>
          </w:tcPr>
          <w:p w14:paraId="7E8380EE">
            <w:pPr>
              <w:pStyle w:val="61"/>
            </w:pPr>
            <w:r>
              <w:rPr>
                <w:rFonts w:hint="eastAsia"/>
              </w:rPr>
              <w:t>7</w:t>
            </w:r>
            <w:r>
              <w:t>0</w:t>
            </w:r>
          </w:p>
        </w:tc>
        <w:tc>
          <w:tcPr>
            <w:tcW w:w="479" w:type="pct"/>
            <w:vAlign w:val="center"/>
          </w:tcPr>
          <w:p w14:paraId="421F67FE">
            <w:pPr>
              <w:pStyle w:val="61"/>
            </w:pPr>
            <w:r>
              <w:rPr>
                <w:rFonts w:hint="eastAsia"/>
              </w:rPr>
              <w:t>6</w:t>
            </w:r>
            <w:r>
              <w:t>6.5</w:t>
            </w:r>
          </w:p>
        </w:tc>
        <w:tc>
          <w:tcPr>
            <w:tcW w:w="479" w:type="pct"/>
            <w:vAlign w:val="center"/>
          </w:tcPr>
          <w:p w14:paraId="24C1555A">
            <w:pPr>
              <w:pStyle w:val="61"/>
            </w:pPr>
            <w:r>
              <w:rPr>
                <w:rFonts w:hint="eastAsia"/>
              </w:rPr>
              <w:t>6</w:t>
            </w:r>
            <w:r>
              <w:t>2</w:t>
            </w:r>
          </w:p>
        </w:tc>
      </w:tr>
      <w:tr w14:paraId="2E724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vAlign w:val="center"/>
          </w:tcPr>
          <w:p w14:paraId="4DA03415">
            <w:pPr>
              <w:pStyle w:val="61"/>
            </w:pPr>
            <w:r>
              <w:rPr>
                <w:rFonts w:hint="eastAsia" w:ascii="宋体" w:cs="宋体"/>
                <w:szCs w:val="21"/>
              </w:rPr>
              <w:t>搅拌机</w:t>
            </w:r>
            <w:r>
              <w:rPr>
                <w:rFonts w:hint="eastAsia"/>
              </w:rPr>
              <w:t>（dB(A)）</w:t>
            </w:r>
          </w:p>
        </w:tc>
        <w:tc>
          <w:tcPr>
            <w:tcW w:w="478" w:type="pct"/>
            <w:vAlign w:val="center"/>
          </w:tcPr>
          <w:p w14:paraId="54B720DE">
            <w:pPr>
              <w:pStyle w:val="61"/>
            </w:pPr>
            <w:r>
              <w:rPr>
                <w:rFonts w:hint="eastAsia"/>
              </w:rPr>
              <w:t>8</w:t>
            </w:r>
            <w:r>
              <w:t>1</w:t>
            </w:r>
          </w:p>
        </w:tc>
        <w:tc>
          <w:tcPr>
            <w:tcW w:w="479" w:type="pct"/>
            <w:vAlign w:val="center"/>
          </w:tcPr>
          <w:p w14:paraId="50FA398C">
            <w:pPr>
              <w:pStyle w:val="61"/>
            </w:pPr>
            <w:r>
              <w:rPr>
                <w:rFonts w:hint="eastAsia"/>
              </w:rPr>
              <w:t>7</w:t>
            </w:r>
            <w:r>
              <w:t>5</w:t>
            </w:r>
          </w:p>
        </w:tc>
        <w:tc>
          <w:tcPr>
            <w:tcW w:w="479" w:type="pct"/>
            <w:vAlign w:val="center"/>
          </w:tcPr>
          <w:p w14:paraId="71FAC0C8">
            <w:pPr>
              <w:pStyle w:val="61"/>
            </w:pPr>
            <w:r>
              <w:rPr>
                <w:rFonts w:hint="eastAsia"/>
              </w:rPr>
              <w:t>6</w:t>
            </w:r>
            <w:r>
              <w:t>9</w:t>
            </w:r>
          </w:p>
        </w:tc>
        <w:tc>
          <w:tcPr>
            <w:tcW w:w="479" w:type="pct"/>
            <w:vAlign w:val="center"/>
          </w:tcPr>
          <w:p w14:paraId="7319FD5A">
            <w:pPr>
              <w:pStyle w:val="61"/>
            </w:pPr>
            <w:r>
              <w:rPr>
                <w:rFonts w:hint="eastAsia"/>
              </w:rPr>
              <w:t>6</w:t>
            </w:r>
            <w:r>
              <w:t>5.5</w:t>
            </w:r>
          </w:p>
        </w:tc>
        <w:tc>
          <w:tcPr>
            <w:tcW w:w="479" w:type="pct"/>
            <w:vAlign w:val="center"/>
          </w:tcPr>
          <w:p w14:paraId="6789EA20">
            <w:pPr>
              <w:pStyle w:val="61"/>
            </w:pPr>
            <w:r>
              <w:rPr>
                <w:rFonts w:hint="eastAsia"/>
              </w:rPr>
              <w:t>6</w:t>
            </w:r>
            <w:r>
              <w:t>3</w:t>
            </w:r>
          </w:p>
        </w:tc>
        <w:tc>
          <w:tcPr>
            <w:tcW w:w="479" w:type="pct"/>
            <w:vAlign w:val="center"/>
          </w:tcPr>
          <w:p w14:paraId="49222ADE">
            <w:pPr>
              <w:pStyle w:val="61"/>
            </w:pPr>
            <w:r>
              <w:rPr>
                <w:rFonts w:hint="eastAsia"/>
              </w:rPr>
              <w:t>6</w:t>
            </w:r>
            <w:r>
              <w:t>1</w:t>
            </w:r>
          </w:p>
        </w:tc>
        <w:tc>
          <w:tcPr>
            <w:tcW w:w="479" w:type="pct"/>
            <w:vAlign w:val="center"/>
          </w:tcPr>
          <w:p w14:paraId="3E1EA914">
            <w:pPr>
              <w:pStyle w:val="61"/>
            </w:pPr>
            <w:r>
              <w:rPr>
                <w:rFonts w:hint="eastAsia"/>
              </w:rPr>
              <w:t>5</w:t>
            </w:r>
            <w:r>
              <w:t>7.5</w:t>
            </w:r>
          </w:p>
        </w:tc>
        <w:tc>
          <w:tcPr>
            <w:tcW w:w="479" w:type="pct"/>
            <w:vAlign w:val="center"/>
          </w:tcPr>
          <w:p w14:paraId="1A61357B">
            <w:pPr>
              <w:pStyle w:val="61"/>
            </w:pPr>
            <w:r>
              <w:rPr>
                <w:rFonts w:hint="eastAsia"/>
              </w:rPr>
              <w:t>5</w:t>
            </w:r>
            <w:r>
              <w:t>5</w:t>
            </w:r>
          </w:p>
        </w:tc>
      </w:tr>
      <w:tr w14:paraId="30481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tcMar>
              <w:left w:w="0" w:type="dxa"/>
              <w:right w:w="0" w:type="dxa"/>
            </w:tcMar>
            <w:vAlign w:val="center"/>
          </w:tcPr>
          <w:p w14:paraId="3EF8BDC9">
            <w:pPr>
              <w:pStyle w:val="61"/>
            </w:pPr>
            <w:r>
              <w:rPr>
                <w:rFonts w:hint="eastAsia" w:ascii="宋体" w:cs="宋体"/>
                <w:szCs w:val="21"/>
              </w:rPr>
              <w:t>载重卡车</w:t>
            </w:r>
            <w:r>
              <w:rPr>
                <w:rFonts w:hint="eastAsia"/>
              </w:rPr>
              <w:t>（dB(A)）</w:t>
            </w:r>
          </w:p>
        </w:tc>
        <w:tc>
          <w:tcPr>
            <w:tcW w:w="478" w:type="pct"/>
            <w:vAlign w:val="center"/>
          </w:tcPr>
          <w:p w14:paraId="1060FB0D">
            <w:pPr>
              <w:pStyle w:val="61"/>
            </w:pPr>
            <w:r>
              <w:rPr>
                <w:rFonts w:hint="eastAsia"/>
              </w:rPr>
              <w:t>7</w:t>
            </w:r>
            <w:r>
              <w:t>0</w:t>
            </w:r>
          </w:p>
        </w:tc>
        <w:tc>
          <w:tcPr>
            <w:tcW w:w="479" w:type="pct"/>
            <w:vAlign w:val="center"/>
          </w:tcPr>
          <w:p w14:paraId="727D6F6B">
            <w:pPr>
              <w:pStyle w:val="61"/>
            </w:pPr>
            <w:r>
              <w:rPr>
                <w:rFonts w:hint="eastAsia"/>
              </w:rPr>
              <w:t>6</w:t>
            </w:r>
            <w:r>
              <w:t>4</w:t>
            </w:r>
          </w:p>
        </w:tc>
        <w:tc>
          <w:tcPr>
            <w:tcW w:w="479" w:type="pct"/>
            <w:vAlign w:val="center"/>
          </w:tcPr>
          <w:p w14:paraId="6EB4626D">
            <w:pPr>
              <w:pStyle w:val="61"/>
            </w:pPr>
            <w:r>
              <w:rPr>
                <w:rFonts w:hint="eastAsia"/>
              </w:rPr>
              <w:t>5</w:t>
            </w:r>
            <w:r>
              <w:t>8</w:t>
            </w:r>
          </w:p>
        </w:tc>
        <w:tc>
          <w:tcPr>
            <w:tcW w:w="479" w:type="pct"/>
            <w:vAlign w:val="center"/>
          </w:tcPr>
          <w:p w14:paraId="2B3E3552">
            <w:pPr>
              <w:pStyle w:val="61"/>
            </w:pPr>
            <w:r>
              <w:rPr>
                <w:rFonts w:hint="eastAsia"/>
              </w:rPr>
              <w:t>5</w:t>
            </w:r>
            <w:r>
              <w:t>4.5</w:t>
            </w:r>
          </w:p>
        </w:tc>
        <w:tc>
          <w:tcPr>
            <w:tcW w:w="479" w:type="pct"/>
            <w:vAlign w:val="center"/>
          </w:tcPr>
          <w:p w14:paraId="7B6D1AD5">
            <w:pPr>
              <w:pStyle w:val="61"/>
            </w:pPr>
            <w:r>
              <w:rPr>
                <w:rFonts w:hint="eastAsia"/>
              </w:rPr>
              <w:t>5</w:t>
            </w:r>
            <w:r>
              <w:t>1.9</w:t>
            </w:r>
          </w:p>
        </w:tc>
        <w:tc>
          <w:tcPr>
            <w:tcW w:w="479" w:type="pct"/>
            <w:vAlign w:val="center"/>
          </w:tcPr>
          <w:p w14:paraId="38DD3E21">
            <w:pPr>
              <w:pStyle w:val="61"/>
            </w:pPr>
            <w:r>
              <w:rPr>
                <w:rFonts w:hint="eastAsia"/>
              </w:rPr>
              <w:t>5</w:t>
            </w:r>
            <w:r>
              <w:t>0</w:t>
            </w:r>
          </w:p>
        </w:tc>
        <w:tc>
          <w:tcPr>
            <w:tcW w:w="479" w:type="pct"/>
            <w:vAlign w:val="center"/>
          </w:tcPr>
          <w:p w14:paraId="0207392E">
            <w:pPr>
              <w:pStyle w:val="61"/>
            </w:pPr>
            <w:r>
              <w:rPr>
                <w:rFonts w:hint="eastAsia"/>
              </w:rPr>
              <w:t>4</w:t>
            </w:r>
            <w:r>
              <w:t>6.5</w:t>
            </w:r>
          </w:p>
        </w:tc>
        <w:tc>
          <w:tcPr>
            <w:tcW w:w="479" w:type="pct"/>
            <w:vAlign w:val="center"/>
          </w:tcPr>
          <w:p w14:paraId="59AEBFD6">
            <w:pPr>
              <w:pStyle w:val="61"/>
            </w:pPr>
            <w:r>
              <w:rPr>
                <w:rFonts w:hint="eastAsia"/>
              </w:rPr>
              <w:t>4</w:t>
            </w:r>
            <w:r>
              <w:t>4</w:t>
            </w:r>
          </w:p>
        </w:tc>
      </w:tr>
    </w:tbl>
    <w:p w14:paraId="5C39293E">
      <w:pPr>
        <w:spacing w:line="480" w:lineRule="exact"/>
        <w:ind w:firstLine="480" w:firstLineChars="200"/>
      </w:pPr>
      <w:r>
        <w:rPr>
          <w:rFonts w:hint="eastAsia"/>
        </w:rPr>
        <w:t>由上表可知，在建设项目进行建筑施工时，昼间距离施工机械100m处的噪声影响基本都在《建筑施工场界环境噪声排放标准》（GB12523-2011）的限值内；若夜间施工，则会造成区域声环境质量严重超标。然而实际施工过程中，往往是多种机械同时工作，各种噪声源相互叠加，施工噪声级将会更高。工程施工时，会对场地附近的居民产生间歇的施工噪声影响。</w:t>
      </w:r>
    </w:p>
    <w:p w14:paraId="7ADFCA44">
      <w:pPr>
        <w:spacing w:line="480" w:lineRule="exact"/>
        <w:ind w:firstLine="480" w:firstLineChars="200"/>
      </w:pPr>
      <w:r>
        <w:rPr>
          <w:rFonts w:hint="eastAsia"/>
        </w:rPr>
        <w:t>（3）施工噪声防治措施</w:t>
      </w:r>
    </w:p>
    <w:p w14:paraId="6FD5210E">
      <w:pPr>
        <w:spacing w:line="480" w:lineRule="exact"/>
        <w:ind w:firstLine="480" w:firstLineChars="200"/>
      </w:pPr>
      <w:r>
        <w:rPr>
          <w:rFonts w:hint="eastAsia"/>
        </w:rPr>
        <w:t>根据以上分析，建议在施工期间采取以下相应措施：</w:t>
      </w:r>
    </w:p>
    <w:p w14:paraId="57F6D926">
      <w:pPr>
        <w:spacing w:line="480" w:lineRule="exact"/>
        <w:ind w:firstLine="480" w:firstLineChars="200"/>
      </w:pPr>
      <w:r>
        <w:rPr>
          <w:rFonts w:hint="eastAsia" w:asciiTheme="minorEastAsia" w:hAnsiTheme="minorEastAsia"/>
        </w:rPr>
        <w:t>①</w:t>
      </w:r>
      <w:r>
        <w:rPr>
          <w:rFonts w:hint="eastAsia"/>
        </w:rPr>
        <w:t>加强施工管理，合理安排作业时间，严格按照施工噪声管理的有关规定，夜间不得进行打桩和其它有高噪声设备作业的施工；</w:t>
      </w:r>
    </w:p>
    <w:p w14:paraId="5DF39D72">
      <w:pPr>
        <w:spacing w:line="480" w:lineRule="exact"/>
        <w:ind w:firstLine="480" w:firstLineChars="200"/>
      </w:pPr>
      <w:r>
        <w:rPr>
          <w:rFonts w:hint="eastAsia" w:asciiTheme="minorEastAsia" w:hAnsiTheme="minorEastAsia"/>
        </w:rPr>
        <w:t>②</w:t>
      </w:r>
      <w:r>
        <w:rPr>
          <w:rFonts w:hint="eastAsia"/>
        </w:rPr>
        <w:t>尽量采用低噪声的施工工具，如以液压工具代替气压工具，同时尽可能采用施工噪声低的施工方法；</w:t>
      </w:r>
    </w:p>
    <w:p w14:paraId="224DF06E">
      <w:pPr>
        <w:spacing w:line="480" w:lineRule="exact"/>
        <w:ind w:firstLine="480" w:firstLineChars="200"/>
      </w:pPr>
      <w:r>
        <w:rPr>
          <w:rFonts w:hint="eastAsia" w:asciiTheme="minorEastAsia" w:hAnsiTheme="minorEastAsia"/>
        </w:rPr>
        <w:t>③</w:t>
      </w:r>
      <w:r>
        <w:rPr>
          <w:rFonts w:hint="eastAsia"/>
        </w:rPr>
        <w:t>作业时在高噪声设备周围设置屏蔽；</w:t>
      </w:r>
    </w:p>
    <w:p w14:paraId="31BF5C39">
      <w:pPr>
        <w:spacing w:line="480" w:lineRule="exact"/>
        <w:ind w:firstLine="480" w:firstLineChars="200"/>
      </w:pPr>
      <w:r>
        <w:rPr>
          <w:rFonts w:hint="eastAsia" w:asciiTheme="minorEastAsia" w:hAnsiTheme="minorEastAsia"/>
        </w:rPr>
        <w:t>④</w:t>
      </w:r>
      <w:r>
        <w:rPr>
          <w:rFonts w:hint="eastAsia"/>
        </w:rPr>
        <w:t>尽量采用商品混凝土；</w:t>
      </w:r>
    </w:p>
    <w:p w14:paraId="2545FF1D">
      <w:pPr>
        <w:spacing w:line="480" w:lineRule="exact"/>
        <w:ind w:firstLine="480" w:firstLineChars="200"/>
      </w:pPr>
      <w:r>
        <w:rPr>
          <w:rFonts w:hint="eastAsia" w:asciiTheme="minorEastAsia" w:hAnsiTheme="minorEastAsia"/>
        </w:rPr>
        <w:t>⑤</w:t>
      </w:r>
      <w:r>
        <w:rPr>
          <w:rFonts w:hint="eastAsia"/>
        </w:rPr>
        <w:t>加强运输车辆的管理，建材等运输尽量在白天进行，并控制车辆鸣笛。</w:t>
      </w:r>
    </w:p>
    <w:p w14:paraId="72288439">
      <w:pPr>
        <w:pStyle w:val="7"/>
        <w:spacing w:line="480" w:lineRule="exact"/>
      </w:pPr>
      <w:r>
        <w:rPr>
          <w:rFonts w:hint="eastAsia"/>
        </w:rPr>
        <w:t>5</w:t>
      </w:r>
      <w:r>
        <w:t xml:space="preserve">.1.4 </w:t>
      </w:r>
      <w:r>
        <w:rPr>
          <w:rFonts w:hint="eastAsia"/>
        </w:rPr>
        <w:t>施工期固体废物环境影响分析</w:t>
      </w:r>
    </w:p>
    <w:p w14:paraId="0FD63944">
      <w:pPr>
        <w:spacing w:line="480" w:lineRule="exact"/>
        <w:ind w:firstLine="480" w:firstLineChars="200"/>
      </w:pPr>
      <w:r>
        <w:rPr>
          <w:rFonts w:hint="eastAsia"/>
        </w:rPr>
        <w:t>施工过程将产生一定量的建筑废弃物，同时在建筑施工期间需要拆除挖土、运输各种建筑材料如砂石、水泥、砖瓦等。根据同类施工统计资料，施工现场碎砖、过剩混凝土等建筑垃圾产生定额为2kg/m</w:t>
      </w:r>
      <w:r>
        <w:rPr>
          <w:rFonts w:hint="eastAsia"/>
          <w:vertAlign w:val="superscript"/>
        </w:rPr>
        <w:t>2</w:t>
      </w:r>
      <w:r>
        <w:rPr>
          <w:rFonts w:hint="eastAsia"/>
        </w:rPr>
        <w:t>，故本项目在整个施工期建筑垃圾的产生量约为30.6t。建设单位应要求施工单位规划运输，不能随路洒落，不能随意倾倒、堆放建筑垃圾；施工结束后，应及时清运多余或废弃的建筑材料、建筑垃圾。</w:t>
      </w:r>
    </w:p>
    <w:p w14:paraId="160383E1">
      <w:pPr>
        <w:spacing w:line="480" w:lineRule="exact"/>
        <w:ind w:firstLine="480" w:firstLineChars="200"/>
      </w:pPr>
      <w:r>
        <w:rPr>
          <w:rFonts w:hint="eastAsia"/>
        </w:rPr>
        <w:t>此外，施工期间施工人员的生活垃圾按人均产生量0.5kg/d计算，施工期人数按20人计，则生活垃圾产生量为</w:t>
      </w:r>
      <w:r>
        <w:t>1</w:t>
      </w:r>
      <w:r>
        <w:rPr>
          <w:rFonts w:hint="eastAsia"/>
        </w:rPr>
        <w:t>0kg/d，由市政环卫部门收集处理。</w:t>
      </w:r>
    </w:p>
    <w:p w14:paraId="146FC4B1">
      <w:pPr>
        <w:spacing w:line="480" w:lineRule="exact"/>
        <w:ind w:firstLine="480" w:firstLineChars="200"/>
      </w:pPr>
      <w:r>
        <w:rPr>
          <w:rFonts w:hint="eastAsia"/>
        </w:rPr>
        <w:t>施工过程中产生的生活垃圾如不及时进行清理，则会腐烂变质，孳生蚊虫苍蝇，产生恶臭，传染疾病，从而对周围环境和作业人员健康带来不利影响。故对施工人员的生活垃圾应定点存放、及时收集，回收可利用物质，将生活垃圾的减量化、资源化后，委托环卫部门送至卫生填埋场进行填埋处置，管理得当、收集清运及时则不会对环境造成影响。故本项目施工期间的建筑垃圾及生活垃圾对周围环境影响较小。</w:t>
      </w:r>
    </w:p>
    <w:p w14:paraId="7788BEEA">
      <w:pPr>
        <w:pStyle w:val="7"/>
        <w:spacing w:line="480" w:lineRule="exact"/>
      </w:pPr>
      <w:r>
        <w:rPr>
          <w:rFonts w:hint="eastAsia"/>
        </w:rPr>
        <w:t>5</w:t>
      </w:r>
      <w:r>
        <w:t xml:space="preserve">.1.5 </w:t>
      </w:r>
      <w:r>
        <w:rPr>
          <w:rFonts w:hint="eastAsia"/>
        </w:rPr>
        <w:t>施工期生态环境影响分析</w:t>
      </w:r>
    </w:p>
    <w:p w14:paraId="2FDB9F75">
      <w:pPr>
        <w:spacing w:line="480" w:lineRule="exact"/>
        <w:ind w:firstLine="480" w:firstLineChars="200"/>
      </w:pPr>
      <w:r>
        <w:rPr>
          <w:rFonts w:hint="eastAsia"/>
        </w:rPr>
        <w:t>根据工程建设的基本工序，工程开工建设阶段，在施工厂区平整的基础上，采用大开挖的施工工艺，挖掘厂房等主要设施的基础。根据类似工程的建设经验，在工程建设阶段，施工活动对厂址地区环境生态的不利影响在生物多样性、植被覆盖率、土地利用、水土流失等多个方面，但主要体现在植被的破坏、水土流失加剧。由于拟建工程主要占地是耕地，因此，施工活动主要影响为水土流失。</w:t>
      </w:r>
    </w:p>
    <w:p w14:paraId="030505D7">
      <w:pPr>
        <w:spacing w:line="480" w:lineRule="exact"/>
        <w:ind w:firstLine="480" w:firstLineChars="200"/>
      </w:pPr>
      <w:r>
        <w:rPr>
          <w:rFonts w:hint="eastAsia"/>
        </w:rPr>
        <w:t>施工期地表土壤遭到破坏，地基开挖出的土石方在临时堆放过程中都可能造成水土流失。临时堆放在建筑物四周的松散土壤，遇到降雨时尤其是降雨强度较大时极易形成水力侵蚀，造成大量水土流失；松散土壤干燥后，遇到大风时易产生风力侵蚀，土壤颗粒被带走，造成土的流失。挖土在运输途中容易散落，经过反复碾压，形成厚厚的粉尘层，遇风则尘土飞扬，造成严重的空气污染，影响施工人员正常的生产与生活。</w:t>
      </w:r>
    </w:p>
    <w:p w14:paraId="79AC9D84">
      <w:pPr>
        <w:spacing w:line="480" w:lineRule="exact"/>
        <w:ind w:firstLine="480" w:firstLineChars="200"/>
      </w:pPr>
      <w:r>
        <w:rPr>
          <w:rFonts w:hint="eastAsia"/>
        </w:rPr>
        <w:t>为了尽量减少水土流失，施工时应采取以下防治措施：</w:t>
      </w:r>
    </w:p>
    <w:p w14:paraId="48E6F3B8">
      <w:pPr>
        <w:spacing w:line="480" w:lineRule="exact"/>
        <w:ind w:firstLine="480" w:firstLineChars="200"/>
      </w:pPr>
      <w:r>
        <w:rPr>
          <w:rFonts w:hint="eastAsia"/>
        </w:rPr>
        <w:t>（1）路基开挖填筑前应建好两侧的排水措施和拦挡措施，应分段施工，路基土石方施工完成一段，应立即采取护坡措施，尽量缩短坡面裸露时间。雨季施工应采取临时排水、临时覆盖措施。</w:t>
      </w:r>
    </w:p>
    <w:p w14:paraId="51BB9CEC">
      <w:pPr>
        <w:spacing w:line="480" w:lineRule="exact"/>
        <w:ind w:firstLine="480" w:firstLineChars="200"/>
      </w:pPr>
      <w:r>
        <w:rPr>
          <w:rFonts w:hint="eastAsia"/>
        </w:rPr>
        <w:t>（2）对于施工场地的防护，要求在工程实施期间做好临时用地范围内的排水措施以及表土堆置区的防护措施。</w:t>
      </w:r>
    </w:p>
    <w:p w14:paraId="4F4F2ED5">
      <w:pPr>
        <w:spacing w:line="480" w:lineRule="exact"/>
        <w:ind w:firstLine="480" w:firstLineChars="200"/>
      </w:pPr>
      <w:r>
        <w:rPr>
          <w:rFonts w:hint="eastAsia"/>
        </w:rPr>
        <w:t>（3）进场道路修建前应建好排水、拦挡工程，对需要护坡的地段，在修建好以后应立即采取护坡措施。</w:t>
      </w:r>
    </w:p>
    <w:p w14:paraId="27766C5F">
      <w:pPr>
        <w:spacing w:line="480" w:lineRule="exact"/>
        <w:ind w:firstLine="480" w:firstLineChars="200"/>
      </w:pPr>
      <w:r>
        <w:rPr>
          <w:rFonts w:hint="eastAsia"/>
        </w:rPr>
        <w:t>（4）因施工结束后需要大量的表土用于裸露地表的恢复，施工过程中应尽量保留施工开挖中剥离的表土，妥善集中堆置并做好临时防护工作。</w:t>
      </w:r>
    </w:p>
    <w:p w14:paraId="52720267">
      <w:pPr>
        <w:spacing w:line="480" w:lineRule="exact"/>
        <w:ind w:firstLine="480" w:firstLineChars="200"/>
      </w:pPr>
      <w:r>
        <w:rPr>
          <w:rFonts w:hint="eastAsia"/>
        </w:rPr>
        <w:t>总之，拟建工程的建设施工活动对项目所在地的生态环境造成一定程度的破坏，在施工过程中由于采取临时防护措施、植物措施，对恢复改善工程占压、挖损、扰动破坏的土地及植被，起到良好作用，后期对周边和工程运行影响降低到最小。</w:t>
      </w:r>
    </w:p>
    <w:p w14:paraId="4E775115">
      <w:pPr>
        <w:pStyle w:val="7"/>
        <w:spacing w:line="480" w:lineRule="exact"/>
      </w:pPr>
      <w:r>
        <w:rPr>
          <w:rFonts w:hint="eastAsia"/>
        </w:rPr>
        <w:t>5</w:t>
      </w:r>
      <w:r>
        <w:t>.1.</w:t>
      </w:r>
      <w:r>
        <w:rPr>
          <w:rFonts w:hint="eastAsia"/>
        </w:rPr>
        <w:t>6施工期环境管理</w:t>
      </w:r>
    </w:p>
    <w:p w14:paraId="3E4F0801">
      <w:pPr>
        <w:spacing w:line="480" w:lineRule="exact"/>
        <w:ind w:firstLine="480" w:firstLineChars="200"/>
      </w:pPr>
      <w:r>
        <w:rPr>
          <w:rFonts w:hint="eastAsia"/>
        </w:rPr>
        <w:t>在施工前，应详细编制施工组织计划并建立环境管理制度，有专人负责施工期间的环境保护工作，对施工中产生的“三废”应作出相应的防治措施及处置方法。环境管理要做到贯彻国家的环保法规标准，建立各项环保管理制度，做到科学管理。</w:t>
      </w:r>
    </w:p>
    <w:p w14:paraId="12E7ED3E">
      <w:pPr>
        <w:pStyle w:val="4"/>
        <w:spacing w:after="0" w:line="480" w:lineRule="exact"/>
        <w:jc w:val="both"/>
      </w:pPr>
      <w:bookmarkStart w:id="102" w:name="_Toc13823"/>
      <w:r>
        <w:rPr>
          <w:rFonts w:hint="eastAsia"/>
        </w:rPr>
        <w:t>5</w:t>
      </w:r>
      <w:r>
        <w:t xml:space="preserve">.2 </w:t>
      </w:r>
      <w:r>
        <w:rPr>
          <w:rFonts w:hint="eastAsia"/>
        </w:rPr>
        <w:t>营运期大气环境影响预测评价</w:t>
      </w:r>
      <w:bookmarkEnd w:id="102"/>
    </w:p>
    <w:p w14:paraId="05F811D7">
      <w:pPr>
        <w:pStyle w:val="7"/>
        <w:spacing w:line="480" w:lineRule="exact"/>
      </w:pPr>
      <w:r>
        <w:rPr>
          <w:rFonts w:hint="eastAsia"/>
        </w:rPr>
        <w:t>5</w:t>
      </w:r>
      <w:r>
        <w:t xml:space="preserve">.2.1 </w:t>
      </w:r>
      <w:r>
        <w:rPr>
          <w:rFonts w:hint="eastAsia"/>
        </w:rPr>
        <w:t>气象条件</w:t>
      </w:r>
    </w:p>
    <w:p w14:paraId="3C053506">
      <w:pPr>
        <w:adjustRightInd w:val="0"/>
        <w:snapToGrid w:val="0"/>
        <w:spacing w:line="480" w:lineRule="exact"/>
        <w:ind w:firstLine="480"/>
        <w:rPr>
          <w:rFonts w:ascii="Times New Roman" w:hAnsi="Times New Roman" w:eastAsia="宋体" w:cs="Times New Roman"/>
          <w:color w:val="000000"/>
          <w:szCs w:val="24"/>
        </w:rPr>
      </w:pPr>
      <w:r>
        <w:rPr>
          <w:rFonts w:ascii="Times New Roman" w:hAnsi="Times New Roman" w:eastAsia="宋体" w:cs="Times New Roman"/>
          <w:color w:val="000000"/>
          <w:szCs w:val="24"/>
        </w:rPr>
        <w:t>根据泗阳气象局观测站统计的近20年的气候资料，主要气象要素特征见表5.2-1。</w:t>
      </w:r>
    </w:p>
    <w:p w14:paraId="60A61E65">
      <w:pPr>
        <w:adjustRightInd w:val="0"/>
        <w:snapToGrid w:val="0"/>
        <w:spacing w:line="480" w:lineRule="exact"/>
        <w:ind w:firstLine="482"/>
        <w:jc w:val="center"/>
        <w:rPr>
          <w:rFonts w:ascii="Times New Roman" w:hAnsi="Times New Roman" w:eastAsia="宋体" w:cs="Times New Roman"/>
          <w:b/>
          <w:color w:val="000000"/>
          <w:szCs w:val="24"/>
        </w:rPr>
      </w:pPr>
      <w:r>
        <w:rPr>
          <w:rFonts w:ascii="Times New Roman" w:hAnsi="Times New Roman" w:eastAsia="宋体" w:cs="Times New Roman"/>
          <w:b/>
          <w:color w:val="000000"/>
          <w:szCs w:val="24"/>
        </w:rPr>
        <w:t>表5.2-1  近20年气象特征参数表</w:t>
      </w:r>
    </w:p>
    <w:tbl>
      <w:tblPr>
        <w:tblStyle w:val="41"/>
        <w:tblW w:w="0" w:type="auto"/>
        <w:jc w:val="center"/>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55"/>
        <w:gridCol w:w="4697"/>
        <w:gridCol w:w="2435"/>
      </w:tblGrid>
      <w:tr w14:paraId="234C5BB2">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2" w:type="dxa"/>
            <w:gridSpan w:val="2"/>
            <w:tcBorders>
              <w:tl2br w:val="nil"/>
              <w:tr2bl w:val="nil"/>
            </w:tcBorders>
            <w:vAlign w:val="center"/>
          </w:tcPr>
          <w:p w14:paraId="478CFEC7">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气象要素</w:t>
            </w:r>
          </w:p>
        </w:tc>
        <w:tc>
          <w:tcPr>
            <w:tcW w:w="2435" w:type="dxa"/>
            <w:tcBorders>
              <w:tl2br w:val="nil"/>
              <w:tr2bl w:val="nil"/>
            </w:tcBorders>
            <w:vAlign w:val="center"/>
          </w:tcPr>
          <w:p w14:paraId="49377C5B">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数值</w:t>
            </w:r>
          </w:p>
        </w:tc>
      </w:tr>
      <w:tr w14:paraId="415ECE06">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5" w:type="dxa"/>
            <w:vMerge w:val="restart"/>
            <w:tcBorders>
              <w:tl2br w:val="nil"/>
              <w:tr2bl w:val="nil"/>
            </w:tcBorders>
            <w:vAlign w:val="center"/>
          </w:tcPr>
          <w:p w14:paraId="49A1D626">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气温</w:t>
            </w:r>
          </w:p>
        </w:tc>
        <w:tc>
          <w:tcPr>
            <w:tcW w:w="4697" w:type="dxa"/>
            <w:tcBorders>
              <w:tl2br w:val="nil"/>
              <w:tr2bl w:val="nil"/>
            </w:tcBorders>
            <w:vAlign w:val="center"/>
          </w:tcPr>
          <w:p w14:paraId="2FFDD661">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20年年平均气温℃</w:t>
            </w:r>
          </w:p>
        </w:tc>
        <w:tc>
          <w:tcPr>
            <w:tcW w:w="2435" w:type="dxa"/>
            <w:tcBorders>
              <w:tl2br w:val="nil"/>
              <w:tr2bl w:val="nil"/>
            </w:tcBorders>
            <w:vAlign w:val="center"/>
          </w:tcPr>
          <w:p w14:paraId="4454EFAC">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w:t>
            </w:r>
          </w:p>
        </w:tc>
      </w:tr>
      <w:tr w14:paraId="6BE66F49">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5" w:type="dxa"/>
            <w:vMerge w:val="continue"/>
            <w:tcBorders>
              <w:tl2br w:val="nil"/>
              <w:tr2bl w:val="nil"/>
            </w:tcBorders>
            <w:vAlign w:val="center"/>
          </w:tcPr>
          <w:p w14:paraId="68E033D4">
            <w:pPr>
              <w:spacing w:line="300" w:lineRule="exact"/>
              <w:jc w:val="center"/>
              <w:rPr>
                <w:rFonts w:ascii="Times New Roman" w:hAnsi="Times New Roman" w:eastAsia="宋体" w:cs="Times New Roman"/>
                <w:color w:val="000000"/>
                <w:sz w:val="21"/>
                <w:szCs w:val="21"/>
              </w:rPr>
            </w:pPr>
          </w:p>
        </w:tc>
        <w:tc>
          <w:tcPr>
            <w:tcW w:w="4697" w:type="dxa"/>
            <w:tcBorders>
              <w:tl2br w:val="nil"/>
              <w:tr2bl w:val="nil"/>
            </w:tcBorders>
            <w:vAlign w:val="center"/>
          </w:tcPr>
          <w:p w14:paraId="1BAFC1F7">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年平均最高气温℃</w:t>
            </w:r>
          </w:p>
        </w:tc>
        <w:tc>
          <w:tcPr>
            <w:tcW w:w="2435" w:type="dxa"/>
            <w:tcBorders>
              <w:tl2br w:val="nil"/>
              <w:tr2bl w:val="nil"/>
            </w:tcBorders>
            <w:vAlign w:val="center"/>
          </w:tcPr>
          <w:p w14:paraId="4691DB43">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26.8</w:t>
            </w:r>
          </w:p>
        </w:tc>
      </w:tr>
      <w:tr w14:paraId="362AA911">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5" w:type="dxa"/>
            <w:vMerge w:val="continue"/>
            <w:tcBorders>
              <w:tl2br w:val="nil"/>
              <w:tr2bl w:val="nil"/>
            </w:tcBorders>
            <w:vAlign w:val="center"/>
          </w:tcPr>
          <w:p w14:paraId="5A4C59BF">
            <w:pPr>
              <w:spacing w:line="300" w:lineRule="exact"/>
              <w:jc w:val="center"/>
              <w:rPr>
                <w:rFonts w:ascii="Times New Roman" w:hAnsi="Times New Roman" w:eastAsia="宋体" w:cs="Times New Roman"/>
                <w:color w:val="000000"/>
                <w:sz w:val="21"/>
                <w:szCs w:val="21"/>
              </w:rPr>
            </w:pPr>
          </w:p>
        </w:tc>
        <w:tc>
          <w:tcPr>
            <w:tcW w:w="4697" w:type="dxa"/>
            <w:tcBorders>
              <w:tl2br w:val="nil"/>
              <w:tr2bl w:val="nil"/>
            </w:tcBorders>
            <w:vAlign w:val="center"/>
          </w:tcPr>
          <w:p w14:paraId="64D39610">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年平均最低气温℃</w:t>
            </w:r>
          </w:p>
        </w:tc>
        <w:tc>
          <w:tcPr>
            <w:tcW w:w="2435" w:type="dxa"/>
            <w:tcBorders>
              <w:tl2br w:val="nil"/>
              <w:tr2bl w:val="nil"/>
            </w:tcBorders>
            <w:vAlign w:val="center"/>
          </w:tcPr>
          <w:p w14:paraId="5391777B">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-0.5</w:t>
            </w:r>
          </w:p>
        </w:tc>
      </w:tr>
      <w:tr w14:paraId="53D57D3B">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5" w:type="dxa"/>
            <w:vMerge w:val="continue"/>
            <w:tcBorders>
              <w:tl2br w:val="nil"/>
              <w:tr2bl w:val="nil"/>
            </w:tcBorders>
            <w:vAlign w:val="center"/>
          </w:tcPr>
          <w:p w14:paraId="6A52E899">
            <w:pPr>
              <w:spacing w:line="300" w:lineRule="exact"/>
              <w:jc w:val="center"/>
              <w:rPr>
                <w:rFonts w:ascii="Times New Roman" w:hAnsi="Times New Roman" w:eastAsia="宋体" w:cs="Times New Roman"/>
                <w:color w:val="000000"/>
                <w:sz w:val="21"/>
                <w:szCs w:val="21"/>
              </w:rPr>
            </w:pPr>
          </w:p>
        </w:tc>
        <w:tc>
          <w:tcPr>
            <w:tcW w:w="4697" w:type="dxa"/>
            <w:tcBorders>
              <w:tl2br w:val="nil"/>
              <w:tr2bl w:val="nil"/>
            </w:tcBorders>
            <w:vAlign w:val="center"/>
          </w:tcPr>
          <w:p w14:paraId="069C0FD9">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极端最低气温℃</w:t>
            </w:r>
          </w:p>
        </w:tc>
        <w:tc>
          <w:tcPr>
            <w:tcW w:w="2435" w:type="dxa"/>
            <w:tcBorders>
              <w:tl2br w:val="nil"/>
              <w:tr2bl w:val="nil"/>
            </w:tcBorders>
            <w:vAlign w:val="center"/>
          </w:tcPr>
          <w:p w14:paraId="3C2D5DD8">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-23.4</w:t>
            </w:r>
          </w:p>
        </w:tc>
      </w:tr>
      <w:tr w14:paraId="160E559D">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5" w:type="dxa"/>
            <w:vMerge w:val="continue"/>
            <w:tcBorders>
              <w:tl2br w:val="nil"/>
              <w:tr2bl w:val="nil"/>
            </w:tcBorders>
            <w:vAlign w:val="center"/>
          </w:tcPr>
          <w:p w14:paraId="61176BAC">
            <w:pPr>
              <w:spacing w:line="300" w:lineRule="exact"/>
              <w:jc w:val="center"/>
              <w:rPr>
                <w:rFonts w:ascii="Times New Roman" w:hAnsi="Times New Roman" w:eastAsia="宋体" w:cs="Times New Roman"/>
                <w:color w:val="000000"/>
                <w:sz w:val="21"/>
                <w:szCs w:val="21"/>
              </w:rPr>
            </w:pPr>
          </w:p>
        </w:tc>
        <w:tc>
          <w:tcPr>
            <w:tcW w:w="4697" w:type="dxa"/>
            <w:tcBorders>
              <w:tl2br w:val="nil"/>
              <w:tr2bl w:val="nil"/>
            </w:tcBorders>
            <w:vAlign w:val="center"/>
          </w:tcPr>
          <w:p w14:paraId="5C0C44A1">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极端最高气温℃</w:t>
            </w:r>
          </w:p>
        </w:tc>
        <w:tc>
          <w:tcPr>
            <w:tcW w:w="2435" w:type="dxa"/>
            <w:tcBorders>
              <w:tl2br w:val="nil"/>
              <w:tr2bl w:val="nil"/>
            </w:tcBorders>
            <w:vAlign w:val="center"/>
          </w:tcPr>
          <w:p w14:paraId="160AC91F">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40</w:t>
            </w:r>
          </w:p>
        </w:tc>
      </w:tr>
      <w:tr w14:paraId="18A670AA">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5" w:type="dxa"/>
            <w:vMerge w:val="restart"/>
            <w:tcBorders>
              <w:tl2br w:val="nil"/>
              <w:tr2bl w:val="nil"/>
            </w:tcBorders>
            <w:vAlign w:val="center"/>
          </w:tcPr>
          <w:p w14:paraId="511BF35C">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湿度</w:t>
            </w:r>
          </w:p>
        </w:tc>
        <w:tc>
          <w:tcPr>
            <w:tcW w:w="4697" w:type="dxa"/>
            <w:tcBorders>
              <w:tl2br w:val="nil"/>
              <w:tr2bl w:val="nil"/>
            </w:tcBorders>
            <w:vAlign w:val="center"/>
          </w:tcPr>
          <w:p w14:paraId="6567268C">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历年平均相对湿度%</w:t>
            </w:r>
          </w:p>
        </w:tc>
        <w:tc>
          <w:tcPr>
            <w:tcW w:w="2435" w:type="dxa"/>
            <w:tcBorders>
              <w:tl2br w:val="nil"/>
              <w:tr2bl w:val="nil"/>
            </w:tcBorders>
            <w:vAlign w:val="center"/>
          </w:tcPr>
          <w:p w14:paraId="3F491CCC">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74</w:t>
            </w:r>
          </w:p>
        </w:tc>
      </w:tr>
      <w:tr w14:paraId="274222D8">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5" w:type="dxa"/>
            <w:vMerge w:val="continue"/>
            <w:tcBorders>
              <w:tl2br w:val="nil"/>
              <w:tr2bl w:val="nil"/>
            </w:tcBorders>
            <w:vAlign w:val="center"/>
          </w:tcPr>
          <w:p w14:paraId="6AB028D6">
            <w:pPr>
              <w:spacing w:line="300" w:lineRule="exact"/>
              <w:jc w:val="center"/>
              <w:rPr>
                <w:rFonts w:ascii="Times New Roman" w:hAnsi="Times New Roman" w:eastAsia="宋体" w:cs="Times New Roman"/>
                <w:color w:val="000000"/>
                <w:sz w:val="21"/>
                <w:szCs w:val="21"/>
              </w:rPr>
            </w:pPr>
          </w:p>
        </w:tc>
        <w:tc>
          <w:tcPr>
            <w:tcW w:w="4697" w:type="dxa"/>
            <w:tcBorders>
              <w:tl2br w:val="nil"/>
              <w:tr2bl w:val="nil"/>
            </w:tcBorders>
            <w:vAlign w:val="center"/>
          </w:tcPr>
          <w:p w14:paraId="7F0024A0">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最大相对湿度%</w:t>
            </w:r>
          </w:p>
        </w:tc>
        <w:tc>
          <w:tcPr>
            <w:tcW w:w="2435" w:type="dxa"/>
            <w:tcBorders>
              <w:tl2br w:val="nil"/>
              <w:tr2bl w:val="nil"/>
            </w:tcBorders>
            <w:vAlign w:val="center"/>
          </w:tcPr>
          <w:p w14:paraId="4FF2CDE7">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89%</w:t>
            </w:r>
          </w:p>
        </w:tc>
      </w:tr>
      <w:tr w14:paraId="712A1765">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5" w:type="dxa"/>
            <w:vMerge w:val="continue"/>
            <w:tcBorders>
              <w:tl2br w:val="nil"/>
              <w:tr2bl w:val="nil"/>
            </w:tcBorders>
            <w:vAlign w:val="center"/>
          </w:tcPr>
          <w:p w14:paraId="00AEB698">
            <w:pPr>
              <w:spacing w:line="300" w:lineRule="exact"/>
              <w:jc w:val="center"/>
              <w:rPr>
                <w:rFonts w:ascii="Times New Roman" w:hAnsi="Times New Roman" w:eastAsia="宋体" w:cs="Times New Roman"/>
                <w:color w:val="000000"/>
                <w:sz w:val="21"/>
                <w:szCs w:val="21"/>
              </w:rPr>
            </w:pPr>
          </w:p>
        </w:tc>
        <w:tc>
          <w:tcPr>
            <w:tcW w:w="4697" w:type="dxa"/>
            <w:tcBorders>
              <w:tl2br w:val="nil"/>
              <w:tr2bl w:val="nil"/>
            </w:tcBorders>
            <w:vAlign w:val="center"/>
          </w:tcPr>
          <w:p w14:paraId="60B106F5">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最小相对湿度%</w:t>
            </w:r>
          </w:p>
        </w:tc>
        <w:tc>
          <w:tcPr>
            <w:tcW w:w="2435" w:type="dxa"/>
            <w:tcBorders>
              <w:tl2br w:val="nil"/>
              <w:tr2bl w:val="nil"/>
            </w:tcBorders>
            <w:vAlign w:val="center"/>
          </w:tcPr>
          <w:p w14:paraId="14C71C3E">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49</w:t>
            </w:r>
          </w:p>
        </w:tc>
      </w:tr>
      <w:tr w14:paraId="06D3E9A6">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5" w:type="dxa"/>
            <w:vMerge w:val="restart"/>
            <w:tcBorders>
              <w:tl2br w:val="nil"/>
              <w:tr2bl w:val="nil"/>
            </w:tcBorders>
            <w:vAlign w:val="center"/>
          </w:tcPr>
          <w:p w14:paraId="3E089953">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降水量</w:t>
            </w:r>
          </w:p>
        </w:tc>
        <w:tc>
          <w:tcPr>
            <w:tcW w:w="4697" w:type="dxa"/>
            <w:tcBorders>
              <w:tl2br w:val="nil"/>
              <w:tr2bl w:val="nil"/>
            </w:tcBorders>
            <w:vAlign w:val="center"/>
          </w:tcPr>
          <w:p w14:paraId="539CCA13">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最大降雨量(毫米)</w:t>
            </w:r>
          </w:p>
        </w:tc>
        <w:tc>
          <w:tcPr>
            <w:tcW w:w="2435" w:type="dxa"/>
            <w:tcBorders>
              <w:tl2br w:val="nil"/>
              <w:tr2bl w:val="nil"/>
            </w:tcBorders>
            <w:vAlign w:val="center"/>
          </w:tcPr>
          <w:p w14:paraId="217D96E9">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1700.4</w:t>
            </w:r>
          </w:p>
        </w:tc>
      </w:tr>
      <w:tr w14:paraId="36441914">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5" w:type="dxa"/>
            <w:vMerge w:val="continue"/>
            <w:tcBorders>
              <w:tl2br w:val="nil"/>
              <w:tr2bl w:val="nil"/>
            </w:tcBorders>
            <w:vAlign w:val="center"/>
          </w:tcPr>
          <w:p w14:paraId="1074A75B">
            <w:pPr>
              <w:spacing w:line="300" w:lineRule="exact"/>
              <w:jc w:val="center"/>
              <w:rPr>
                <w:rFonts w:ascii="Times New Roman" w:hAnsi="Times New Roman" w:eastAsia="宋体" w:cs="Times New Roman"/>
                <w:color w:val="000000"/>
                <w:sz w:val="21"/>
                <w:szCs w:val="21"/>
              </w:rPr>
            </w:pPr>
          </w:p>
        </w:tc>
        <w:tc>
          <w:tcPr>
            <w:tcW w:w="4697" w:type="dxa"/>
            <w:tcBorders>
              <w:tl2br w:val="nil"/>
              <w:tr2bl w:val="nil"/>
            </w:tcBorders>
            <w:vAlign w:val="center"/>
          </w:tcPr>
          <w:p w14:paraId="7BB93A33">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最小降雨量(毫米)</w:t>
            </w:r>
          </w:p>
        </w:tc>
        <w:tc>
          <w:tcPr>
            <w:tcW w:w="2435" w:type="dxa"/>
            <w:tcBorders>
              <w:tl2br w:val="nil"/>
              <w:tr2bl w:val="nil"/>
            </w:tcBorders>
            <w:vAlign w:val="center"/>
          </w:tcPr>
          <w:p w14:paraId="0ECB5903">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573.9</w:t>
            </w:r>
          </w:p>
        </w:tc>
      </w:tr>
      <w:tr w14:paraId="55635E16">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5" w:type="dxa"/>
            <w:vMerge w:val="continue"/>
            <w:tcBorders>
              <w:tl2br w:val="nil"/>
              <w:tr2bl w:val="nil"/>
            </w:tcBorders>
            <w:vAlign w:val="center"/>
          </w:tcPr>
          <w:p w14:paraId="0778FE07">
            <w:pPr>
              <w:spacing w:line="300" w:lineRule="exact"/>
              <w:jc w:val="center"/>
              <w:rPr>
                <w:rFonts w:ascii="Times New Roman" w:hAnsi="Times New Roman" w:eastAsia="宋体" w:cs="Times New Roman"/>
                <w:color w:val="000000"/>
                <w:sz w:val="21"/>
                <w:szCs w:val="21"/>
              </w:rPr>
            </w:pPr>
          </w:p>
        </w:tc>
        <w:tc>
          <w:tcPr>
            <w:tcW w:w="4697" w:type="dxa"/>
            <w:tcBorders>
              <w:tl2br w:val="nil"/>
              <w:tr2bl w:val="nil"/>
            </w:tcBorders>
            <w:vAlign w:val="center"/>
          </w:tcPr>
          <w:p w14:paraId="57F040E0">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多年平均降雨量(毫米)</w:t>
            </w:r>
          </w:p>
        </w:tc>
        <w:tc>
          <w:tcPr>
            <w:tcW w:w="2435" w:type="dxa"/>
            <w:tcBorders>
              <w:tl2br w:val="nil"/>
              <w:tr2bl w:val="nil"/>
            </w:tcBorders>
            <w:vAlign w:val="center"/>
          </w:tcPr>
          <w:p w14:paraId="38CDB62C">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988.4</w:t>
            </w:r>
          </w:p>
        </w:tc>
      </w:tr>
      <w:tr w14:paraId="44E885EF">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5" w:type="dxa"/>
            <w:tcBorders>
              <w:tl2br w:val="nil"/>
              <w:tr2bl w:val="nil"/>
            </w:tcBorders>
            <w:vAlign w:val="center"/>
          </w:tcPr>
          <w:p w14:paraId="42AD120A">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霜</w:t>
            </w:r>
          </w:p>
        </w:tc>
        <w:tc>
          <w:tcPr>
            <w:tcW w:w="4697" w:type="dxa"/>
            <w:tcBorders>
              <w:tl2br w:val="nil"/>
              <w:tr2bl w:val="nil"/>
            </w:tcBorders>
            <w:vAlign w:val="center"/>
          </w:tcPr>
          <w:p w14:paraId="6062C49D">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无霜期(天)</w:t>
            </w:r>
          </w:p>
        </w:tc>
        <w:tc>
          <w:tcPr>
            <w:tcW w:w="2435" w:type="dxa"/>
            <w:tcBorders>
              <w:tl2br w:val="nil"/>
              <w:tr2bl w:val="nil"/>
            </w:tcBorders>
            <w:vAlign w:val="center"/>
          </w:tcPr>
          <w:p w14:paraId="5A3D486D">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208</w:t>
            </w:r>
          </w:p>
        </w:tc>
      </w:tr>
      <w:tr w14:paraId="29A9885B">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5" w:type="dxa"/>
            <w:tcBorders>
              <w:tl2br w:val="nil"/>
              <w:tr2bl w:val="nil"/>
            </w:tcBorders>
            <w:vAlign w:val="center"/>
          </w:tcPr>
          <w:p w14:paraId="4B6F3AAC">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日照总时</w:t>
            </w:r>
          </w:p>
        </w:tc>
        <w:tc>
          <w:tcPr>
            <w:tcW w:w="4697" w:type="dxa"/>
            <w:tcBorders>
              <w:tl2br w:val="nil"/>
              <w:tr2bl w:val="nil"/>
            </w:tcBorders>
            <w:vAlign w:val="center"/>
          </w:tcPr>
          <w:p w14:paraId="400341E3">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多年平均数日照总时(小时)</w:t>
            </w:r>
          </w:p>
        </w:tc>
        <w:tc>
          <w:tcPr>
            <w:tcW w:w="2435" w:type="dxa"/>
            <w:tcBorders>
              <w:tl2br w:val="nil"/>
              <w:tr2bl w:val="nil"/>
            </w:tcBorders>
            <w:vAlign w:val="center"/>
          </w:tcPr>
          <w:p w14:paraId="38A91377">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2291.6</w:t>
            </w:r>
          </w:p>
        </w:tc>
      </w:tr>
      <w:tr w14:paraId="41CF84F5">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5" w:type="dxa"/>
            <w:vMerge w:val="restart"/>
            <w:tcBorders>
              <w:tl2br w:val="nil"/>
              <w:tr2bl w:val="nil"/>
            </w:tcBorders>
            <w:vAlign w:val="center"/>
          </w:tcPr>
          <w:p w14:paraId="2005B055">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风</w:t>
            </w:r>
          </w:p>
        </w:tc>
        <w:tc>
          <w:tcPr>
            <w:tcW w:w="4697" w:type="dxa"/>
            <w:tcBorders>
              <w:tl2br w:val="nil"/>
              <w:tr2bl w:val="nil"/>
            </w:tcBorders>
            <w:vAlign w:val="center"/>
          </w:tcPr>
          <w:p w14:paraId="1FC05718">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平均风速( m/s)</w:t>
            </w:r>
          </w:p>
        </w:tc>
        <w:tc>
          <w:tcPr>
            <w:tcW w:w="2435" w:type="dxa"/>
            <w:tcBorders>
              <w:tl2br w:val="nil"/>
              <w:tr2bl w:val="nil"/>
            </w:tcBorders>
            <w:vAlign w:val="center"/>
          </w:tcPr>
          <w:p w14:paraId="15BFED20">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2.9</w:t>
            </w:r>
          </w:p>
        </w:tc>
      </w:tr>
      <w:tr w14:paraId="54E97C19">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5" w:type="dxa"/>
            <w:vMerge w:val="continue"/>
            <w:tcBorders>
              <w:tl2br w:val="nil"/>
              <w:tr2bl w:val="nil"/>
            </w:tcBorders>
            <w:vAlign w:val="center"/>
          </w:tcPr>
          <w:p w14:paraId="75549EF1">
            <w:pPr>
              <w:spacing w:line="300" w:lineRule="exact"/>
              <w:jc w:val="center"/>
              <w:rPr>
                <w:rFonts w:ascii="Times New Roman" w:hAnsi="Times New Roman" w:eastAsia="宋体" w:cs="Times New Roman"/>
                <w:color w:val="000000"/>
                <w:sz w:val="21"/>
                <w:szCs w:val="21"/>
              </w:rPr>
            </w:pPr>
          </w:p>
        </w:tc>
        <w:tc>
          <w:tcPr>
            <w:tcW w:w="4697" w:type="dxa"/>
            <w:tcBorders>
              <w:tl2br w:val="nil"/>
              <w:tr2bl w:val="nil"/>
            </w:tcBorders>
            <w:vAlign w:val="center"/>
          </w:tcPr>
          <w:p w14:paraId="27880D57">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最大10分钟平均风速( m/s)</w:t>
            </w:r>
          </w:p>
        </w:tc>
        <w:tc>
          <w:tcPr>
            <w:tcW w:w="2435" w:type="dxa"/>
            <w:tcBorders>
              <w:tl2br w:val="nil"/>
              <w:tr2bl w:val="nil"/>
            </w:tcBorders>
            <w:vAlign w:val="center"/>
          </w:tcPr>
          <w:p w14:paraId="6ECAEB27">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32.9</w:t>
            </w:r>
          </w:p>
        </w:tc>
      </w:tr>
    </w:tbl>
    <w:p w14:paraId="54A95836">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（1）气温</w:t>
      </w:r>
    </w:p>
    <w:p w14:paraId="73F6A665">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近20年，累计年平均气温为15℃，其中近10年，累计年平均气温为14.2℃，年际之间的温差变化不大。</w:t>
      </w:r>
    </w:p>
    <w:p w14:paraId="1DC18417">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常年逐月平均气温的变化曲线见</w:t>
      </w:r>
      <w:r>
        <w:rPr>
          <w:rFonts w:ascii="Times New Roman" w:hAnsi="Times New Roman" w:eastAsia="宋体" w:cs="Times New Roman"/>
          <w:b/>
          <w:bCs/>
          <w:color w:val="000000"/>
          <w:szCs w:val="24"/>
        </w:rPr>
        <w:t>图5.2-1</w:t>
      </w:r>
      <w:r>
        <w:rPr>
          <w:rFonts w:ascii="Times New Roman" w:hAnsi="Times New Roman" w:eastAsia="宋体" w:cs="Times New Roman"/>
          <w:color w:val="000000"/>
          <w:szCs w:val="24"/>
        </w:rPr>
        <w:t>。</w:t>
      </w:r>
    </w:p>
    <w:p w14:paraId="678C5770">
      <w:pPr>
        <w:adjustRightInd w:val="0"/>
        <w:snapToGrid w:val="0"/>
        <w:spacing w:line="240" w:lineRule="auto"/>
        <w:jc w:val="center"/>
        <w:rPr>
          <w:rFonts w:ascii="Times New Roman" w:hAnsi="Times New Roman" w:eastAsia="宋体" w:cs="Times New Roman"/>
          <w:color w:val="000000"/>
        </w:rPr>
      </w:pPr>
      <w:r>
        <w:rPr>
          <w:rFonts w:ascii="Times New Roman" w:hAnsi="Times New Roman" w:eastAsia="宋体" w:cs="Times New Roman"/>
          <w:color w:val="000000"/>
        </w:rPr>
        <w:object>
          <v:shape id="_x0000_i1036" o:spt="75" type="#_x0000_t75" style="height:153.6pt;width:318.55pt;" o:ole="t" filled="f" o:preferrelative="t" stroked="f" coordsize="21600,21600">
            <v:path/>
            <v:fill on="f" focussize="0,0"/>
            <v:stroke on="f" joinstyle="miter"/>
            <v:imagedata r:id="rId39" cropbottom="-18f" o:title=""/>
            <o:lock v:ext="edit" aspectratio="f"/>
            <w10:wrap type="none"/>
            <w10:anchorlock/>
          </v:shape>
          <o:OLEObject Type="Embed" ProgID="Equation.3" ShapeID="_x0000_i1036" DrawAspect="Content" ObjectID="_1468075736" r:id="rId38">
            <o:LockedField>false</o:LockedField>
          </o:OLEObject>
        </w:object>
      </w:r>
    </w:p>
    <w:p w14:paraId="68741BD3">
      <w:pPr>
        <w:adjustRightInd w:val="0"/>
        <w:snapToGrid w:val="0"/>
        <w:spacing w:line="480" w:lineRule="exact"/>
        <w:ind w:firstLine="482"/>
        <w:jc w:val="center"/>
        <w:rPr>
          <w:rFonts w:ascii="Times New Roman" w:hAnsi="Times New Roman" w:eastAsia="宋体" w:cs="Times New Roman"/>
          <w:b/>
          <w:color w:val="000000"/>
          <w:szCs w:val="24"/>
        </w:rPr>
      </w:pPr>
      <w:r>
        <w:rPr>
          <w:rFonts w:ascii="Times New Roman" w:hAnsi="Times New Roman" w:eastAsia="宋体" w:cs="Times New Roman"/>
          <w:b/>
          <w:color w:val="000000"/>
          <w:szCs w:val="24"/>
        </w:rPr>
        <w:t>图5.2-1  常年逐月平均气温的变化曲线</w:t>
      </w:r>
    </w:p>
    <w:p w14:paraId="3CA410FD">
      <w:pPr>
        <w:adjustRightInd w:val="0"/>
        <w:snapToGrid w:val="0"/>
        <w:spacing w:line="480" w:lineRule="exact"/>
        <w:ind w:firstLine="480"/>
        <w:rPr>
          <w:rFonts w:ascii="Times New Roman" w:hAnsi="Times New Roman" w:eastAsia="宋体" w:cs="Times New Roman"/>
          <w:color w:val="000000"/>
          <w:szCs w:val="24"/>
        </w:rPr>
      </w:pPr>
      <w:r>
        <w:rPr>
          <w:rFonts w:ascii="Times New Roman" w:hAnsi="Times New Roman" w:eastAsia="宋体" w:cs="Times New Roman"/>
          <w:color w:val="000000"/>
          <w:szCs w:val="24"/>
        </w:rPr>
        <w:t>从上图可以看出：本地气温年际变化十分明显，最冷月(一月)年平均气温1.2℃，最热月(七月) 平均温度27.1℃，年较差(最热月与最冷月平均气温之差) 为25.9℃。极端最高气温达38.3℃（出现在1989年7月16日），极端最低气温-14.8℃（出现在1991年2月5日）。年平均高温日数（日最高气温≥35℃）6.1天，年最多33天。高温日相对集中出现在6-8月，其中7月份占51%，6、8月各占23%。最低气温≤0℃的最早出现时间在10月9日，最迟结束时间为4月上旬。常年平均无霜期207天。</w:t>
      </w:r>
    </w:p>
    <w:p w14:paraId="42ECB1F7">
      <w:pPr>
        <w:adjustRightInd w:val="0"/>
        <w:snapToGrid w:val="0"/>
        <w:spacing w:line="480" w:lineRule="exact"/>
        <w:ind w:firstLine="480"/>
        <w:rPr>
          <w:rFonts w:ascii="Times New Roman" w:hAnsi="Times New Roman" w:eastAsia="宋体" w:cs="Times New Roman"/>
          <w:color w:val="000000"/>
          <w:szCs w:val="24"/>
        </w:rPr>
      </w:pPr>
      <w:r>
        <w:rPr>
          <w:rFonts w:ascii="Times New Roman" w:hAnsi="Times New Roman" w:eastAsia="宋体" w:cs="Times New Roman"/>
          <w:color w:val="000000"/>
          <w:szCs w:val="24"/>
        </w:rPr>
        <w:t>（2）风</w:t>
      </w:r>
    </w:p>
    <w:p w14:paraId="3D00AB07">
      <w:pPr>
        <w:adjustRightInd w:val="0"/>
        <w:snapToGrid w:val="0"/>
        <w:spacing w:line="480" w:lineRule="exact"/>
        <w:ind w:firstLine="480"/>
        <w:rPr>
          <w:rFonts w:ascii="Times New Roman" w:hAnsi="Times New Roman" w:eastAsia="宋体" w:cs="Times New Roman"/>
          <w:color w:val="000000"/>
          <w:szCs w:val="24"/>
        </w:rPr>
      </w:pPr>
      <w:r>
        <w:rPr>
          <w:rFonts w:ascii="Times New Roman" w:hAnsi="Times New Roman" w:eastAsia="宋体" w:cs="Times New Roman"/>
          <w:color w:val="000000"/>
          <w:szCs w:val="24"/>
        </w:rPr>
        <w:t>本地以偏东风为主。常年平均风速2.9m/s，最大10分钟平均风速32.9m/s，出现在2005年6月14、18、20日。下图为本地累年各风向频率、平均风速玫瑰图。最多风向为东到东南，东北风次之。</w:t>
      </w:r>
    </w:p>
    <w:p w14:paraId="44496815">
      <w:pPr>
        <w:adjustRightInd w:val="0"/>
        <w:snapToGrid w:val="0"/>
        <w:ind w:firstLine="560"/>
        <w:jc w:val="center"/>
        <w:rPr>
          <w:rFonts w:ascii="Times New Roman" w:hAnsi="Times New Roman" w:eastAsia="宋体" w:cs="Times New Roman"/>
          <w:color w:val="000000"/>
        </w:rPr>
      </w:pPr>
      <w:r>
        <w:drawing>
          <wp:inline distT="0" distB="0" distL="114300" distR="114300">
            <wp:extent cx="1145540" cy="1130935"/>
            <wp:effectExtent l="0" t="0" r="16510" b="12065"/>
            <wp:docPr id="1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5"/>
                    <pic:cNvPicPr>
                      <a:picLocks noChangeAspect="1"/>
                    </pic:cNvPicPr>
                  </pic:nvPicPr>
                  <pic:blipFill>
                    <a:blip r:embed="rId15"/>
                    <a:stretch>
                      <a:fillRect/>
                    </a:stretch>
                  </pic:blipFill>
                  <pic:spPr>
                    <a:xfrm>
                      <a:off x="0" y="0"/>
                      <a:ext cx="1145540" cy="1130935"/>
                    </a:xfrm>
                    <a:prstGeom prst="rect">
                      <a:avLst/>
                    </a:prstGeom>
                    <a:noFill/>
                    <a:ln>
                      <a:noFill/>
                    </a:ln>
                  </pic:spPr>
                </pic:pic>
              </a:graphicData>
            </a:graphic>
          </wp:inline>
        </w:drawing>
      </w:r>
    </w:p>
    <w:p w14:paraId="0B67D113">
      <w:pPr>
        <w:adjustRightInd w:val="0"/>
        <w:snapToGrid w:val="0"/>
        <w:spacing w:line="480" w:lineRule="exact"/>
        <w:ind w:firstLine="482"/>
        <w:jc w:val="center"/>
        <w:rPr>
          <w:rFonts w:ascii="Times New Roman" w:hAnsi="Times New Roman" w:eastAsia="宋体" w:cs="Times New Roman"/>
          <w:b/>
          <w:color w:val="000000"/>
          <w:szCs w:val="24"/>
        </w:rPr>
      </w:pPr>
      <w:r>
        <w:rPr>
          <w:rFonts w:ascii="Times New Roman" w:hAnsi="Times New Roman" w:eastAsia="宋体" w:cs="Times New Roman"/>
          <w:b/>
          <w:color w:val="000000"/>
          <w:szCs w:val="24"/>
        </w:rPr>
        <w:t>图5.2-2  累年风向频率、平均风速玫瑰图</w:t>
      </w:r>
    </w:p>
    <w:p w14:paraId="056982C4">
      <w:pPr>
        <w:adjustRightInd w:val="0"/>
        <w:snapToGrid w:val="0"/>
        <w:spacing w:line="240" w:lineRule="auto"/>
        <w:jc w:val="center"/>
        <w:rPr>
          <w:rFonts w:ascii="Times New Roman" w:hAnsi="Times New Roman" w:eastAsia="宋体" w:cs="Times New Roman"/>
          <w:color w:val="000000"/>
        </w:rPr>
      </w:pPr>
      <w:r>
        <w:rPr>
          <w:rFonts w:ascii="Times New Roman" w:hAnsi="Times New Roman" w:eastAsia="宋体" w:cs="Times New Roman"/>
          <w:color w:val="000000"/>
        </w:rPr>
        <w:drawing>
          <wp:inline distT="0" distB="0" distL="114300" distR="114300">
            <wp:extent cx="4354830" cy="2599055"/>
            <wp:effectExtent l="0" t="0" r="0" b="1079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pic:cNvPicPr>
                  </pic:nvPicPr>
                  <pic:blipFill>
                    <a:blip r:embed="rId40"/>
                    <a:stretch>
                      <a:fillRect/>
                    </a:stretch>
                  </pic:blipFill>
                  <pic:spPr>
                    <a:xfrm>
                      <a:off x="0" y="0"/>
                      <a:ext cx="4354830" cy="2599055"/>
                    </a:xfrm>
                    <a:prstGeom prst="rect">
                      <a:avLst/>
                    </a:prstGeom>
                    <a:noFill/>
                    <a:ln>
                      <a:noFill/>
                    </a:ln>
                  </pic:spPr>
                </pic:pic>
              </a:graphicData>
            </a:graphic>
          </wp:inline>
        </w:drawing>
      </w:r>
    </w:p>
    <w:p w14:paraId="2C3833FE">
      <w:pPr>
        <w:adjustRightInd w:val="0"/>
        <w:snapToGrid w:val="0"/>
        <w:spacing w:line="480" w:lineRule="exact"/>
        <w:ind w:firstLine="482"/>
        <w:jc w:val="center"/>
        <w:rPr>
          <w:rFonts w:ascii="Times New Roman" w:hAnsi="Times New Roman" w:eastAsia="宋体" w:cs="Times New Roman"/>
          <w:b/>
          <w:color w:val="000000"/>
          <w:szCs w:val="24"/>
        </w:rPr>
      </w:pPr>
      <w:r>
        <w:rPr>
          <w:rFonts w:ascii="Times New Roman" w:hAnsi="Times New Roman" w:eastAsia="宋体" w:cs="Times New Roman"/>
          <w:b/>
          <w:color w:val="000000"/>
          <w:szCs w:val="24"/>
        </w:rPr>
        <w:t>图5.2-3  月平均风速变化曲线</w:t>
      </w:r>
    </w:p>
    <w:p w14:paraId="6C95E691">
      <w:pPr>
        <w:adjustRightInd w:val="0"/>
        <w:snapToGrid w:val="0"/>
        <w:spacing w:line="480" w:lineRule="exact"/>
        <w:ind w:firstLine="482"/>
        <w:jc w:val="center"/>
        <w:rPr>
          <w:rFonts w:ascii="Times New Roman" w:hAnsi="Times New Roman" w:eastAsia="宋体" w:cs="Times New Roman"/>
          <w:b/>
          <w:color w:val="000000"/>
          <w:szCs w:val="24"/>
        </w:rPr>
      </w:pPr>
      <w:r>
        <w:rPr>
          <w:rFonts w:ascii="Times New Roman" w:hAnsi="Times New Roman" w:eastAsia="宋体" w:cs="Times New Roman"/>
          <w:b/>
          <w:color w:val="000000"/>
          <w:szCs w:val="24"/>
        </w:rPr>
        <w:t>表5.2-2  各风向风速、频率（%）</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73"/>
        <w:gridCol w:w="377"/>
        <w:gridCol w:w="380"/>
        <w:gridCol w:w="378"/>
        <w:gridCol w:w="378"/>
        <w:gridCol w:w="381"/>
        <w:gridCol w:w="378"/>
        <w:gridCol w:w="378"/>
        <w:gridCol w:w="381"/>
        <w:gridCol w:w="376"/>
        <w:gridCol w:w="376"/>
        <w:gridCol w:w="381"/>
        <w:gridCol w:w="376"/>
        <w:gridCol w:w="376"/>
        <w:gridCol w:w="381"/>
        <w:gridCol w:w="376"/>
        <w:gridCol w:w="376"/>
        <w:gridCol w:w="381"/>
        <w:gridCol w:w="378"/>
        <w:gridCol w:w="378"/>
        <w:gridCol w:w="381"/>
        <w:gridCol w:w="378"/>
        <w:gridCol w:w="378"/>
        <w:gridCol w:w="376"/>
      </w:tblGrid>
      <w:tr w14:paraId="63E8A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3" w:type="pct"/>
            <w:gridSpan w:val="3"/>
            <w:vAlign w:val="center"/>
          </w:tcPr>
          <w:p w14:paraId="64BE853A">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N</w:t>
            </w:r>
          </w:p>
        </w:tc>
        <w:tc>
          <w:tcPr>
            <w:tcW w:w="626" w:type="pct"/>
            <w:gridSpan w:val="3"/>
            <w:vAlign w:val="center"/>
          </w:tcPr>
          <w:p w14:paraId="61046CCA">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NNE</w:t>
            </w:r>
          </w:p>
        </w:tc>
        <w:tc>
          <w:tcPr>
            <w:tcW w:w="626" w:type="pct"/>
            <w:gridSpan w:val="3"/>
            <w:vAlign w:val="center"/>
          </w:tcPr>
          <w:p w14:paraId="7E24FE28">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NE</w:t>
            </w:r>
          </w:p>
        </w:tc>
        <w:tc>
          <w:tcPr>
            <w:tcW w:w="624" w:type="pct"/>
            <w:gridSpan w:val="3"/>
            <w:vAlign w:val="center"/>
          </w:tcPr>
          <w:p w14:paraId="22EE39CE">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ENE</w:t>
            </w:r>
          </w:p>
        </w:tc>
        <w:tc>
          <w:tcPr>
            <w:tcW w:w="624" w:type="pct"/>
            <w:gridSpan w:val="3"/>
            <w:vAlign w:val="center"/>
          </w:tcPr>
          <w:p w14:paraId="529BAF49">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E</w:t>
            </w:r>
          </w:p>
        </w:tc>
        <w:tc>
          <w:tcPr>
            <w:tcW w:w="624" w:type="pct"/>
            <w:gridSpan w:val="3"/>
            <w:vAlign w:val="center"/>
          </w:tcPr>
          <w:p w14:paraId="6AAE24C9">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ESE</w:t>
            </w:r>
          </w:p>
        </w:tc>
        <w:tc>
          <w:tcPr>
            <w:tcW w:w="626" w:type="pct"/>
            <w:gridSpan w:val="3"/>
            <w:vAlign w:val="center"/>
          </w:tcPr>
          <w:p w14:paraId="05B05F22">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SE</w:t>
            </w:r>
          </w:p>
        </w:tc>
        <w:tc>
          <w:tcPr>
            <w:tcW w:w="623" w:type="pct"/>
            <w:gridSpan w:val="3"/>
            <w:vAlign w:val="center"/>
          </w:tcPr>
          <w:p w14:paraId="2C1E3308">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SSE</w:t>
            </w:r>
          </w:p>
        </w:tc>
      </w:tr>
      <w:tr w14:paraId="034E44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6" w:type="pct"/>
            <w:vAlign w:val="center"/>
          </w:tcPr>
          <w:p w14:paraId="538E44DB">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频率</w:t>
            </w:r>
          </w:p>
        </w:tc>
        <w:tc>
          <w:tcPr>
            <w:tcW w:w="208" w:type="pct"/>
            <w:vAlign w:val="center"/>
          </w:tcPr>
          <w:p w14:paraId="634B02CF">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风速</w:t>
            </w:r>
          </w:p>
        </w:tc>
        <w:tc>
          <w:tcPr>
            <w:tcW w:w="208" w:type="pct"/>
            <w:vAlign w:val="center"/>
          </w:tcPr>
          <w:p w14:paraId="567A4AB1">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最大</w:t>
            </w:r>
          </w:p>
        </w:tc>
        <w:tc>
          <w:tcPr>
            <w:tcW w:w="208" w:type="pct"/>
            <w:vAlign w:val="center"/>
          </w:tcPr>
          <w:p w14:paraId="2F2B38D2">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频率</w:t>
            </w:r>
          </w:p>
        </w:tc>
        <w:tc>
          <w:tcPr>
            <w:tcW w:w="208" w:type="pct"/>
            <w:vAlign w:val="center"/>
          </w:tcPr>
          <w:p w14:paraId="43EFA284">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风速</w:t>
            </w:r>
          </w:p>
        </w:tc>
        <w:tc>
          <w:tcPr>
            <w:tcW w:w="208" w:type="pct"/>
            <w:vAlign w:val="center"/>
          </w:tcPr>
          <w:p w14:paraId="0E5C1E3E">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最大</w:t>
            </w:r>
          </w:p>
        </w:tc>
        <w:tc>
          <w:tcPr>
            <w:tcW w:w="208" w:type="pct"/>
            <w:vAlign w:val="center"/>
          </w:tcPr>
          <w:p w14:paraId="2760DA29">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频率</w:t>
            </w:r>
          </w:p>
        </w:tc>
        <w:tc>
          <w:tcPr>
            <w:tcW w:w="208" w:type="pct"/>
            <w:vAlign w:val="center"/>
          </w:tcPr>
          <w:p w14:paraId="4E6BA6B0">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风速</w:t>
            </w:r>
          </w:p>
        </w:tc>
        <w:tc>
          <w:tcPr>
            <w:tcW w:w="208" w:type="pct"/>
            <w:vAlign w:val="center"/>
          </w:tcPr>
          <w:p w14:paraId="5DC5BB20">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最大</w:t>
            </w:r>
          </w:p>
        </w:tc>
        <w:tc>
          <w:tcPr>
            <w:tcW w:w="207" w:type="pct"/>
            <w:vAlign w:val="center"/>
          </w:tcPr>
          <w:p w14:paraId="63456A8C">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频率</w:t>
            </w:r>
          </w:p>
        </w:tc>
        <w:tc>
          <w:tcPr>
            <w:tcW w:w="207" w:type="pct"/>
            <w:vAlign w:val="center"/>
          </w:tcPr>
          <w:p w14:paraId="466DBB93">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风速</w:t>
            </w:r>
          </w:p>
        </w:tc>
        <w:tc>
          <w:tcPr>
            <w:tcW w:w="208" w:type="pct"/>
            <w:vAlign w:val="center"/>
          </w:tcPr>
          <w:p w14:paraId="0F3F7C4D">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最大</w:t>
            </w:r>
          </w:p>
        </w:tc>
        <w:tc>
          <w:tcPr>
            <w:tcW w:w="207" w:type="pct"/>
            <w:vAlign w:val="center"/>
          </w:tcPr>
          <w:p w14:paraId="26A37F0F">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频率</w:t>
            </w:r>
          </w:p>
        </w:tc>
        <w:tc>
          <w:tcPr>
            <w:tcW w:w="207" w:type="pct"/>
            <w:vAlign w:val="center"/>
          </w:tcPr>
          <w:p w14:paraId="5D8331E2">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风速</w:t>
            </w:r>
          </w:p>
        </w:tc>
        <w:tc>
          <w:tcPr>
            <w:tcW w:w="208" w:type="pct"/>
            <w:vAlign w:val="center"/>
          </w:tcPr>
          <w:p w14:paraId="7287BAA3">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最大</w:t>
            </w:r>
          </w:p>
        </w:tc>
        <w:tc>
          <w:tcPr>
            <w:tcW w:w="207" w:type="pct"/>
            <w:vAlign w:val="center"/>
          </w:tcPr>
          <w:p w14:paraId="5481C431">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频率</w:t>
            </w:r>
          </w:p>
        </w:tc>
        <w:tc>
          <w:tcPr>
            <w:tcW w:w="207" w:type="pct"/>
            <w:vAlign w:val="center"/>
          </w:tcPr>
          <w:p w14:paraId="252822B9">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风速</w:t>
            </w:r>
          </w:p>
        </w:tc>
        <w:tc>
          <w:tcPr>
            <w:tcW w:w="208" w:type="pct"/>
            <w:vAlign w:val="center"/>
          </w:tcPr>
          <w:p w14:paraId="53C4E77E">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最大</w:t>
            </w:r>
          </w:p>
        </w:tc>
        <w:tc>
          <w:tcPr>
            <w:tcW w:w="208" w:type="pct"/>
            <w:vAlign w:val="center"/>
          </w:tcPr>
          <w:p w14:paraId="1FA3F105">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频率</w:t>
            </w:r>
          </w:p>
        </w:tc>
        <w:tc>
          <w:tcPr>
            <w:tcW w:w="208" w:type="pct"/>
            <w:vAlign w:val="center"/>
          </w:tcPr>
          <w:p w14:paraId="7E062735">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风速</w:t>
            </w:r>
          </w:p>
        </w:tc>
        <w:tc>
          <w:tcPr>
            <w:tcW w:w="209" w:type="pct"/>
            <w:vAlign w:val="center"/>
          </w:tcPr>
          <w:p w14:paraId="2352A143">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最大</w:t>
            </w:r>
          </w:p>
        </w:tc>
        <w:tc>
          <w:tcPr>
            <w:tcW w:w="208" w:type="pct"/>
            <w:vAlign w:val="center"/>
          </w:tcPr>
          <w:p w14:paraId="730AEB31">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频率</w:t>
            </w:r>
          </w:p>
        </w:tc>
        <w:tc>
          <w:tcPr>
            <w:tcW w:w="208" w:type="pct"/>
            <w:vAlign w:val="center"/>
          </w:tcPr>
          <w:p w14:paraId="26BB0BC5">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风速</w:t>
            </w:r>
          </w:p>
        </w:tc>
        <w:tc>
          <w:tcPr>
            <w:tcW w:w="206" w:type="pct"/>
            <w:vAlign w:val="center"/>
          </w:tcPr>
          <w:p w14:paraId="1401EC25">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最大</w:t>
            </w:r>
          </w:p>
        </w:tc>
      </w:tr>
      <w:tr w14:paraId="43276D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6" w:type="pct"/>
            <w:vAlign w:val="center"/>
          </w:tcPr>
          <w:p w14:paraId="52DD2751">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w:t>
            </w:r>
          </w:p>
        </w:tc>
        <w:tc>
          <w:tcPr>
            <w:tcW w:w="208" w:type="pct"/>
            <w:vAlign w:val="center"/>
          </w:tcPr>
          <w:p w14:paraId="0D8FB5FB">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3.5</w:t>
            </w:r>
          </w:p>
        </w:tc>
        <w:tc>
          <w:tcPr>
            <w:tcW w:w="208" w:type="pct"/>
            <w:vAlign w:val="center"/>
          </w:tcPr>
          <w:p w14:paraId="7607A89D">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14</w:t>
            </w:r>
          </w:p>
        </w:tc>
        <w:tc>
          <w:tcPr>
            <w:tcW w:w="208" w:type="pct"/>
            <w:vAlign w:val="center"/>
          </w:tcPr>
          <w:p w14:paraId="6CF7DE93">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w:t>
            </w:r>
          </w:p>
        </w:tc>
        <w:tc>
          <w:tcPr>
            <w:tcW w:w="208" w:type="pct"/>
            <w:vAlign w:val="center"/>
          </w:tcPr>
          <w:p w14:paraId="0FFCF02C">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w:t>
            </w:r>
          </w:p>
        </w:tc>
        <w:tc>
          <w:tcPr>
            <w:tcW w:w="208" w:type="pct"/>
            <w:vAlign w:val="center"/>
          </w:tcPr>
          <w:p w14:paraId="209E81D4">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17</w:t>
            </w:r>
          </w:p>
        </w:tc>
        <w:tc>
          <w:tcPr>
            <w:tcW w:w="208" w:type="pct"/>
            <w:vAlign w:val="center"/>
          </w:tcPr>
          <w:p w14:paraId="5E61751B">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8</w:t>
            </w:r>
          </w:p>
        </w:tc>
        <w:tc>
          <w:tcPr>
            <w:tcW w:w="208" w:type="pct"/>
            <w:vAlign w:val="center"/>
          </w:tcPr>
          <w:p w14:paraId="73F5E954">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3.7</w:t>
            </w:r>
          </w:p>
        </w:tc>
        <w:tc>
          <w:tcPr>
            <w:tcW w:w="208" w:type="pct"/>
            <w:vAlign w:val="center"/>
          </w:tcPr>
          <w:p w14:paraId="0766B5E7">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16</w:t>
            </w:r>
          </w:p>
        </w:tc>
        <w:tc>
          <w:tcPr>
            <w:tcW w:w="207" w:type="pct"/>
            <w:vAlign w:val="center"/>
          </w:tcPr>
          <w:p w14:paraId="73B6056A">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8</w:t>
            </w:r>
          </w:p>
        </w:tc>
        <w:tc>
          <w:tcPr>
            <w:tcW w:w="207" w:type="pct"/>
            <w:vAlign w:val="center"/>
          </w:tcPr>
          <w:p w14:paraId="4B9FCB48">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3.5</w:t>
            </w:r>
          </w:p>
        </w:tc>
        <w:tc>
          <w:tcPr>
            <w:tcW w:w="208" w:type="pct"/>
            <w:vAlign w:val="center"/>
          </w:tcPr>
          <w:p w14:paraId="59979FC8">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14</w:t>
            </w:r>
          </w:p>
        </w:tc>
        <w:tc>
          <w:tcPr>
            <w:tcW w:w="207" w:type="pct"/>
            <w:vAlign w:val="center"/>
          </w:tcPr>
          <w:p w14:paraId="700F82F3">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8</w:t>
            </w:r>
          </w:p>
        </w:tc>
        <w:tc>
          <w:tcPr>
            <w:tcW w:w="207" w:type="pct"/>
            <w:vAlign w:val="center"/>
          </w:tcPr>
          <w:p w14:paraId="100C3D15">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3.1</w:t>
            </w:r>
          </w:p>
        </w:tc>
        <w:tc>
          <w:tcPr>
            <w:tcW w:w="208" w:type="pct"/>
            <w:vAlign w:val="center"/>
          </w:tcPr>
          <w:p w14:paraId="2EAD0956">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13</w:t>
            </w:r>
          </w:p>
        </w:tc>
        <w:tc>
          <w:tcPr>
            <w:tcW w:w="207" w:type="pct"/>
            <w:vAlign w:val="center"/>
          </w:tcPr>
          <w:p w14:paraId="4566B8EC">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9</w:t>
            </w:r>
          </w:p>
        </w:tc>
        <w:tc>
          <w:tcPr>
            <w:tcW w:w="207" w:type="pct"/>
            <w:vAlign w:val="center"/>
          </w:tcPr>
          <w:p w14:paraId="4C7151E9">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p>
        </w:tc>
        <w:tc>
          <w:tcPr>
            <w:tcW w:w="208" w:type="pct"/>
            <w:vAlign w:val="center"/>
          </w:tcPr>
          <w:p w14:paraId="0EA484DC">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w:t>
            </w:r>
          </w:p>
        </w:tc>
        <w:tc>
          <w:tcPr>
            <w:tcW w:w="208" w:type="pct"/>
            <w:vAlign w:val="center"/>
          </w:tcPr>
          <w:p w14:paraId="6B0A7142">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9</w:t>
            </w:r>
          </w:p>
        </w:tc>
        <w:tc>
          <w:tcPr>
            <w:tcW w:w="208" w:type="pct"/>
            <w:vAlign w:val="center"/>
          </w:tcPr>
          <w:p w14:paraId="126F089E">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2.7</w:t>
            </w:r>
          </w:p>
        </w:tc>
        <w:tc>
          <w:tcPr>
            <w:tcW w:w="209" w:type="pct"/>
            <w:vAlign w:val="center"/>
          </w:tcPr>
          <w:p w14:paraId="00C255F8">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w:t>
            </w:r>
          </w:p>
        </w:tc>
        <w:tc>
          <w:tcPr>
            <w:tcW w:w="208" w:type="pct"/>
            <w:vAlign w:val="center"/>
          </w:tcPr>
          <w:p w14:paraId="4DE9514B">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7</w:t>
            </w:r>
          </w:p>
        </w:tc>
        <w:tc>
          <w:tcPr>
            <w:tcW w:w="208" w:type="pct"/>
            <w:vAlign w:val="center"/>
          </w:tcPr>
          <w:p w14:paraId="4AB07A7A">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2.7</w:t>
            </w:r>
          </w:p>
        </w:tc>
        <w:tc>
          <w:tcPr>
            <w:tcW w:w="206" w:type="pct"/>
            <w:vAlign w:val="center"/>
          </w:tcPr>
          <w:p w14:paraId="3E444711">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w:t>
            </w:r>
          </w:p>
        </w:tc>
      </w:tr>
      <w:tr w14:paraId="49817C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3" w:type="pct"/>
            <w:gridSpan w:val="3"/>
            <w:vAlign w:val="center"/>
          </w:tcPr>
          <w:p w14:paraId="31C45ED7">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S</w:t>
            </w:r>
          </w:p>
        </w:tc>
        <w:tc>
          <w:tcPr>
            <w:tcW w:w="626" w:type="pct"/>
            <w:gridSpan w:val="3"/>
            <w:vAlign w:val="center"/>
          </w:tcPr>
          <w:p w14:paraId="22069B63">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SSW</w:t>
            </w:r>
          </w:p>
        </w:tc>
        <w:tc>
          <w:tcPr>
            <w:tcW w:w="626" w:type="pct"/>
            <w:gridSpan w:val="3"/>
            <w:vAlign w:val="center"/>
          </w:tcPr>
          <w:p w14:paraId="31B6BA72">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SW</w:t>
            </w:r>
          </w:p>
        </w:tc>
        <w:tc>
          <w:tcPr>
            <w:tcW w:w="624" w:type="pct"/>
            <w:gridSpan w:val="3"/>
            <w:vAlign w:val="center"/>
          </w:tcPr>
          <w:p w14:paraId="1C254448">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WSW</w:t>
            </w:r>
          </w:p>
        </w:tc>
        <w:tc>
          <w:tcPr>
            <w:tcW w:w="624" w:type="pct"/>
            <w:gridSpan w:val="3"/>
            <w:vAlign w:val="center"/>
          </w:tcPr>
          <w:p w14:paraId="7AE56B34">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w:t>
            </w:r>
          </w:p>
        </w:tc>
        <w:tc>
          <w:tcPr>
            <w:tcW w:w="624" w:type="pct"/>
            <w:gridSpan w:val="3"/>
            <w:vAlign w:val="center"/>
          </w:tcPr>
          <w:p w14:paraId="69C7E456">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WNW</w:t>
            </w:r>
          </w:p>
        </w:tc>
        <w:tc>
          <w:tcPr>
            <w:tcW w:w="626" w:type="pct"/>
            <w:gridSpan w:val="3"/>
            <w:vAlign w:val="center"/>
          </w:tcPr>
          <w:p w14:paraId="6FB9F670">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NW</w:t>
            </w:r>
          </w:p>
        </w:tc>
        <w:tc>
          <w:tcPr>
            <w:tcW w:w="623" w:type="pct"/>
            <w:gridSpan w:val="3"/>
            <w:vAlign w:val="center"/>
          </w:tcPr>
          <w:p w14:paraId="4949F8D3">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NNW</w:t>
            </w:r>
          </w:p>
        </w:tc>
      </w:tr>
      <w:tr w14:paraId="17A5FC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6" w:type="pct"/>
            <w:vAlign w:val="center"/>
          </w:tcPr>
          <w:p w14:paraId="6271FBEC">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频率</w:t>
            </w:r>
          </w:p>
        </w:tc>
        <w:tc>
          <w:tcPr>
            <w:tcW w:w="208" w:type="pct"/>
            <w:vAlign w:val="center"/>
          </w:tcPr>
          <w:p w14:paraId="24AF76BF">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风速</w:t>
            </w:r>
          </w:p>
        </w:tc>
        <w:tc>
          <w:tcPr>
            <w:tcW w:w="208" w:type="pct"/>
            <w:vAlign w:val="center"/>
          </w:tcPr>
          <w:p w14:paraId="73CA49B1">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最大</w:t>
            </w:r>
          </w:p>
        </w:tc>
        <w:tc>
          <w:tcPr>
            <w:tcW w:w="208" w:type="pct"/>
            <w:vAlign w:val="center"/>
          </w:tcPr>
          <w:p w14:paraId="0216E34E">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频率</w:t>
            </w:r>
          </w:p>
        </w:tc>
        <w:tc>
          <w:tcPr>
            <w:tcW w:w="208" w:type="pct"/>
            <w:vAlign w:val="center"/>
          </w:tcPr>
          <w:p w14:paraId="5475C1E8">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风速</w:t>
            </w:r>
          </w:p>
        </w:tc>
        <w:tc>
          <w:tcPr>
            <w:tcW w:w="208" w:type="pct"/>
            <w:vAlign w:val="center"/>
          </w:tcPr>
          <w:p w14:paraId="06BB0523">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最大</w:t>
            </w:r>
          </w:p>
        </w:tc>
        <w:tc>
          <w:tcPr>
            <w:tcW w:w="208" w:type="pct"/>
            <w:vAlign w:val="center"/>
          </w:tcPr>
          <w:p w14:paraId="27846F96">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频率</w:t>
            </w:r>
          </w:p>
        </w:tc>
        <w:tc>
          <w:tcPr>
            <w:tcW w:w="208" w:type="pct"/>
            <w:vAlign w:val="center"/>
          </w:tcPr>
          <w:p w14:paraId="21594701">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风速</w:t>
            </w:r>
          </w:p>
        </w:tc>
        <w:tc>
          <w:tcPr>
            <w:tcW w:w="208" w:type="pct"/>
            <w:vAlign w:val="center"/>
          </w:tcPr>
          <w:p w14:paraId="051B8BCF">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最大</w:t>
            </w:r>
          </w:p>
        </w:tc>
        <w:tc>
          <w:tcPr>
            <w:tcW w:w="207" w:type="pct"/>
            <w:vAlign w:val="center"/>
          </w:tcPr>
          <w:p w14:paraId="268C3381">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频率</w:t>
            </w:r>
          </w:p>
        </w:tc>
        <w:tc>
          <w:tcPr>
            <w:tcW w:w="207" w:type="pct"/>
            <w:vAlign w:val="center"/>
          </w:tcPr>
          <w:p w14:paraId="311C3767">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风速</w:t>
            </w:r>
          </w:p>
        </w:tc>
        <w:tc>
          <w:tcPr>
            <w:tcW w:w="208" w:type="pct"/>
            <w:vAlign w:val="center"/>
          </w:tcPr>
          <w:p w14:paraId="37C0BB8F">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最大</w:t>
            </w:r>
          </w:p>
        </w:tc>
        <w:tc>
          <w:tcPr>
            <w:tcW w:w="207" w:type="pct"/>
            <w:vAlign w:val="center"/>
          </w:tcPr>
          <w:p w14:paraId="6A3571CE">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频率</w:t>
            </w:r>
          </w:p>
        </w:tc>
        <w:tc>
          <w:tcPr>
            <w:tcW w:w="207" w:type="pct"/>
            <w:vAlign w:val="center"/>
          </w:tcPr>
          <w:p w14:paraId="6B451FA7">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风速</w:t>
            </w:r>
          </w:p>
        </w:tc>
        <w:tc>
          <w:tcPr>
            <w:tcW w:w="208" w:type="pct"/>
            <w:vAlign w:val="center"/>
          </w:tcPr>
          <w:p w14:paraId="61326A78">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最大</w:t>
            </w:r>
          </w:p>
        </w:tc>
        <w:tc>
          <w:tcPr>
            <w:tcW w:w="207" w:type="pct"/>
            <w:vAlign w:val="center"/>
          </w:tcPr>
          <w:p w14:paraId="5D14920B">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频率</w:t>
            </w:r>
          </w:p>
        </w:tc>
        <w:tc>
          <w:tcPr>
            <w:tcW w:w="207" w:type="pct"/>
            <w:vAlign w:val="center"/>
          </w:tcPr>
          <w:p w14:paraId="6669BD16">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风速</w:t>
            </w:r>
          </w:p>
        </w:tc>
        <w:tc>
          <w:tcPr>
            <w:tcW w:w="208" w:type="pct"/>
            <w:vAlign w:val="center"/>
          </w:tcPr>
          <w:p w14:paraId="1244517E">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最大</w:t>
            </w:r>
          </w:p>
        </w:tc>
        <w:tc>
          <w:tcPr>
            <w:tcW w:w="208" w:type="pct"/>
            <w:vAlign w:val="center"/>
          </w:tcPr>
          <w:p w14:paraId="4E17BB38">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频率</w:t>
            </w:r>
          </w:p>
        </w:tc>
        <w:tc>
          <w:tcPr>
            <w:tcW w:w="208" w:type="pct"/>
            <w:vAlign w:val="center"/>
          </w:tcPr>
          <w:p w14:paraId="562D756F">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风速</w:t>
            </w:r>
          </w:p>
        </w:tc>
        <w:tc>
          <w:tcPr>
            <w:tcW w:w="209" w:type="pct"/>
            <w:vAlign w:val="center"/>
          </w:tcPr>
          <w:p w14:paraId="37074260">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最大</w:t>
            </w:r>
          </w:p>
        </w:tc>
        <w:tc>
          <w:tcPr>
            <w:tcW w:w="208" w:type="pct"/>
            <w:vAlign w:val="center"/>
          </w:tcPr>
          <w:p w14:paraId="4F14FBF3">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频率</w:t>
            </w:r>
          </w:p>
        </w:tc>
        <w:tc>
          <w:tcPr>
            <w:tcW w:w="208" w:type="pct"/>
            <w:vAlign w:val="center"/>
          </w:tcPr>
          <w:p w14:paraId="16431BBA">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风速</w:t>
            </w:r>
          </w:p>
        </w:tc>
        <w:tc>
          <w:tcPr>
            <w:tcW w:w="206" w:type="pct"/>
            <w:vAlign w:val="center"/>
          </w:tcPr>
          <w:p w14:paraId="5E494EA6">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最大</w:t>
            </w:r>
          </w:p>
        </w:tc>
      </w:tr>
      <w:tr w14:paraId="78E811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6" w:type="pct"/>
            <w:vAlign w:val="center"/>
          </w:tcPr>
          <w:p w14:paraId="6DD96A84">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c>
          <w:tcPr>
            <w:tcW w:w="208" w:type="pct"/>
            <w:vAlign w:val="center"/>
          </w:tcPr>
          <w:p w14:paraId="2F885DBD">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2.4</w:t>
            </w:r>
          </w:p>
        </w:tc>
        <w:tc>
          <w:tcPr>
            <w:tcW w:w="208" w:type="pct"/>
            <w:vAlign w:val="center"/>
          </w:tcPr>
          <w:p w14:paraId="1A21E355">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14</w:t>
            </w:r>
          </w:p>
        </w:tc>
        <w:tc>
          <w:tcPr>
            <w:tcW w:w="208" w:type="pct"/>
            <w:vAlign w:val="center"/>
          </w:tcPr>
          <w:p w14:paraId="50211702">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c>
          <w:tcPr>
            <w:tcW w:w="208" w:type="pct"/>
            <w:vAlign w:val="center"/>
          </w:tcPr>
          <w:p w14:paraId="34604945">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2.7</w:t>
            </w:r>
          </w:p>
        </w:tc>
        <w:tc>
          <w:tcPr>
            <w:tcW w:w="208" w:type="pct"/>
            <w:vAlign w:val="center"/>
          </w:tcPr>
          <w:p w14:paraId="02F7C53F">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w:t>
            </w:r>
          </w:p>
        </w:tc>
        <w:tc>
          <w:tcPr>
            <w:tcW w:w="208" w:type="pct"/>
            <w:vAlign w:val="center"/>
          </w:tcPr>
          <w:p w14:paraId="5560D65A">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c>
          <w:tcPr>
            <w:tcW w:w="208" w:type="pct"/>
            <w:vAlign w:val="center"/>
          </w:tcPr>
          <w:p w14:paraId="41047189">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2.7</w:t>
            </w:r>
          </w:p>
        </w:tc>
        <w:tc>
          <w:tcPr>
            <w:tcW w:w="208" w:type="pct"/>
            <w:vAlign w:val="center"/>
          </w:tcPr>
          <w:p w14:paraId="7A1C74E1">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w:t>
            </w:r>
          </w:p>
        </w:tc>
        <w:tc>
          <w:tcPr>
            <w:tcW w:w="207" w:type="pct"/>
            <w:vAlign w:val="center"/>
          </w:tcPr>
          <w:p w14:paraId="2D890DFD">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p>
        </w:tc>
        <w:tc>
          <w:tcPr>
            <w:tcW w:w="207" w:type="pct"/>
            <w:vAlign w:val="center"/>
          </w:tcPr>
          <w:p w14:paraId="16CF1ECE">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2.9</w:t>
            </w:r>
          </w:p>
        </w:tc>
        <w:tc>
          <w:tcPr>
            <w:tcW w:w="208" w:type="pct"/>
            <w:vAlign w:val="center"/>
          </w:tcPr>
          <w:p w14:paraId="61424AF1">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11</w:t>
            </w:r>
          </w:p>
        </w:tc>
        <w:tc>
          <w:tcPr>
            <w:tcW w:w="207" w:type="pct"/>
            <w:vAlign w:val="center"/>
          </w:tcPr>
          <w:p w14:paraId="1120731F">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p>
        </w:tc>
        <w:tc>
          <w:tcPr>
            <w:tcW w:w="207" w:type="pct"/>
            <w:vAlign w:val="center"/>
          </w:tcPr>
          <w:p w14:paraId="00E2AE5E">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2.7</w:t>
            </w:r>
          </w:p>
        </w:tc>
        <w:tc>
          <w:tcPr>
            <w:tcW w:w="208" w:type="pct"/>
            <w:vAlign w:val="center"/>
          </w:tcPr>
          <w:p w14:paraId="7ACA33FA">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14</w:t>
            </w:r>
          </w:p>
        </w:tc>
        <w:tc>
          <w:tcPr>
            <w:tcW w:w="207" w:type="pct"/>
            <w:vAlign w:val="center"/>
          </w:tcPr>
          <w:p w14:paraId="04B0F1F8">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p>
        </w:tc>
        <w:tc>
          <w:tcPr>
            <w:tcW w:w="207" w:type="pct"/>
            <w:vAlign w:val="center"/>
          </w:tcPr>
          <w:p w14:paraId="32E534A7">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3.2</w:t>
            </w:r>
          </w:p>
        </w:tc>
        <w:tc>
          <w:tcPr>
            <w:tcW w:w="208" w:type="pct"/>
            <w:vAlign w:val="center"/>
          </w:tcPr>
          <w:p w14:paraId="6392A966">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18</w:t>
            </w:r>
          </w:p>
        </w:tc>
        <w:tc>
          <w:tcPr>
            <w:tcW w:w="208" w:type="pct"/>
            <w:vAlign w:val="center"/>
          </w:tcPr>
          <w:p w14:paraId="1D091B38">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w:t>
            </w:r>
          </w:p>
        </w:tc>
        <w:tc>
          <w:tcPr>
            <w:tcW w:w="208" w:type="pct"/>
            <w:vAlign w:val="center"/>
          </w:tcPr>
          <w:p w14:paraId="73E17123">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3.7</w:t>
            </w:r>
          </w:p>
        </w:tc>
        <w:tc>
          <w:tcPr>
            <w:tcW w:w="209" w:type="pct"/>
            <w:vAlign w:val="center"/>
          </w:tcPr>
          <w:p w14:paraId="2061E1C1">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17</w:t>
            </w:r>
          </w:p>
        </w:tc>
        <w:tc>
          <w:tcPr>
            <w:tcW w:w="208" w:type="pct"/>
            <w:vAlign w:val="center"/>
          </w:tcPr>
          <w:p w14:paraId="072B0478">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w:t>
            </w:r>
          </w:p>
        </w:tc>
        <w:tc>
          <w:tcPr>
            <w:tcW w:w="208" w:type="pct"/>
            <w:vAlign w:val="center"/>
          </w:tcPr>
          <w:p w14:paraId="5E35B338">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3.6</w:t>
            </w:r>
          </w:p>
        </w:tc>
        <w:tc>
          <w:tcPr>
            <w:tcW w:w="206" w:type="pct"/>
            <w:vAlign w:val="center"/>
          </w:tcPr>
          <w:p w14:paraId="0C6DE250">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16</w:t>
            </w:r>
          </w:p>
        </w:tc>
      </w:tr>
    </w:tbl>
    <w:p w14:paraId="7315733E">
      <w:pPr>
        <w:adjustRightInd w:val="0"/>
        <w:snapToGrid w:val="0"/>
        <w:spacing w:line="480" w:lineRule="exact"/>
        <w:ind w:firstLine="420"/>
        <w:rPr>
          <w:rFonts w:ascii="Times New Roman" w:hAnsi="Times New Roman" w:eastAsia="宋体" w:cs="Times New Roman"/>
          <w:color w:val="000000"/>
          <w:szCs w:val="24"/>
        </w:rPr>
      </w:pPr>
      <w:r>
        <w:rPr>
          <w:rFonts w:ascii="Times New Roman" w:hAnsi="Times New Roman" w:eastAsia="宋体" w:cs="Times New Roman"/>
          <w:color w:val="000000"/>
          <w:szCs w:val="24"/>
        </w:rPr>
        <w:t>（3）降水</w:t>
      </w:r>
    </w:p>
    <w:p w14:paraId="1F691CA6">
      <w:pPr>
        <w:adjustRightInd w:val="0"/>
        <w:snapToGrid w:val="0"/>
        <w:spacing w:line="480" w:lineRule="exact"/>
        <w:ind w:firstLine="480" w:firstLineChars="200"/>
        <w:rPr>
          <w:rFonts w:ascii="Times New Roman" w:hAnsi="Times New Roman" w:eastAsia="宋体" w:cs="Times New Roman"/>
          <w:color w:val="000000"/>
          <w:szCs w:val="24"/>
        </w:rPr>
      </w:pPr>
      <w:r>
        <w:rPr>
          <w:rFonts w:ascii="Times New Roman" w:hAnsi="Times New Roman" w:eastAsia="宋体" w:cs="Times New Roman"/>
          <w:color w:val="000000"/>
          <w:szCs w:val="24"/>
        </w:rPr>
        <w:t>20年来，泗阳平均降水量988.4℃，比常年平均降水量多97.8mm。20年来年总降水量最大的是2003年，为1555.0mm，其中1998、2000、2003、2005、2007年年总降水量均超过1000mm。降水量最少的是2004年，为551.4mm。降水时段主要集中在汛期（6-8月），降水偏多年份2003年6-8月总降水量为1063.2mm，占全年总降水量的68.4%，即使是降水偏少的年份（2004年）6-8月中降水量为222.4mm，占全年总降水量的40.3%。</w:t>
      </w:r>
    </w:p>
    <w:p w14:paraId="35250ED8">
      <w:pPr>
        <w:adjustRightInd w:val="0"/>
        <w:snapToGrid w:val="0"/>
        <w:spacing w:line="480" w:lineRule="exact"/>
        <w:ind w:firstLine="480" w:firstLineChars="200"/>
        <w:rPr>
          <w:rFonts w:ascii="Times New Roman" w:hAnsi="Times New Roman" w:eastAsia="宋体" w:cs="Times New Roman"/>
          <w:color w:val="000000"/>
          <w:szCs w:val="24"/>
        </w:rPr>
      </w:pPr>
      <w:r>
        <w:rPr>
          <w:rFonts w:ascii="Times New Roman" w:hAnsi="Times New Roman" w:eastAsia="宋体" w:cs="Times New Roman"/>
          <w:color w:val="000000"/>
          <w:szCs w:val="24"/>
        </w:rPr>
        <w:t>年最大降水量1700.4mm（2004年），年最少降水量573.9mm（1988年）。一日最大降水量250.9mm，出现在2004年7月19日。每年从4月份起降水量逐渐增多，6~9月为汛期，雨季开始期一般在6月下旬后期，结束期一般在7月中旬后期，持续20天左右，这一期间雨量为全年雨量最集中时期。年平均雨日（日降水量≥0.1mm）91.4天，最多143天，最少47天。</w:t>
      </w:r>
    </w:p>
    <w:p w14:paraId="5C3E9D10">
      <w:pPr>
        <w:pStyle w:val="7"/>
        <w:spacing w:line="480" w:lineRule="exact"/>
      </w:pPr>
      <w:r>
        <w:rPr>
          <w:rFonts w:hint="eastAsia"/>
        </w:rPr>
        <w:t>5</w:t>
      </w:r>
      <w:r>
        <w:t>.2.</w:t>
      </w:r>
      <w:r>
        <w:rPr>
          <w:rFonts w:hint="eastAsia"/>
        </w:rPr>
        <w:t>2</w:t>
      </w:r>
      <w:r>
        <w:t xml:space="preserve"> </w:t>
      </w:r>
      <w:r>
        <w:rPr>
          <w:rFonts w:hint="eastAsia"/>
        </w:rPr>
        <w:t>大气环境影响估算模式</w:t>
      </w:r>
    </w:p>
    <w:p w14:paraId="0D7C5ADA">
      <w:pPr>
        <w:spacing w:line="480" w:lineRule="exact"/>
        <w:ind w:firstLine="480" w:firstLineChars="200"/>
      </w:pPr>
      <w:r>
        <w:rPr>
          <w:rFonts w:hint="eastAsia"/>
        </w:rPr>
        <w:t>本项目大气环境采用《环境影响评价技术导则 大气环境》（HJ2.2-2018）中推荐的模型（AERSCREEN）模</w:t>
      </w:r>
      <w:r>
        <w:rPr>
          <w:rFonts w:hint="eastAsia"/>
          <w:szCs w:val="24"/>
        </w:rPr>
        <w:t>式</w:t>
      </w:r>
      <w:r>
        <w:rPr>
          <w:rFonts w:ascii="Times New Roman" w:hAnsi="宋体"/>
          <w:szCs w:val="24"/>
        </w:rPr>
        <w:t>预测本项目废气污染物对环境的影响</w:t>
      </w:r>
      <w:r>
        <w:rPr>
          <w:rFonts w:hint="eastAsia"/>
          <w:szCs w:val="24"/>
        </w:rPr>
        <w:t>。</w:t>
      </w:r>
    </w:p>
    <w:p w14:paraId="330E1664">
      <w:pPr>
        <w:spacing w:line="480" w:lineRule="exact"/>
        <w:ind w:firstLine="480" w:firstLineChars="200"/>
      </w:pPr>
      <w:r>
        <w:rPr>
          <w:rFonts w:hint="eastAsia"/>
        </w:rPr>
        <w:t>（1）评价因子和评价标准筛选</w:t>
      </w:r>
    </w:p>
    <w:p w14:paraId="05CCBE58">
      <w:pPr>
        <w:spacing w:line="480" w:lineRule="exact"/>
        <w:ind w:firstLine="480" w:firstLineChars="200"/>
      </w:pPr>
      <w:r>
        <w:rPr>
          <w:rFonts w:hint="eastAsia"/>
        </w:rPr>
        <w:t>本项目评价因子和评价标准见表5.2-3。</w:t>
      </w:r>
    </w:p>
    <w:p w14:paraId="19B840E7">
      <w:pPr>
        <w:pStyle w:val="31"/>
        <w:spacing w:before="0" w:line="480" w:lineRule="exact"/>
      </w:pPr>
      <w:r>
        <w:rPr>
          <w:rFonts w:hint="eastAsia"/>
        </w:rPr>
        <w:t>表</w:t>
      </w:r>
      <w:r>
        <w:t>5.2-</w:t>
      </w:r>
      <w:r>
        <w:rPr>
          <w:rFonts w:hint="eastAsia"/>
        </w:rPr>
        <w:t>3</w:t>
      </w:r>
      <w:r>
        <w:t xml:space="preserve">  </w:t>
      </w:r>
      <w:r>
        <w:rPr>
          <w:rFonts w:hint="eastAsia"/>
        </w:rPr>
        <w:t>评价因子和评价标准表</w:t>
      </w:r>
    </w:p>
    <w:tbl>
      <w:tblPr>
        <w:tblStyle w:val="4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309"/>
        <w:gridCol w:w="1873"/>
        <w:gridCol w:w="4679"/>
      </w:tblGrid>
      <w:tr w14:paraId="50673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pct"/>
            <w:vAlign w:val="center"/>
          </w:tcPr>
          <w:p w14:paraId="5A10FDC3">
            <w:pPr>
              <w:pStyle w:val="61"/>
              <w:spacing w:line="300" w:lineRule="exact"/>
              <w:rPr>
                <w:lang w:val="zh-CN"/>
              </w:rPr>
            </w:pPr>
            <w:r>
              <w:rPr>
                <w:rFonts w:hint="eastAsia"/>
              </w:rPr>
              <w:t>评价因子</w:t>
            </w:r>
          </w:p>
        </w:tc>
        <w:tc>
          <w:tcPr>
            <w:tcW w:w="705" w:type="pct"/>
            <w:vAlign w:val="center"/>
          </w:tcPr>
          <w:p w14:paraId="02C1F0DB">
            <w:pPr>
              <w:pStyle w:val="61"/>
              <w:spacing w:line="300" w:lineRule="exact"/>
            </w:pPr>
            <w:r>
              <w:rPr>
                <w:rFonts w:hint="eastAsia"/>
              </w:rPr>
              <w:t>平均时段</w:t>
            </w:r>
          </w:p>
        </w:tc>
        <w:tc>
          <w:tcPr>
            <w:tcW w:w="1009" w:type="pct"/>
            <w:vAlign w:val="center"/>
          </w:tcPr>
          <w:p w14:paraId="0CF5DE2B">
            <w:pPr>
              <w:pStyle w:val="61"/>
              <w:spacing w:line="300" w:lineRule="exact"/>
            </w:pPr>
            <w:r>
              <w:rPr>
                <w:rFonts w:hint="eastAsia"/>
              </w:rPr>
              <w:t>标准值（</w:t>
            </w:r>
            <w:r>
              <w:t>μ</w:t>
            </w:r>
            <w:r>
              <w:rPr>
                <w:rFonts w:hint="eastAsia"/>
              </w:rPr>
              <w:t>g/m</w:t>
            </w:r>
            <w:r>
              <w:rPr>
                <w:rFonts w:hint="eastAsia"/>
                <w:vertAlign w:val="superscript"/>
              </w:rPr>
              <w:t>3</w:t>
            </w:r>
            <w:r>
              <w:rPr>
                <w:rFonts w:hint="eastAsia"/>
              </w:rPr>
              <w:t>）</w:t>
            </w:r>
          </w:p>
        </w:tc>
        <w:tc>
          <w:tcPr>
            <w:tcW w:w="2520" w:type="pct"/>
            <w:vAlign w:val="center"/>
          </w:tcPr>
          <w:p w14:paraId="2D4293B3">
            <w:pPr>
              <w:pStyle w:val="61"/>
              <w:spacing w:line="300" w:lineRule="exact"/>
            </w:pPr>
            <w:r>
              <w:rPr>
                <w:rFonts w:hint="eastAsia"/>
              </w:rPr>
              <w:t>标准来源</w:t>
            </w:r>
          </w:p>
        </w:tc>
      </w:tr>
      <w:tr w14:paraId="09EE79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pct"/>
            <w:vAlign w:val="center"/>
          </w:tcPr>
          <w:p w14:paraId="5F07F9C1">
            <w:pPr>
              <w:pStyle w:val="61"/>
              <w:spacing w:line="300" w:lineRule="exact"/>
            </w:pPr>
            <w:r>
              <w:rPr>
                <w:rFonts w:hint="eastAsia"/>
              </w:rPr>
              <w:t>氨</w:t>
            </w:r>
          </w:p>
        </w:tc>
        <w:tc>
          <w:tcPr>
            <w:tcW w:w="705" w:type="pct"/>
            <w:vAlign w:val="center"/>
          </w:tcPr>
          <w:p w14:paraId="3323814F">
            <w:pPr>
              <w:pStyle w:val="61"/>
              <w:spacing w:line="300" w:lineRule="exact"/>
            </w:pPr>
            <w:r>
              <w:rPr>
                <w:rFonts w:hint="eastAsia"/>
              </w:rPr>
              <w:t>小时平均</w:t>
            </w:r>
          </w:p>
        </w:tc>
        <w:tc>
          <w:tcPr>
            <w:tcW w:w="1009" w:type="pct"/>
            <w:vAlign w:val="center"/>
          </w:tcPr>
          <w:p w14:paraId="50F38FE8">
            <w:pPr>
              <w:pStyle w:val="61"/>
              <w:spacing w:line="300" w:lineRule="exact"/>
            </w:pPr>
            <w:r>
              <w:rPr>
                <w:rFonts w:hint="eastAsia"/>
              </w:rPr>
              <w:t>2</w:t>
            </w:r>
            <w:r>
              <w:t>00</w:t>
            </w:r>
          </w:p>
        </w:tc>
        <w:tc>
          <w:tcPr>
            <w:tcW w:w="2520" w:type="pct"/>
            <w:vMerge w:val="restart"/>
            <w:vAlign w:val="center"/>
          </w:tcPr>
          <w:p w14:paraId="4C7F231A">
            <w:pPr>
              <w:pStyle w:val="61"/>
              <w:spacing w:line="300" w:lineRule="exact"/>
            </w:pPr>
            <w:r>
              <w:rPr>
                <w:rFonts w:hint="eastAsia"/>
              </w:rPr>
              <w:t>《环境影响评价技术导则大气环境》（HJ2.2－2018）附录D表D.1</w:t>
            </w:r>
          </w:p>
        </w:tc>
      </w:tr>
      <w:tr w14:paraId="7A8A2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pct"/>
            <w:vAlign w:val="center"/>
          </w:tcPr>
          <w:p w14:paraId="14494FC0">
            <w:pPr>
              <w:pStyle w:val="61"/>
              <w:spacing w:line="300" w:lineRule="exact"/>
            </w:pPr>
            <w:r>
              <w:rPr>
                <w:rFonts w:hint="eastAsia"/>
              </w:rPr>
              <w:t>硫化氢</w:t>
            </w:r>
          </w:p>
        </w:tc>
        <w:tc>
          <w:tcPr>
            <w:tcW w:w="705" w:type="pct"/>
            <w:vAlign w:val="center"/>
          </w:tcPr>
          <w:p w14:paraId="31FDC987">
            <w:pPr>
              <w:pStyle w:val="61"/>
              <w:spacing w:line="300" w:lineRule="exact"/>
            </w:pPr>
            <w:r>
              <w:rPr>
                <w:rFonts w:hint="eastAsia"/>
              </w:rPr>
              <w:t>小时平均</w:t>
            </w:r>
          </w:p>
        </w:tc>
        <w:tc>
          <w:tcPr>
            <w:tcW w:w="1009" w:type="pct"/>
            <w:vAlign w:val="center"/>
          </w:tcPr>
          <w:p w14:paraId="3E4C3103">
            <w:pPr>
              <w:pStyle w:val="61"/>
              <w:spacing w:line="300" w:lineRule="exact"/>
            </w:pPr>
            <w:r>
              <w:rPr>
                <w:rFonts w:hint="eastAsia"/>
              </w:rPr>
              <w:t>1</w:t>
            </w:r>
            <w:r>
              <w:t>0</w:t>
            </w:r>
          </w:p>
        </w:tc>
        <w:tc>
          <w:tcPr>
            <w:tcW w:w="2520" w:type="pct"/>
            <w:vMerge w:val="continue"/>
            <w:vAlign w:val="center"/>
          </w:tcPr>
          <w:p w14:paraId="0C4A80A5">
            <w:pPr>
              <w:pStyle w:val="61"/>
              <w:spacing w:line="300" w:lineRule="exact"/>
            </w:pPr>
          </w:p>
        </w:tc>
      </w:tr>
    </w:tbl>
    <w:p w14:paraId="5FD3B1BC">
      <w:pPr>
        <w:spacing w:line="480" w:lineRule="exact"/>
        <w:ind w:firstLine="480" w:firstLineChars="200"/>
      </w:pPr>
      <w:r>
        <w:rPr>
          <w:rFonts w:hint="eastAsia"/>
        </w:rPr>
        <w:t>（2）估算模型参数</w:t>
      </w:r>
    </w:p>
    <w:p w14:paraId="652875F5">
      <w:pPr>
        <w:spacing w:line="480" w:lineRule="exact"/>
        <w:ind w:firstLine="480" w:firstLineChars="200"/>
      </w:pPr>
      <w:r>
        <w:rPr>
          <w:rFonts w:hint="eastAsia"/>
        </w:rPr>
        <w:t>本项目估算模型参数见表5.2-4。</w:t>
      </w:r>
    </w:p>
    <w:p w14:paraId="06B1989A">
      <w:pPr>
        <w:pStyle w:val="31"/>
        <w:spacing w:before="0" w:line="480" w:lineRule="exact"/>
      </w:pPr>
      <w:r>
        <w:rPr>
          <w:rFonts w:hint="eastAsia"/>
        </w:rPr>
        <w:t>表</w:t>
      </w:r>
      <w:r>
        <w:t>5.2-</w:t>
      </w:r>
      <w:r>
        <w:rPr>
          <w:rFonts w:hint="eastAsia"/>
        </w:rPr>
        <w:t>4</w:t>
      </w:r>
      <w:r>
        <w:t xml:space="preserve">  </w:t>
      </w:r>
      <w:r>
        <w:rPr>
          <w:rFonts w:hint="eastAsia"/>
        </w:rPr>
        <w:t>估算模型参数表</w:t>
      </w:r>
    </w:p>
    <w:tbl>
      <w:tblPr>
        <w:tblStyle w:val="4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33" w:type="dxa"/>
          <w:left w:w="132" w:type="dxa"/>
          <w:bottom w:w="0" w:type="dxa"/>
          <w:right w:w="115" w:type="dxa"/>
        </w:tblCellMar>
      </w:tblPr>
      <w:tblGrid>
        <w:gridCol w:w="3105"/>
        <w:gridCol w:w="3109"/>
        <w:gridCol w:w="3105"/>
      </w:tblGrid>
      <w:tr w14:paraId="131D5B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33" w:type="dxa"/>
            <w:left w:w="132" w:type="dxa"/>
            <w:bottom w:w="0" w:type="dxa"/>
            <w:right w:w="115" w:type="dxa"/>
          </w:tblCellMar>
        </w:tblPrEx>
        <w:trPr>
          <w:trHeight w:val="397" w:hRule="atLeast"/>
          <w:jc w:val="center"/>
        </w:trPr>
        <w:tc>
          <w:tcPr>
            <w:tcW w:w="3334" w:type="pct"/>
            <w:gridSpan w:val="2"/>
            <w:vAlign w:val="center"/>
          </w:tcPr>
          <w:p w14:paraId="798A6860">
            <w:pPr>
              <w:spacing w:line="300" w:lineRule="exact"/>
              <w:jc w:val="center"/>
              <w:rPr>
                <w:rFonts w:ascii="Times New Roman" w:eastAsia="宋体"/>
                <w:color w:val="000000"/>
                <w:sz w:val="21"/>
                <w:szCs w:val="21"/>
              </w:rPr>
            </w:pPr>
            <w:r>
              <w:rPr>
                <w:rFonts w:ascii="Times New Roman" w:eastAsia="宋体"/>
                <w:color w:val="000000"/>
                <w:sz w:val="21"/>
                <w:szCs w:val="21"/>
              </w:rPr>
              <w:t>参数</w:t>
            </w:r>
          </w:p>
        </w:tc>
        <w:tc>
          <w:tcPr>
            <w:tcW w:w="1666" w:type="pct"/>
            <w:vAlign w:val="center"/>
          </w:tcPr>
          <w:p w14:paraId="6A029429">
            <w:pPr>
              <w:spacing w:line="300" w:lineRule="exact"/>
              <w:jc w:val="center"/>
              <w:rPr>
                <w:rFonts w:ascii="Times New Roman" w:eastAsia="宋体"/>
                <w:color w:val="000000"/>
                <w:sz w:val="21"/>
                <w:szCs w:val="21"/>
              </w:rPr>
            </w:pPr>
            <w:r>
              <w:rPr>
                <w:rFonts w:ascii="Times New Roman" w:eastAsia="宋体"/>
                <w:color w:val="000000"/>
                <w:sz w:val="21"/>
                <w:szCs w:val="21"/>
              </w:rPr>
              <w:t>取值</w:t>
            </w:r>
          </w:p>
        </w:tc>
      </w:tr>
      <w:tr w14:paraId="174223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33" w:type="dxa"/>
            <w:left w:w="132" w:type="dxa"/>
            <w:bottom w:w="0" w:type="dxa"/>
            <w:right w:w="115" w:type="dxa"/>
          </w:tblCellMar>
        </w:tblPrEx>
        <w:trPr>
          <w:trHeight w:val="397" w:hRule="atLeast"/>
          <w:jc w:val="center"/>
        </w:trPr>
        <w:tc>
          <w:tcPr>
            <w:tcW w:w="1666" w:type="pct"/>
            <w:vMerge w:val="restart"/>
            <w:vAlign w:val="center"/>
          </w:tcPr>
          <w:p w14:paraId="483212BB">
            <w:pPr>
              <w:spacing w:line="300" w:lineRule="exact"/>
              <w:jc w:val="center"/>
              <w:rPr>
                <w:rFonts w:ascii="Times New Roman" w:eastAsia="宋体"/>
                <w:color w:val="000000"/>
                <w:sz w:val="21"/>
                <w:szCs w:val="21"/>
              </w:rPr>
            </w:pPr>
            <w:r>
              <w:rPr>
                <w:rFonts w:ascii="Times New Roman" w:eastAsia="宋体"/>
                <w:color w:val="000000"/>
                <w:sz w:val="21"/>
                <w:szCs w:val="21"/>
              </w:rPr>
              <w:t>城市/农村选项</w:t>
            </w:r>
          </w:p>
        </w:tc>
        <w:tc>
          <w:tcPr>
            <w:tcW w:w="1668" w:type="pct"/>
            <w:vAlign w:val="center"/>
          </w:tcPr>
          <w:p w14:paraId="3FE06C59">
            <w:pPr>
              <w:spacing w:line="300" w:lineRule="exact"/>
              <w:jc w:val="center"/>
              <w:rPr>
                <w:rFonts w:ascii="Times New Roman" w:eastAsia="宋体"/>
                <w:color w:val="000000"/>
                <w:sz w:val="21"/>
                <w:szCs w:val="21"/>
              </w:rPr>
            </w:pPr>
            <w:r>
              <w:rPr>
                <w:rFonts w:ascii="Times New Roman" w:eastAsia="宋体"/>
                <w:color w:val="000000"/>
                <w:sz w:val="21"/>
                <w:szCs w:val="21"/>
              </w:rPr>
              <w:t>城市/农村</w:t>
            </w:r>
          </w:p>
        </w:tc>
        <w:tc>
          <w:tcPr>
            <w:tcW w:w="1666" w:type="pct"/>
            <w:vAlign w:val="center"/>
          </w:tcPr>
          <w:p w14:paraId="15CE81C2">
            <w:pPr>
              <w:spacing w:line="300" w:lineRule="exact"/>
              <w:jc w:val="center"/>
              <w:rPr>
                <w:rFonts w:ascii="Times New Roman" w:eastAsia="宋体"/>
                <w:color w:val="000000"/>
                <w:sz w:val="21"/>
                <w:szCs w:val="21"/>
              </w:rPr>
            </w:pPr>
            <w:r>
              <w:rPr>
                <w:rFonts w:hint="eastAsia" w:ascii="Times New Roman" w:eastAsia="宋体"/>
                <w:color w:val="000000"/>
                <w:sz w:val="21"/>
                <w:szCs w:val="21"/>
              </w:rPr>
              <w:t>农村</w:t>
            </w:r>
          </w:p>
        </w:tc>
      </w:tr>
      <w:tr w14:paraId="74259B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33" w:type="dxa"/>
            <w:left w:w="132" w:type="dxa"/>
            <w:bottom w:w="0" w:type="dxa"/>
            <w:right w:w="115" w:type="dxa"/>
          </w:tblCellMar>
        </w:tblPrEx>
        <w:trPr>
          <w:trHeight w:val="397" w:hRule="atLeast"/>
          <w:jc w:val="center"/>
        </w:trPr>
        <w:tc>
          <w:tcPr>
            <w:tcW w:w="1666" w:type="pct"/>
            <w:vMerge w:val="continue"/>
            <w:vAlign w:val="center"/>
          </w:tcPr>
          <w:p w14:paraId="77FC8A6C">
            <w:pPr>
              <w:spacing w:line="300" w:lineRule="exact"/>
              <w:jc w:val="center"/>
              <w:rPr>
                <w:rFonts w:ascii="Times New Roman" w:eastAsia="宋体"/>
                <w:color w:val="000000"/>
                <w:sz w:val="21"/>
                <w:szCs w:val="21"/>
              </w:rPr>
            </w:pPr>
          </w:p>
        </w:tc>
        <w:tc>
          <w:tcPr>
            <w:tcW w:w="1668" w:type="pct"/>
            <w:vAlign w:val="center"/>
          </w:tcPr>
          <w:p w14:paraId="1A751548">
            <w:pPr>
              <w:spacing w:line="300" w:lineRule="exact"/>
              <w:jc w:val="center"/>
              <w:rPr>
                <w:rFonts w:ascii="Times New Roman" w:eastAsia="宋体"/>
                <w:color w:val="000000"/>
                <w:sz w:val="21"/>
                <w:szCs w:val="21"/>
              </w:rPr>
            </w:pPr>
            <w:r>
              <w:rPr>
                <w:rFonts w:ascii="Times New Roman" w:eastAsia="宋体"/>
                <w:color w:val="000000"/>
                <w:sz w:val="21"/>
                <w:szCs w:val="21"/>
              </w:rPr>
              <w:t>人口数（城市选项时）</w:t>
            </w:r>
          </w:p>
        </w:tc>
        <w:tc>
          <w:tcPr>
            <w:tcW w:w="1666" w:type="pct"/>
            <w:vAlign w:val="center"/>
          </w:tcPr>
          <w:p w14:paraId="7C763C85">
            <w:pPr>
              <w:spacing w:line="300" w:lineRule="exact"/>
              <w:jc w:val="center"/>
              <w:rPr>
                <w:rFonts w:ascii="Times New Roman" w:eastAsia="宋体"/>
                <w:color w:val="000000"/>
                <w:sz w:val="21"/>
                <w:szCs w:val="21"/>
              </w:rPr>
            </w:pPr>
            <w:r>
              <w:rPr>
                <w:rFonts w:hint="eastAsia" w:ascii="Times New Roman" w:eastAsia="宋体"/>
                <w:color w:val="000000"/>
                <w:sz w:val="21"/>
                <w:szCs w:val="21"/>
              </w:rPr>
              <w:t>/</w:t>
            </w:r>
          </w:p>
        </w:tc>
      </w:tr>
      <w:tr w14:paraId="0FDF8C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33" w:type="dxa"/>
            <w:left w:w="132" w:type="dxa"/>
            <w:bottom w:w="0" w:type="dxa"/>
            <w:right w:w="115" w:type="dxa"/>
          </w:tblCellMar>
        </w:tblPrEx>
        <w:trPr>
          <w:trHeight w:val="397" w:hRule="atLeast"/>
          <w:jc w:val="center"/>
        </w:trPr>
        <w:tc>
          <w:tcPr>
            <w:tcW w:w="3334" w:type="pct"/>
            <w:gridSpan w:val="2"/>
            <w:vAlign w:val="center"/>
          </w:tcPr>
          <w:p w14:paraId="6B5B9F5F">
            <w:pPr>
              <w:spacing w:line="300" w:lineRule="exact"/>
              <w:jc w:val="center"/>
              <w:rPr>
                <w:rFonts w:ascii="Times New Roman" w:eastAsia="宋体"/>
                <w:color w:val="000000"/>
                <w:sz w:val="21"/>
                <w:szCs w:val="21"/>
              </w:rPr>
            </w:pPr>
            <w:r>
              <w:rPr>
                <w:rFonts w:ascii="Times New Roman" w:eastAsia="宋体"/>
                <w:color w:val="000000"/>
                <w:sz w:val="21"/>
                <w:szCs w:val="21"/>
              </w:rPr>
              <w:t>最高环境温度（℃）</w:t>
            </w:r>
          </w:p>
        </w:tc>
        <w:tc>
          <w:tcPr>
            <w:tcW w:w="1666" w:type="pct"/>
            <w:vAlign w:val="center"/>
          </w:tcPr>
          <w:p w14:paraId="4F91BD5B">
            <w:pPr>
              <w:spacing w:line="300" w:lineRule="exact"/>
              <w:jc w:val="center"/>
              <w:rPr>
                <w:rFonts w:ascii="Times New Roman" w:eastAsia="宋体"/>
                <w:color w:val="000000"/>
                <w:sz w:val="21"/>
                <w:szCs w:val="21"/>
              </w:rPr>
            </w:pPr>
            <w:r>
              <w:rPr>
                <w:rFonts w:ascii="Times New Roman" w:eastAsia="宋体"/>
                <w:color w:val="000000"/>
                <w:sz w:val="21"/>
                <w:szCs w:val="21"/>
              </w:rPr>
              <w:t>40.0</w:t>
            </w:r>
          </w:p>
        </w:tc>
      </w:tr>
      <w:tr w14:paraId="49E681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33" w:type="dxa"/>
            <w:left w:w="132" w:type="dxa"/>
            <w:bottom w:w="0" w:type="dxa"/>
            <w:right w:w="115" w:type="dxa"/>
          </w:tblCellMar>
        </w:tblPrEx>
        <w:trPr>
          <w:trHeight w:val="397" w:hRule="atLeast"/>
          <w:jc w:val="center"/>
        </w:trPr>
        <w:tc>
          <w:tcPr>
            <w:tcW w:w="3334" w:type="pct"/>
            <w:gridSpan w:val="2"/>
            <w:vAlign w:val="center"/>
          </w:tcPr>
          <w:p w14:paraId="69382C74">
            <w:pPr>
              <w:spacing w:line="300" w:lineRule="exact"/>
              <w:jc w:val="center"/>
              <w:rPr>
                <w:rFonts w:ascii="Times New Roman" w:eastAsia="宋体"/>
                <w:color w:val="000000"/>
                <w:sz w:val="21"/>
                <w:szCs w:val="21"/>
              </w:rPr>
            </w:pPr>
            <w:r>
              <w:rPr>
                <w:rFonts w:ascii="Times New Roman" w:eastAsia="宋体"/>
                <w:color w:val="000000"/>
                <w:sz w:val="21"/>
                <w:szCs w:val="21"/>
              </w:rPr>
              <w:t>最低环境温度（℃）</w:t>
            </w:r>
          </w:p>
        </w:tc>
        <w:tc>
          <w:tcPr>
            <w:tcW w:w="1666" w:type="pct"/>
            <w:vAlign w:val="center"/>
          </w:tcPr>
          <w:p w14:paraId="3508FBCF">
            <w:pPr>
              <w:spacing w:line="300" w:lineRule="exact"/>
              <w:jc w:val="center"/>
              <w:rPr>
                <w:rFonts w:ascii="Times New Roman" w:eastAsia="宋体"/>
                <w:color w:val="000000"/>
                <w:sz w:val="21"/>
                <w:szCs w:val="21"/>
              </w:rPr>
            </w:pPr>
            <w:r>
              <w:rPr>
                <w:rFonts w:ascii="Times New Roman" w:eastAsia="宋体"/>
                <w:color w:val="000000"/>
                <w:sz w:val="21"/>
                <w:szCs w:val="21"/>
              </w:rPr>
              <w:t>-23.4</w:t>
            </w:r>
          </w:p>
        </w:tc>
      </w:tr>
      <w:tr w14:paraId="252B24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33" w:type="dxa"/>
            <w:left w:w="132" w:type="dxa"/>
            <w:bottom w:w="0" w:type="dxa"/>
            <w:right w:w="115" w:type="dxa"/>
          </w:tblCellMar>
        </w:tblPrEx>
        <w:trPr>
          <w:trHeight w:val="397" w:hRule="atLeast"/>
          <w:jc w:val="center"/>
        </w:trPr>
        <w:tc>
          <w:tcPr>
            <w:tcW w:w="3334" w:type="pct"/>
            <w:gridSpan w:val="2"/>
            <w:vAlign w:val="center"/>
          </w:tcPr>
          <w:p w14:paraId="2E229F91">
            <w:pPr>
              <w:spacing w:line="300" w:lineRule="exact"/>
              <w:jc w:val="center"/>
              <w:rPr>
                <w:rFonts w:ascii="Times New Roman" w:eastAsia="宋体"/>
                <w:color w:val="000000"/>
                <w:sz w:val="21"/>
                <w:szCs w:val="21"/>
              </w:rPr>
            </w:pPr>
            <w:r>
              <w:rPr>
                <w:rFonts w:ascii="Times New Roman" w:eastAsia="宋体"/>
                <w:color w:val="000000"/>
                <w:sz w:val="21"/>
                <w:szCs w:val="21"/>
              </w:rPr>
              <w:t>土地利用类型</w:t>
            </w:r>
          </w:p>
        </w:tc>
        <w:tc>
          <w:tcPr>
            <w:tcW w:w="1666" w:type="pct"/>
            <w:vAlign w:val="center"/>
          </w:tcPr>
          <w:p w14:paraId="72B7BB6D">
            <w:pPr>
              <w:spacing w:line="300" w:lineRule="exact"/>
              <w:jc w:val="center"/>
              <w:rPr>
                <w:rFonts w:ascii="Times New Roman" w:eastAsia="宋体"/>
                <w:color w:val="000000"/>
                <w:sz w:val="21"/>
                <w:szCs w:val="21"/>
              </w:rPr>
            </w:pPr>
            <w:r>
              <w:rPr>
                <w:rFonts w:hint="eastAsia" w:ascii="Times New Roman" w:eastAsia="宋体"/>
                <w:color w:val="000000"/>
                <w:sz w:val="21"/>
                <w:szCs w:val="21"/>
              </w:rPr>
              <w:t>农作地</w:t>
            </w:r>
          </w:p>
        </w:tc>
      </w:tr>
      <w:tr w14:paraId="12F43D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33" w:type="dxa"/>
            <w:left w:w="132" w:type="dxa"/>
            <w:bottom w:w="0" w:type="dxa"/>
            <w:right w:w="115" w:type="dxa"/>
          </w:tblCellMar>
        </w:tblPrEx>
        <w:trPr>
          <w:trHeight w:val="397" w:hRule="atLeast"/>
          <w:jc w:val="center"/>
        </w:trPr>
        <w:tc>
          <w:tcPr>
            <w:tcW w:w="3334" w:type="pct"/>
            <w:gridSpan w:val="2"/>
            <w:vAlign w:val="center"/>
          </w:tcPr>
          <w:p w14:paraId="01D80D9E">
            <w:pPr>
              <w:spacing w:line="300" w:lineRule="exact"/>
              <w:jc w:val="center"/>
              <w:rPr>
                <w:rFonts w:ascii="Times New Roman" w:eastAsia="宋体"/>
                <w:color w:val="000000"/>
                <w:sz w:val="21"/>
                <w:szCs w:val="21"/>
              </w:rPr>
            </w:pPr>
            <w:r>
              <w:rPr>
                <w:rFonts w:ascii="Times New Roman" w:eastAsia="宋体"/>
                <w:color w:val="000000"/>
                <w:sz w:val="21"/>
                <w:szCs w:val="21"/>
              </w:rPr>
              <w:t>区域湿度条件</w:t>
            </w:r>
          </w:p>
        </w:tc>
        <w:tc>
          <w:tcPr>
            <w:tcW w:w="1666" w:type="pct"/>
            <w:vAlign w:val="center"/>
          </w:tcPr>
          <w:p w14:paraId="27CED600">
            <w:pPr>
              <w:spacing w:line="300" w:lineRule="exact"/>
              <w:jc w:val="center"/>
              <w:rPr>
                <w:rFonts w:ascii="Times New Roman" w:eastAsia="宋体"/>
                <w:color w:val="000000"/>
                <w:sz w:val="21"/>
                <w:szCs w:val="21"/>
              </w:rPr>
            </w:pPr>
            <w:r>
              <w:rPr>
                <w:rFonts w:ascii="Times New Roman" w:eastAsia="宋体"/>
                <w:bCs/>
                <w:color w:val="000000"/>
                <w:sz w:val="21"/>
                <w:szCs w:val="21"/>
                <w:lang w:val="zh-CN"/>
              </w:rPr>
              <w:t>中等湿度气候</w:t>
            </w:r>
          </w:p>
        </w:tc>
      </w:tr>
      <w:tr w14:paraId="7111A8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33" w:type="dxa"/>
            <w:left w:w="132" w:type="dxa"/>
            <w:bottom w:w="0" w:type="dxa"/>
            <w:right w:w="115" w:type="dxa"/>
          </w:tblCellMar>
        </w:tblPrEx>
        <w:trPr>
          <w:trHeight w:val="397" w:hRule="atLeast"/>
          <w:jc w:val="center"/>
        </w:trPr>
        <w:tc>
          <w:tcPr>
            <w:tcW w:w="1666" w:type="pct"/>
            <w:vMerge w:val="restart"/>
            <w:vAlign w:val="center"/>
          </w:tcPr>
          <w:p w14:paraId="0B483E64">
            <w:pPr>
              <w:spacing w:line="300" w:lineRule="exact"/>
              <w:jc w:val="center"/>
              <w:rPr>
                <w:rFonts w:ascii="Times New Roman" w:eastAsia="宋体"/>
                <w:color w:val="000000"/>
                <w:sz w:val="21"/>
                <w:szCs w:val="21"/>
              </w:rPr>
            </w:pPr>
            <w:r>
              <w:rPr>
                <w:rFonts w:ascii="Times New Roman" w:eastAsia="宋体"/>
                <w:color w:val="000000"/>
                <w:sz w:val="21"/>
                <w:szCs w:val="21"/>
              </w:rPr>
              <w:t>是否考虑地形</w:t>
            </w:r>
          </w:p>
        </w:tc>
        <w:tc>
          <w:tcPr>
            <w:tcW w:w="1668" w:type="pct"/>
            <w:vAlign w:val="center"/>
          </w:tcPr>
          <w:p w14:paraId="3C4B0BFF">
            <w:pPr>
              <w:spacing w:line="300" w:lineRule="exact"/>
              <w:jc w:val="center"/>
              <w:rPr>
                <w:rFonts w:ascii="Times New Roman" w:eastAsia="宋体"/>
                <w:color w:val="000000"/>
                <w:sz w:val="21"/>
                <w:szCs w:val="21"/>
              </w:rPr>
            </w:pPr>
            <w:r>
              <w:rPr>
                <w:rFonts w:ascii="Times New Roman" w:eastAsia="宋体"/>
                <w:color w:val="000000"/>
                <w:sz w:val="21"/>
                <w:szCs w:val="21"/>
              </w:rPr>
              <w:t>考虑地形</w:t>
            </w:r>
          </w:p>
        </w:tc>
        <w:tc>
          <w:tcPr>
            <w:tcW w:w="1666" w:type="pct"/>
            <w:vAlign w:val="center"/>
          </w:tcPr>
          <w:p w14:paraId="44964A89">
            <w:pPr>
              <w:spacing w:line="300" w:lineRule="exact"/>
              <w:jc w:val="center"/>
              <w:rPr>
                <w:rFonts w:ascii="Times New Roman" w:eastAsia="宋体"/>
                <w:color w:val="000000"/>
                <w:sz w:val="21"/>
                <w:szCs w:val="21"/>
              </w:rPr>
            </w:pPr>
            <w:r>
              <w:rPr>
                <w:rFonts w:ascii="Times New Roman" w:eastAsia="宋体"/>
                <w:color w:val="000000"/>
                <w:sz w:val="21"/>
                <w:szCs w:val="21"/>
              </w:rPr>
              <w:t>是</w:t>
            </w:r>
          </w:p>
        </w:tc>
      </w:tr>
      <w:tr w14:paraId="27143B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33" w:type="dxa"/>
            <w:left w:w="132" w:type="dxa"/>
            <w:bottom w:w="0" w:type="dxa"/>
            <w:right w:w="115" w:type="dxa"/>
          </w:tblCellMar>
        </w:tblPrEx>
        <w:trPr>
          <w:trHeight w:val="397" w:hRule="atLeast"/>
          <w:jc w:val="center"/>
        </w:trPr>
        <w:tc>
          <w:tcPr>
            <w:tcW w:w="1666" w:type="pct"/>
            <w:vMerge w:val="continue"/>
            <w:vAlign w:val="center"/>
          </w:tcPr>
          <w:p w14:paraId="1677F1E3">
            <w:pPr>
              <w:spacing w:line="300" w:lineRule="exact"/>
              <w:jc w:val="center"/>
              <w:rPr>
                <w:rFonts w:ascii="Times New Roman" w:eastAsia="宋体"/>
                <w:color w:val="000000"/>
                <w:sz w:val="21"/>
                <w:szCs w:val="21"/>
              </w:rPr>
            </w:pPr>
          </w:p>
        </w:tc>
        <w:tc>
          <w:tcPr>
            <w:tcW w:w="1668" w:type="pct"/>
            <w:vAlign w:val="center"/>
          </w:tcPr>
          <w:p w14:paraId="7E10F0EE">
            <w:pPr>
              <w:spacing w:line="300" w:lineRule="exact"/>
              <w:jc w:val="center"/>
              <w:rPr>
                <w:rFonts w:ascii="Times New Roman" w:eastAsia="宋体"/>
                <w:color w:val="000000"/>
                <w:sz w:val="21"/>
                <w:szCs w:val="21"/>
              </w:rPr>
            </w:pPr>
            <w:r>
              <w:rPr>
                <w:rFonts w:ascii="Times New Roman" w:eastAsia="宋体"/>
                <w:color w:val="000000"/>
                <w:sz w:val="21"/>
                <w:szCs w:val="21"/>
              </w:rPr>
              <w:t>地形数据分辨率（m）</w:t>
            </w:r>
          </w:p>
        </w:tc>
        <w:tc>
          <w:tcPr>
            <w:tcW w:w="1666" w:type="pct"/>
            <w:vAlign w:val="center"/>
          </w:tcPr>
          <w:p w14:paraId="6792E0F3">
            <w:pPr>
              <w:spacing w:line="300" w:lineRule="exact"/>
              <w:jc w:val="center"/>
              <w:rPr>
                <w:rFonts w:ascii="Times New Roman" w:eastAsia="宋体"/>
                <w:color w:val="000000"/>
                <w:sz w:val="21"/>
                <w:szCs w:val="21"/>
              </w:rPr>
            </w:pPr>
            <w:r>
              <w:rPr>
                <w:rFonts w:ascii="Times New Roman" w:eastAsia="宋体"/>
                <w:color w:val="000000"/>
                <w:sz w:val="21"/>
                <w:szCs w:val="21"/>
              </w:rPr>
              <w:t>/</w:t>
            </w:r>
          </w:p>
        </w:tc>
      </w:tr>
      <w:tr w14:paraId="20094E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33" w:type="dxa"/>
            <w:left w:w="132" w:type="dxa"/>
            <w:bottom w:w="0" w:type="dxa"/>
            <w:right w:w="115" w:type="dxa"/>
          </w:tblCellMar>
        </w:tblPrEx>
        <w:trPr>
          <w:trHeight w:val="397" w:hRule="atLeast"/>
          <w:jc w:val="center"/>
        </w:trPr>
        <w:tc>
          <w:tcPr>
            <w:tcW w:w="1666" w:type="pct"/>
            <w:vMerge w:val="restart"/>
            <w:vAlign w:val="center"/>
          </w:tcPr>
          <w:p w14:paraId="70E9440F">
            <w:pPr>
              <w:spacing w:line="300" w:lineRule="exact"/>
              <w:jc w:val="center"/>
              <w:rPr>
                <w:rFonts w:ascii="Times New Roman" w:eastAsia="宋体"/>
                <w:color w:val="000000"/>
                <w:sz w:val="21"/>
                <w:szCs w:val="21"/>
              </w:rPr>
            </w:pPr>
            <w:r>
              <w:rPr>
                <w:rFonts w:ascii="Times New Roman" w:eastAsia="宋体"/>
                <w:color w:val="000000"/>
                <w:sz w:val="21"/>
                <w:szCs w:val="21"/>
              </w:rPr>
              <w:t>是否考虑岸线熏烟</w:t>
            </w:r>
          </w:p>
        </w:tc>
        <w:tc>
          <w:tcPr>
            <w:tcW w:w="1668" w:type="pct"/>
            <w:vAlign w:val="center"/>
          </w:tcPr>
          <w:p w14:paraId="59CAC2E7">
            <w:pPr>
              <w:spacing w:line="300" w:lineRule="exact"/>
              <w:jc w:val="center"/>
              <w:rPr>
                <w:rFonts w:ascii="Times New Roman" w:eastAsia="宋体"/>
                <w:color w:val="000000"/>
                <w:sz w:val="21"/>
                <w:szCs w:val="21"/>
              </w:rPr>
            </w:pPr>
            <w:r>
              <w:rPr>
                <w:rFonts w:ascii="Times New Roman" w:eastAsia="宋体"/>
                <w:color w:val="000000"/>
                <w:sz w:val="21"/>
                <w:szCs w:val="21"/>
              </w:rPr>
              <w:t>考虑岸线熏烟</w:t>
            </w:r>
          </w:p>
        </w:tc>
        <w:tc>
          <w:tcPr>
            <w:tcW w:w="1666" w:type="pct"/>
            <w:vAlign w:val="center"/>
          </w:tcPr>
          <w:p w14:paraId="31F146A3">
            <w:pPr>
              <w:spacing w:line="300" w:lineRule="exact"/>
              <w:jc w:val="center"/>
              <w:rPr>
                <w:rFonts w:ascii="Times New Roman" w:eastAsia="宋体"/>
                <w:color w:val="000000"/>
                <w:sz w:val="21"/>
                <w:szCs w:val="21"/>
              </w:rPr>
            </w:pPr>
            <w:r>
              <w:rPr>
                <w:rFonts w:ascii="Times New Roman" w:eastAsia="宋体"/>
                <w:color w:val="000000"/>
                <w:sz w:val="21"/>
                <w:szCs w:val="21"/>
              </w:rPr>
              <w:t>不考虑（本项目 3km 范围内无海和湖）</w:t>
            </w:r>
          </w:p>
        </w:tc>
      </w:tr>
      <w:tr w14:paraId="4EB8F3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33" w:type="dxa"/>
            <w:left w:w="132" w:type="dxa"/>
            <w:bottom w:w="0" w:type="dxa"/>
            <w:right w:w="115" w:type="dxa"/>
          </w:tblCellMar>
        </w:tblPrEx>
        <w:trPr>
          <w:trHeight w:val="397" w:hRule="atLeast"/>
          <w:jc w:val="center"/>
        </w:trPr>
        <w:tc>
          <w:tcPr>
            <w:tcW w:w="1666" w:type="pct"/>
            <w:vMerge w:val="continue"/>
            <w:vAlign w:val="center"/>
          </w:tcPr>
          <w:p w14:paraId="75FE5906">
            <w:pPr>
              <w:spacing w:line="300" w:lineRule="exact"/>
              <w:jc w:val="center"/>
              <w:rPr>
                <w:rFonts w:ascii="Times New Roman" w:eastAsia="宋体"/>
                <w:color w:val="000000"/>
                <w:sz w:val="21"/>
                <w:szCs w:val="21"/>
              </w:rPr>
            </w:pPr>
          </w:p>
        </w:tc>
        <w:tc>
          <w:tcPr>
            <w:tcW w:w="1668" w:type="pct"/>
            <w:vAlign w:val="center"/>
          </w:tcPr>
          <w:p w14:paraId="71FC3F06">
            <w:pPr>
              <w:spacing w:line="300" w:lineRule="exact"/>
              <w:jc w:val="center"/>
              <w:rPr>
                <w:rFonts w:ascii="Times New Roman" w:eastAsia="宋体"/>
                <w:color w:val="000000"/>
                <w:sz w:val="21"/>
                <w:szCs w:val="21"/>
              </w:rPr>
            </w:pPr>
            <w:r>
              <w:rPr>
                <w:rFonts w:ascii="Times New Roman" w:eastAsia="宋体"/>
                <w:color w:val="000000"/>
                <w:sz w:val="21"/>
                <w:szCs w:val="21"/>
              </w:rPr>
              <w:t>岸线距离（km）</w:t>
            </w:r>
          </w:p>
        </w:tc>
        <w:tc>
          <w:tcPr>
            <w:tcW w:w="1666" w:type="pct"/>
            <w:vAlign w:val="center"/>
          </w:tcPr>
          <w:p w14:paraId="4FE9547B">
            <w:pPr>
              <w:spacing w:line="300" w:lineRule="exact"/>
              <w:jc w:val="center"/>
              <w:rPr>
                <w:rFonts w:ascii="Times New Roman" w:eastAsia="宋体"/>
                <w:color w:val="000000"/>
                <w:sz w:val="21"/>
                <w:szCs w:val="21"/>
              </w:rPr>
            </w:pPr>
            <w:r>
              <w:rPr>
                <w:rFonts w:ascii="Times New Roman" w:eastAsia="宋体"/>
                <w:color w:val="000000"/>
                <w:sz w:val="21"/>
                <w:szCs w:val="21"/>
              </w:rPr>
              <w:t>/</w:t>
            </w:r>
          </w:p>
        </w:tc>
      </w:tr>
      <w:tr w14:paraId="67046B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33" w:type="dxa"/>
            <w:left w:w="132" w:type="dxa"/>
            <w:bottom w:w="0" w:type="dxa"/>
            <w:right w:w="115" w:type="dxa"/>
          </w:tblCellMar>
        </w:tblPrEx>
        <w:trPr>
          <w:trHeight w:val="397" w:hRule="atLeast"/>
          <w:jc w:val="center"/>
        </w:trPr>
        <w:tc>
          <w:tcPr>
            <w:tcW w:w="1666" w:type="pct"/>
            <w:vMerge w:val="continue"/>
            <w:vAlign w:val="center"/>
          </w:tcPr>
          <w:p w14:paraId="48B98188">
            <w:pPr>
              <w:spacing w:line="300" w:lineRule="exact"/>
              <w:jc w:val="center"/>
              <w:rPr>
                <w:rFonts w:ascii="Times New Roman" w:eastAsia="宋体"/>
                <w:color w:val="000000"/>
                <w:sz w:val="21"/>
                <w:szCs w:val="21"/>
              </w:rPr>
            </w:pPr>
          </w:p>
        </w:tc>
        <w:tc>
          <w:tcPr>
            <w:tcW w:w="1668" w:type="pct"/>
            <w:vAlign w:val="center"/>
          </w:tcPr>
          <w:p w14:paraId="7BB24551">
            <w:pPr>
              <w:spacing w:line="300" w:lineRule="exact"/>
              <w:jc w:val="center"/>
              <w:rPr>
                <w:rFonts w:ascii="Times New Roman" w:eastAsia="宋体"/>
                <w:color w:val="000000"/>
                <w:sz w:val="21"/>
                <w:szCs w:val="21"/>
              </w:rPr>
            </w:pPr>
            <w:r>
              <w:rPr>
                <w:rFonts w:ascii="Times New Roman" w:eastAsia="宋体"/>
                <w:color w:val="000000"/>
                <w:sz w:val="21"/>
                <w:szCs w:val="21"/>
              </w:rPr>
              <w:t>岸线方向（º）</w:t>
            </w:r>
          </w:p>
        </w:tc>
        <w:tc>
          <w:tcPr>
            <w:tcW w:w="1666" w:type="pct"/>
            <w:vAlign w:val="center"/>
          </w:tcPr>
          <w:p w14:paraId="0CF981FC">
            <w:pPr>
              <w:spacing w:line="300" w:lineRule="exact"/>
              <w:jc w:val="center"/>
              <w:rPr>
                <w:rFonts w:ascii="Times New Roman" w:eastAsia="宋体"/>
                <w:color w:val="000000"/>
                <w:sz w:val="21"/>
                <w:szCs w:val="21"/>
              </w:rPr>
            </w:pPr>
            <w:r>
              <w:rPr>
                <w:rFonts w:ascii="Times New Roman" w:eastAsia="宋体"/>
                <w:color w:val="000000"/>
                <w:sz w:val="21"/>
                <w:szCs w:val="21"/>
              </w:rPr>
              <w:t>/</w:t>
            </w:r>
          </w:p>
        </w:tc>
      </w:tr>
    </w:tbl>
    <w:p w14:paraId="1A873464">
      <w:pPr>
        <w:adjustRightInd w:val="0"/>
        <w:snapToGrid w:val="0"/>
        <w:spacing w:line="480" w:lineRule="exact"/>
        <w:ind w:firstLine="480" w:firstLineChars="200"/>
        <w:rPr>
          <w:rFonts w:hAnsi="宋体"/>
          <w:szCs w:val="24"/>
        </w:rPr>
      </w:pPr>
      <w:r>
        <w:rPr>
          <w:rFonts w:hint="eastAsia" w:hAnsi="宋体"/>
          <w:szCs w:val="24"/>
        </w:rPr>
        <w:t>（3）评价等级判定</w:t>
      </w:r>
    </w:p>
    <w:p w14:paraId="6BDFFB42">
      <w:pPr>
        <w:tabs>
          <w:tab w:val="left" w:pos="0"/>
        </w:tabs>
        <w:adjustRightInd w:val="0"/>
        <w:snapToGrid w:val="0"/>
        <w:spacing w:line="480" w:lineRule="exact"/>
        <w:ind w:firstLine="480"/>
        <w:rPr>
          <w:rFonts w:ascii="Times New Roman"/>
          <w:color w:val="000000"/>
          <w:szCs w:val="24"/>
        </w:rPr>
      </w:pPr>
      <w:r>
        <w:rPr>
          <w:rFonts w:ascii="Times New Roman"/>
          <w:color w:val="000000"/>
          <w:szCs w:val="24"/>
        </w:rPr>
        <w:t>根据《环境影响评价技术导则大气环境》（HJ2.2-2018），采用推荐模式中的估算模型AERSCREEN对污染物的最大地面占标率Pi（第i个污染物）及第i个污染物的地面浓度达标准限值10%时所对应的最远距离D10%进行计算。其中Pi定为：</w:t>
      </w:r>
    </w:p>
    <w:p w14:paraId="7B04A631">
      <w:pPr>
        <w:tabs>
          <w:tab w:val="left" w:pos="0"/>
        </w:tabs>
        <w:adjustRightInd w:val="0"/>
        <w:snapToGrid w:val="0"/>
        <w:spacing w:line="240" w:lineRule="auto"/>
        <w:jc w:val="center"/>
        <w:rPr>
          <w:rFonts w:ascii="Times New Roman"/>
          <w:color w:val="000000"/>
          <w:sz w:val="28"/>
          <w:szCs w:val="28"/>
        </w:rPr>
      </w:pPr>
      <w:r>
        <w:rPr>
          <w:rFonts w:ascii="Times New Roman"/>
          <w:color w:val="000000"/>
          <w:sz w:val="28"/>
          <w:szCs w:val="28"/>
        </w:rPr>
        <w:drawing>
          <wp:inline distT="0" distB="0" distL="114300" distR="114300">
            <wp:extent cx="1009650" cy="457200"/>
            <wp:effectExtent l="0" t="0" r="0" b="0"/>
            <wp:docPr id="1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6"/>
                    <pic:cNvPicPr>
                      <a:picLocks noChangeAspect="1"/>
                    </pic:cNvPicPr>
                  </pic:nvPicPr>
                  <pic:blipFill>
                    <a:blip r:embed="rId41"/>
                    <a:stretch>
                      <a:fillRect/>
                    </a:stretch>
                  </pic:blipFill>
                  <pic:spPr>
                    <a:xfrm>
                      <a:off x="0" y="0"/>
                      <a:ext cx="1009650" cy="457200"/>
                    </a:xfrm>
                    <a:prstGeom prst="rect">
                      <a:avLst/>
                    </a:prstGeom>
                    <a:noFill/>
                    <a:ln>
                      <a:noFill/>
                    </a:ln>
                  </pic:spPr>
                </pic:pic>
              </a:graphicData>
            </a:graphic>
          </wp:inline>
        </w:drawing>
      </w:r>
    </w:p>
    <w:p w14:paraId="727E67D5">
      <w:pPr>
        <w:tabs>
          <w:tab w:val="left" w:pos="0"/>
        </w:tabs>
        <w:adjustRightInd w:val="0"/>
        <w:spacing w:line="480" w:lineRule="exact"/>
        <w:ind w:firstLine="480"/>
        <w:rPr>
          <w:rFonts w:ascii="Times New Roman"/>
          <w:color w:val="000000"/>
          <w:szCs w:val="24"/>
        </w:rPr>
      </w:pPr>
      <w:r>
        <w:rPr>
          <w:rFonts w:ascii="Times New Roman"/>
          <w:color w:val="000000"/>
          <w:szCs w:val="24"/>
        </w:rPr>
        <w:t>式中：Pi—第i个污染物的最大地面空气质量浓度占标率，%；</w:t>
      </w:r>
    </w:p>
    <w:p w14:paraId="4136C8E5">
      <w:pPr>
        <w:tabs>
          <w:tab w:val="left" w:pos="0"/>
        </w:tabs>
        <w:adjustRightInd w:val="0"/>
        <w:spacing w:line="480" w:lineRule="exact"/>
        <w:ind w:firstLine="480"/>
        <w:rPr>
          <w:rFonts w:ascii="Times New Roman"/>
          <w:color w:val="000000"/>
          <w:szCs w:val="24"/>
        </w:rPr>
      </w:pPr>
      <w:r>
        <w:rPr>
          <w:rFonts w:ascii="Times New Roman"/>
          <w:color w:val="000000"/>
          <w:szCs w:val="24"/>
        </w:rPr>
        <w:t>ci—采用估算模型计算的第i个污染物最大1h地面空气质量浓度，μg/m</w:t>
      </w:r>
      <w:r>
        <w:rPr>
          <w:rFonts w:ascii="Times New Roman"/>
          <w:color w:val="000000"/>
          <w:szCs w:val="24"/>
          <w:vertAlign w:val="superscript"/>
        </w:rPr>
        <w:t>3</w:t>
      </w:r>
      <w:r>
        <w:rPr>
          <w:rFonts w:ascii="Times New Roman"/>
          <w:color w:val="000000"/>
          <w:szCs w:val="24"/>
        </w:rPr>
        <w:t>；</w:t>
      </w:r>
    </w:p>
    <w:p w14:paraId="43BA8E20">
      <w:pPr>
        <w:tabs>
          <w:tab w:val="left" w:pos="0"/>
        </w:tabs>
        <w:adjustRightInd w:val="0"/>
        <w:spacing w:line="480" w:lineRule="exact"/>
        <w:ind w:firstLine="480"/>
        <w:rPr>
          <w:rFonts w:ascii="Times New Roman"/>
          <w:color w:val="000000"/>
          <w:szCs w:val="24"/>
        </w:rPr>
      </w:pPr>
      <w:r>
        <w:rPr>
          <w:rFonts w:ascii="Times New Roman"/>
          <w:color w:val="000000"/>
          <w:szCs w:val="24"/>
        </w:rPr>
        <w:t>c0i—第i个污染物的环境空气质量标准，μg/m</w:t>
      </w:r>
      <w:r>
        <w:rPr>
          <w:rFonts w:ascii="Times New Roman"/>
          <w:color w:val="000000"/>
          <w:szCs w:val="24"/>
          <w:vertAlign w:val="superscript"/>
        </w:rPr>
        <w:t>3</w:t>
      </w:r>
      <w:r>
        <w:rPr>
          <w:rFonts w:ascii="Times New Roman"/>
          <w:color w:val="000000"/>
          <w:szCs w:val="24"/>
        </w:rPr>
        <w:t>。</w:t>
      </w:r>
    </w:p>
    <w:p w14:paraId="4BC3648C">
      <w:pPr>
        <w:tabs>
          <w:tab w:val="left" w:pos="0"/>
        </w:tabs>
        <w:adjustRightInd w:val="0"/>
        <w:spacing w:line="480" w:lineRule="exact"/>
        <w:ind w:firstLine="480"/>
        <w:rPr>
          <w:rFonts w:ascii="Times New Roman"/>
          <w:color w:val="000000"/>
          <w:szCs w:val="24"/>
        </w:rPr>
      </w:pPr>
      <w:r>
        <w:rPr>
          <w:rFonts w:ascii="Times New Roman"/>
          <w:color w:val="000000"/>
          <w:szCs w:val="24"/>
        </w:rPr>
        <w:t>大气评价工作等级判定表如表5.</w:t>
      </w:r>
      <w:r>
        <w:rPr>
          <w:rFonts w:hint="eastAsia" w:ascii="Times New Roman"/>
          <w:color w:val="000000"/>
          <w:szCs w:val="24"/>
        </w:rPr>
        <w:t>2-5</w:t>
      </w:r>
      <w:r>
        <w:rPr>
          <w:rFonts w:ascii="Times New Roman"/>
          <w:color w:val="000000"/>
          <w:szCs w:val="24"/>
        </w:rPr>
        <w:t>所示。</w:t>
      </w:r>
    </w:p>
    <w:p w14:paraId="16B9D394">
      <w:pPr>
        <w:spacing w:line="480" w:lineRule="exact"/>
        <w:ind w:firstLine="482"/>
        <w:jc w:val="center"/>
        <w:rPr>
          <w:rFonts w:ascii="Times New Roman"/>
          <w:b/>
          <w:color w:val="000000"/>
          <w:szCs w:val="24"/>
        </w:rPr>
      </w:pPr>
      <w:r>
        <w:rPr>
          <w:rFonts w:ascii="Times New Roman"/>
          <w:b/>
          <w:color w:val="000000"/>
          <w:szCs w:val="24"/>
        </w:rPr>
        <w:t>表5.</w:t>
      </w:r>
      <w:r>
        <w:rPr>
          <w:rFonts w:hint="eastAsia" w:ascii="Times New Roman"/>
          <w:b/>
          <w:color w:val="000000"/>
          <w:szCs w:val="24"/>
        </w:rPr>
        <w:t>2-5</w:t>
      </w:r>
      <w:r>
        <w:rPr>
          <w:rFonts w:ascii="Times New Roman"/>
          <w:b/>
          <w:color w:val="000000"/>
          <w:szCs w:val="24"/>
        </w:rPr>
        <w:t>大气环境评价工作等级判别表</w:t>
      </w:r>
    </w:p>
    <w:tbl>
      <w:tblPr>
        <w:tblStyle w:val="41"/>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764"/>
        <w:gridCol w:w="6362"/>
      </w:tblGrid>
      <w:tr w14:paraId="5FFBBD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14" w:type="pct"/>
            <w:tcBorders>
              <w:top w:val="single" w:color="auto" w:sz="12" w:space="0"/>
              <w:left w:val="nil"/>
              <w:bottom w:val="single" w:color="auto" w:sz="4" w:space="0"/>
            </w:tcBorders>
            <w:vAlign w:val="center"/>
          </w:tcPr>
          <w:p w14:paraId="6DFE5523">
            <w:pPr>
              <w:adjustRightInd w:val="0"/>
              <w:snapToGrid w:val="0"/>
              <w:spacing w:line="300" w:lineRule="exact"/>
              <w:jc w:val="center"/>
              <w:textAlignment w:val="baseline"/>
              <w:rPr>
                <w:rFonts w:ascii="Times New Roman" w:eastAsia="宋体"/>
                <w:color w:val="000000"/>
                <w:sz w:val="21"/>
                <w:szCs w:val="21"/>
              </w:rPr>
            </w:pPr>
            <w:r>
              <w:rPr>
                <w:rFonts w:ascii="Times New Roman" w:eastAsia="宋体"/>
                <w:color w:val="000000"/>
                <w:sz w:val="21"/>
                <w:szCs w:val="21"/>
              </w:rPr>
              <w:t>评价工作等级</w:t>
            </w:r>
          </w:p>
        </w:tc>
        <w:tc>
          <w:tcPr>
            <w:tcW w:w="3485" w:type="pct"/>
            <w:tcBorders>
              <w:top w:val="single" w:color="auto" w:sz="12" w:space="0"/>
              <w:bottom w:val="single" w:color="auto" w:sz="4" w:space="0"/>
              <w:right w:val="nil"/>
            </w:tcBorders>
            <w:vAlign w:val="center"/>
          </w:tcPr>
          <w:p w14:paraId="412B3B25">
            <w:pPr>
              <w:adjustRightInd w:val="0"/>
              <w:snapToGrid w:val="0"/>
              <w:spacing w:line="300" w:lineRule="exact"/>
              <w:jc w:val="center"/>
              <w:textAlignment w:val="baseline"/>
              <w:rPr>
                <w:rFonts w:ascii="Times New Roman" w:eastAsia="宋体"/>
                <w:color w:val="000000"/>
                <w:sz w:val="21"/>
                <w:szCs w:val="21"/>
              </w:rPr>
            </w:pPr>
            <w:r>
              <w:rPr>
                <w:rFonts w:ascii="Times New Roman" w:eastAsia="宋体"/>
                <w:color w:val="000000"/>
                <w:sz w:val="21"/>
                <w:szCs w:val="21"/>
              </w:rPr>
              <w:t>评价工作分级判据</w:t>
            </w:r>
          </w:p>
        </w:tc>
      </w:tr>
      <w:tr w14:paraId="7F408D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14" w:type="pct"/>
            <w:tcBorders>
              <w:top w:val="single" w:color="auto" w:sz="4" w:space="0"/>
              <w:left w:val="nil"/>
              <w:bottom w:val="single" w:color="auto" w:sz="4" w:space="0"/>
            </w:tcBorders>
            <w:vAlign w:val="center"/>
          </w:tcPr>
          <w:p w14:paraId="03DC02B4">
            <w:pPr>
              <w:adjustRightInd w:val="0"/>
              <w:snapToGrid w:val="0"/>
              <w:spacing w:line="300" w:lineRule="exact"/>
              <w:jc w:val="center"/>
              <w:textAlignment w:val="baseline"/>
              <w:rPr>
                <w:rFonts w:ascii="Times New Roman" w:eastAsia="宋体"/>
                <w:color w:val="000000"/>
                <w:sz w:val="21"/>
                <w:szCs w:val="21"/>
              </w:rPr>
            </w:pPr>
            <w:r>
              <w:rPr>
                <w:rFonts w:ascii="Times New Roman" w:eastAsia="宋体"/>
                <w:color w:val="000000"/>
                <w:sz w:val="21"/>
                <w:szCs w:val="21"/>
              </w:rPr>
              <w:t>一级</w:t>
            </w:r>
          </w:p>
        </w:tc>
        <w:tc>
          <w:tcPr>
            <w:tcW w:w="3485" w:type="pct"/>
            <w:tcBorders>
              <w:top w:val="single" w:color="auto" w:sz="4" w:space="0"/>
              <w:bottom w:val="single" w:color="auto" w:sz="4" w:space="0"/>
              <w:right w:val="nil"/>
            </w:tcBorders>
            <w:vAlign w:val="center"/>
          </w:tcPr>
          <w:p w14:paraId="73974C3A">
            <w:pPr>
              <w:adjustRightInd w:val="0"/>
              <w:snapToGrid w:val="0"/>
              <w:spacing w:line="300" w:lineRule="exact"/>
              <w:jc w:val="center"/>
              <w:textAlignment w:val="baseline"/>
              <w:rPr>
                <w:rFonts w:ascii="Times New Roman" w:eastAsia="宋体"/>
                <w:color w:val="000000"/>
                <w:sz w:val="21"/>
                <w:szCs w:val="21"/>
              </w:rPr>
            </w:pPr>
            <w:r>
              <w:rPr>
                <w:rFonts w:ascii="Times New Roman" w:eastAsia="宋体"/>
                <w:color w:val="000000"/>
                <w:sz w:val="21"/>
                <w:szCs w:val="21"/>
              </w:rPr>
              <w:t>Pmax≥10%</w:t>
            </w:r>
          </w:p>
        </w:tc>
      </w:tr>
      <w:tr w14:paraId="275CD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14" w:type="pct"/>
            <w:tcBorders>
              <w:top w:val="single" w:color="auto" w:sz="4" w:space="0"/>
              <w:left w:val="nil"/>
              <w:bottom w:val="single" w:color="auto" w:sz="4" w:space="0"/>
            </w:tcBorders>
            <w:vAlign w:val="center"/>
          </w:tcPr>
          <w:p w14:paraId="1A0C1865">
            <w:pPr>
              <w:adjustRightInd w:val="0"/>
              <w:snapToGrid w:val="0"/>
              <w:spacing w:line="300" w:lineRule="exact"/>
              <w:jc w:val="center"/>
              <w:textAlignment w:val="baseline"/>
              <w:rPr>
                <w:rFonts w:ascii="Times New Roman" w:eastAsia="宋体"/>
                <w:bCs/>
                <w:color w:val="000000"/>
                <w:sz w:val="21"/>
                <w:szCs w:val="21"/>
              </w:rPr>
            </w:pPr>
            <w:r>
              <w:rPr>
                <w:rFonts w:ascii="Times New Roman" w:eastAsia="宋体"/>
                <w:bCs/>
                <w:color w:val="000000"/>
                <w:sz w:val="21"/>
                <w:szCs w:val="21"/>
              </w:rPr>
              <w:t>二级</w:t>
            </w:r>
          </w:p>
        </w:tc>
        <w:tc>
          <w:tcPr>
            <w:tcW w:w="3485" w:type="pct"/>
            <w:tcBorders>
              <w:top w:val="single" w:color="auto" w:sz="4" w:space="0"/>
              <w:bottom w:val="single" w:color="auto" w:sz="4" w:space="0"/>
              <w:right w:val="nil"/>
            </w:tcBorders>
            <w:vAlign w:val="center"/>
          </w:tcPr>
          <w:p w14:paraId="73AE41E1">
            <w:pPr>
              <w:adjustRightInd w:val="0"/>
              <w:snapToGrid w:val="0"/>
              <w:spacing w:line="300" w:lineRule="exact"/>
              <w:jc w:val="center"/>
              <w:textAlignment w:val="baseline"/>
              <w:rPr>
                <w:rFonts w:ascii="Times New Roman" w:eastAsia="宋体"/>
                <w:b/>
                <w:bCs/>
                <w:color w:val="000000"/>
                <w:sz w:val="21"/>
                <w:szCs w:val="21"/>
              </w:rPr>
            </w:pPr>
            <w:r>
              <w:rPr>
                <w:rFonts w:ascii="Times New Roman" w:eastAsia="宋体"/>
                <w:b/>
                <w:bCs/>
                <w:color w:val="000000"/>
                <w:sz w:val="21"/>
                <w:szCs w:val="21"/>
              </w:rPr>
              <w:t>1%≤Pmax＜10%</w:t>
            </w:r>
          </w:p>
        </w:tc>
      </w:tr>
      <w:tr w14:paraId="110A3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14" w:type="pct"/>
            <w:tcBorders>
              <w:top w:val="single" w:color="auto" w:sz="4" w:space="0"/>
              <w:left w:val="nil"/>
            </w:tcBorders>
            <w:vAlign w:val="center"/>
          </w:tcPr>
          <w:p w14:paraId="201B5C59">
            <w:pPr>
              <w:adjustRightInd w:val="0"/>
              <w:snapToGrid w:val="0"/>
              <w:spacing w:line="300" w:lineRule="exact"/>
              <w:jc w:val="center"/>
              <w:textAlignment w:val="baseline"/>
              <w:rPr>
                <w:rFonts w:ascii="Times New Roman" w:eastAsia="宋体"/>
                <w:color w:val="000000"/>
                <w:sz w:val="21"/>
                <w:szCs w:val="21"/>
              </w:rPr>
            </w:pPr>
            <w:r>
              <w:rPr>
                <w:rFonts w:ascii="Times New Roman" w:eastAsia="宋体"/>
                <w:color w:val="000000"/>
                <w:sz w:val="21"/>
                <w:szCs w:val="21"/>
              </w:rPr>
              <w:t>三级</w:t>
            </w:r>
          </w:p>
        </w:tc>
        <w:tc>
          <w:tcPr>
            <w:tcW w:w="3485" w:type="pct"/>
            <w:tcBorders>
              <w:top w:val="single" w:color="auto" w:sz="4" w:space="0"/>
              <w:right w:val="nil"/>
            </w:tcBorders>
            <w:vAlign w:val="center"/>
          </w:tcPr>
          <w:p w14:paraId="6D34687E">
            <w:pPr>
              <w:adjustRightInd w:val="0"/>
              <w:snapToGrid w:val="0"/>
              <w:spacing w:line="300" w:lineRule="exact"/>
              <w:jc w:val="center"/>
              <w:textAlignment w:val="baseline"/>
              <w:rPr>
                <w:rFonts w:ascii="Times New Roman" w:eastAsia="宋体"/>
                <w:color w:val="000000"/>
                <w:sz w:val="21"/>
                <w:szCs w:val="21"/>
              </w:rPr>
            </w:pPr>
            <w:r>
              <w:rPr>
                <w:rFonts w:ascii="Times New Roman" w:eastAsia="宋体"/>
                <w:color w:val="000000"/>
                <w:sz w:val="21"/>
                <w:szCs w:val="21"/>
              </w:rPr>
              <w:t>Pmax＜1%</w:t>
            </w:r>
          </w:p>
        </w:tc>
      </w:tr>
    </w:tbl>
    <w:p w14:paraId="5AA112E5">
      <w:pPr>
        <w:tabs>
          <w:tab w:val="left" w:pos="0"/>
        </w:tabs>
        <w:adjustRightInd w:val="0"/>
        <w:spacing w:line="480" w:lineRule="exact"/>
        <w:ind w:firstLine="482"/>
        <w:rPr>
          <w:rFonts w:ascii="Times New Roman"/>
          <w:color w:val="000000"/>
          <w:szCs w:val="24"/>
        </w:rPr>
      </w:pPr>
      <w:r>
        <w:rPr>
          <w:rFonts w:hint="eastAsia" w:ascii="Times New Roman"/>
          <w:color w:val="000000"/>
          <w:szCs w:val="24"/>
        </w:rPr>
        <w:t>（4）</w:t>
      </w:r>
      <w:r>
        <w:rPr>
          <w:rFonts w:ascii="Times New Roman"/>
          <w:color w:val="000000"/>
          <w:szCs w:val="24"/>
        </w:rPr>
        <w:t>预测结果及评价</w:t>
      </w:r>
    </w:p>
    <w:p w14:paraId="0E4F2CA0">
      <w:pPr>
        <w:adjustRightInd w:val="0"/>
        <w:spacing w:line="480" w:lineRule="exact"/>
        <w:ind w:firstLine="482"/>
        <w:rPr>
          <w:rFonts w:ascii="Times New Roman"/>
          <w:bCs/>
          <w:szCs w:val="24"/>
        </w:rPr>
      </w:pPr>
      <w:r>
        <w:rPr>
          <w:rFonts w:ascii="Times New Roman"/>
          <w:bCs/>
          <w:szCs w:val="24"/>
        </w:rPr>
        <w:t>采用ARESCREEN模型分别预测了点源下风向最大落地浓度及其出现距离，具体详见表2.</w:t>
      </w:r>
      <w:r>
        <w:rPr>
          <w:rFonts w:hint="eastAsia" w:ascii="Times New Roman"/>
          <w:bCs/>
          <w:szCs w:val="24"/>
        </w:rPr>
        <w:t>5-2</w:t>
      </w:r>
      <w:r>
        <w:rPr>
          <w:rFonts w:ascii="Times New Roman"/>
          <w:bCs/>
          <w:szCs w:val="24"/>
        </w:rPr>
        <w:t>。</w:t>
      </w:r>
    </w:p>
    <w:p w14:paraId="48D7D40B">
      <w:pPr>
        <w:widowControl/>
        <w:spacing w:line="480" w:lineRule="exact"/>
        <w:ind w:firstLine="482"/>
        <w:rPr>
          <w:rFonts w:ascii="Times New Roman"/>
          <w:color w:val="000000" w:themeColor="text1"/>
          <w:szCs w:val="24"/>
          <w14:textFill>
            <w14:solidFill>
              <w14:schemeClr w14:val="tx1"/>
            </w14:solidFill>
          </w14:textFill>
        </w:rPr>
      </w:pPr>
      <w:r>
        <w:rPr>
          <w:rFonts w:ascii="Times New Roman"/>
          <w:bCs/>
          <w:color w:val="000000" w:themeColor="text1"/>
          <w:szCs w:val="24"/>
          <w14:textFill>
            <w14:solidFill>
              <w14:schemeClr w14:val="tx1"/>
            </w14:solidFill>
          </w14:textFill>
        </w:rPr>
        <w:t>根据估算模式计算可得，本</w:t>
      </w:r>
      <w:r>
        <w:rPr>
          <w:rFonts w:ascii="Times New Roman"/>
          <w:color w:val="000000" w:themeColor="text1"/>
          <w:szCs w:val="24"/>
          <w14:textFill>
            <w14:solidFill>
              <w14:schemeClr w14:val="tx1"/>
            </w14:solidFill>
          </w14:textFill>
        </w:rPr>
        <w:t>项目</w:t>
      </w:r>
      <w:r>
        <w:rPr>
          <w:rFonts w:ascii="Times New Roman"/>
          <w:bCs/>
          <w:color w:val="000000" w:themeColor="text1"/>
          <w:szCs w:val="24"/>
          <w14:textFill>
            <w14:solidFill>
              <w14:schemeClr w14:val="tx1"/>
            </w14:solidFill>
          </w14:textFill>
        </w:rPr>
        <w:t>建成后，污染物排放浓度占标率最大的是</w:t>
      </w:r>
      <w:r>
        <w:rPr>
          <w:rFonts w:hint="eastAsia"/>
          <w:color w:val="000000" w:themeColor="text1"/>
          <w:lang w:val="en-US" w:eastAsia="zh-CN"/>
          <w14:textFill>
            <w14:solidFill>
              <w14:schemeClr w14:val="tx1"/>
            </w14:solidFill>
          </w14:textFill>
        </w:rPr>
        <w:t>鸡舍区无组织</w:t>
      </w:r>
      <w:r>
        <w:rPr>
          <w:rFonts w:hint="eastAsia"/>
          <w:color w:val="000000" w:themeColor="text1"/>
          <w14:textFill>
            <w14:solidFill>
              <w14:schemeClr w14:val="tx1"/>
            </w14:solidFill>
          </w14:textFill>
        </w:rPr>
        <w:t>排放的</w:t>
      </w:r>
      <w:r>
        <w:rPr>
          <w:rFonts w:hint="eastAsia"/>
          <w:color w:val="000000" w:themeColor="text1"/>
          <w:lang w:val="en-US" w:eastAsia="zh-CN"/>
          <w14:textFill>
            <w14:solidFill>
              <w14:schemeClr w14:val="tx1"/>
            </w14:solidFill>
          </w14:textFill>
        </w:rPr>
        <w:t>H</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S</w:t>
      </w:r>
      <w:r>
        <w:rPr>
          <w:rFonts w:ascii="Times New Roman"/>
          <w:bCs/>
          <w:color w:val="000000" w:themeColor="text1"/>
          <w:szCs w:val="24"/>
          <w14:textFill>
            <w14:solidFill>
              <w14:schemeClr w14:val="tx1"/>
            </w14:solidFill>
          </w14:textFill>
        </w:rPr>
        <w:t>废气，以其Pmax和其对应的D10%作为等级划分依据，其Pmax=</w:t>
      </w:r>
      <w:r>
        <w:rPr>
          <w:rFonts w:hint="eastAsia" w:ascii="Times New Roman"/>
          <w:bCs/>
          <w:color w:val="000000" w:themeColor="text1"/>
          <w:szCs w:val="24"/>
          <w:lang w:val="en-US" w:eastAsia="zh-CN"/>
          <w14:textFill>
            <w14:solidFill>
              <w14:schemeClr w14:val="tx1"/>
            </w14:solidFill>
          </w14:textFill>
        </w:rPr>
        <w:t>2.78</w:t>
      </w:r>
      <w:r>
        <w:rPr>
          <w:rFonts w:ascii="Times New Roman"/>
          <w:bCs/>
          <w:color w:val="000000" w:themeColor="text1"/>
          <w:szCs w:val="24"/>
          <w14:textFill>
            <w14:solidFill>
              <w14:schemeClr w14:val="tx1"/>
            </w14:solidFill>
          </w14:textFill>
        </w:rPr>
        <w:t>%，大于1小于10%；参照HJ2.2-2018评价等</w:t>
      </w:r>
      <w:r>
        <w:rPr>
          <w:rFonts w:ascii="Times New Roman"/>
          <w:bCs/>
          <w:color w:val="000000" w:themeColor="text1"/>
          <w:spacing w:val="-4"/>
          <w:szCs w:val="24"/>
          <w14:textFill>
            <w14:solidFill>
              <w14:schemeClr w14:val="tx1"/>
            </w14:solidFill>
          </w14:textFill>
        </w:rPr>
        <w:t>级的划分原则（表5.</w:t>
      </w:r>
      <w:r>
        <w:rPr>
          <w:rFonts w:hint="eastAsia" w:ascii="Times New Roman"/>
          <w:bCs/>
          <w:color w:val="000000" w:themeColor="text1"/>
          <w:spacing w:val="-4"/>
          <w:szCs w:val="24"/>
          <w14:textFill>
            <w14:solidFill>
              <w14:schemeClr w14:val="tx1"/>
            </w14:solidFill>
          </w14:textFill>
        </w:rPr>
        <w:t>2-5</w:t>
      </w:r>
      <w:r>
        <w:rPr>
          <w:rFonts w:ascii="Times New Roman"/>
          <w:bCs/>
          <w:color w:val="000000" w:themeColor="text1"/>
          <w:spacing w:val="-4"/>
          <w:szCs w:val="24"/>
          <w14:textFill>
            <w14:solidFill>
              <w14:schemeClr w14:val="tx1"/>
            </w14:solidFill>
          </w14:textFill>
        </w:rPr>
        <w:t>），确定本项目大气环境影响评价工作等级为二级。</w:t>
      </w:r>
    </w:p>
    <w:p w14:paraId="1F5EC045">
      <w:pPr>
        <w:pStyle w:val="7"/>
        <w:spacing w:line="480" w:lineRule="exact"/>
      </w:pPr>
      <w:r>
        <w:rPr>
          <w:rFonts w:hint="eastAsia"/>
        </w:rPr>
        <w:t>5</w:t>
      </w:r>
      <w:r>
        <w:t>.2.</w:t>
      </w:r>
      <w:r>
        <w:rPr>
          <w:rFonts w:hint="eastAsia"/>
        </w:rPr>
        <w:t>3污染源参数与排放源强</w:t>
      </w:r>
    </w:p>
    <w:p w14:paraId="50B0E60D">
      <w:pPr>
        <w:adjustRightInd w:val="0"/>
        <w:snapToGrid w:val="0"/>
        <w:spacing w:line="480" w:lineRule="exact"/>
        <w:ind w:firstLine="482"/>
        <w:rPr>
          <w:rFonts w:ascii="Times New Roman"/>
          <w:bCs/>
          <w:szCs w:val="24"/>
        </w:rPr>
      </w:pPr>
      <w:r>
        <w:rPr>
          <w:rFonts w:ascii="Times New Roman"/>
          <w:bCs/>
          <w:szCs w:val="24"/>
        </w:rPr>
        <w:t>根据污染源分析，本次预测有组织废气排放参数见表5</w:t>
      </w:r>
      <w:r>
        <w:rPr>
          <w:rFonts w:hint="eastAsia" w:ascii="Times New Roman"/>
          <w:bCs/>
          <w:szCs w:val="24"/>
        </w:rPr>
        <w:t>.2-6</w:t>
      </w:r>
      <w:r>
        <w:rPr>
          <w:rFonts w:ascii="Times New Roman"/>
          <w:bCs/>
          <w:szCs w:val="24"/>
        </w:rPr>
        <w:t>、无组织排放参数见表5.</w:t>
      </w:r>
      <w:r>
        <w:rPr>
          <w:rFonts w:hint="eastAsia" w:ascii="Times New Roman"/>
          <w:bCs/>
          <w:szCs w:val="24"/>
        </w:rPr>
        <w:t>2-7</w:t>
      </w:r>
      <w:r>
        <w:rPr>
          <w:rFonts w:ascii="Times New Roman"/>
          <w:bCs/>
          <w:szCs w:val="24"/>
        </w:rPr>
        <w:t>，非正常排放参数情况见表5.</w:t>
      </w:r>
      <w:r>
        <w:rPr>
          <w:rFonts w:hint="eastAsia" w:ascii="Times New Roman"/>
          <w:bCs/>
          <w:szCs w:val="24"/>
        </w:rPr>
        <w:t>2-8。</w:t>
      </w:r>
    </w:p>
    <w:p w14:paraId="3640BDFA">
      <w:pPr>
        <w:widowControl/>
        <w:ind w:firstLine="480" w:firstLineChars="200"/>
        <w:sectPr>
          <w:pgSz w:w="11906" w:h="16838"/>
          <w:pgMar w:top="1417" w:right="1417" w:bottom="1417" w:left="1417" w:header="850" w:footer="850" w:gutter="0"/>
          <w:pgNumType w:fmt="decimal"/>
          <w:cols w:space="425" w:num="1"/>
          <w:docGrid w:type="lines" w:linePitch="326" w:charSpace="0"/>
        </w:sectPr>
      </w:pPr>
    </w:p>
    <w:p w14:paraId="5392807B">
      <w:pPr>
        <w:pStyle w:val="31"/>
        <w:spacing w:before="0" w:line="480" w:lineRule="exact"/>
      </w:pPr>
      <w:r>
        <w:rPr>
          <w:rFonts w:hint="eastAsia"/>
        </w:rPr>
        <w:t>表</w:t>
      </w:r>
      <w:r>
        <w:t>5.2-</w:t>
      </w:r>
      <w:r>
        <w:rPr>
          <w:rFonts w:hint="eastAsia"/>
        </w:rPr>
        <w:t>6</w:t>
      </w:r>
      <w:r>
        <w:t xml:space="preserve"> </w:t>
      </w:r>
      <w:r>
        <w:rPr>
          <w:rFonts w:hint="eastAsia"/>
        </w:rPr>
        <w:t>项目大气污染源点源调查参数表</w:t>
      </w:r>
    </w:p>
    <w:tbl>
      <w:tblPr>
        <w:tblStyle w:val="41"/>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34" w:type="dxa"/>
          <w:left w:w="106" w:type="dxa"/>
          <w:bottom w:w="0" w:type="dxa"/>
          <w:right w:w="0" w:type="dxa"/>
        </w:tblCellMar>
      </w:tblPr>
      <w:tblGrid>
        <w:gridCol w:w="333"/>
        <w:gridCol w:w="731"/>
        <w:gridCol w:w="725"/>
        <w:gridCol w:w="1011"/>
        <w:gridCol w:w="1064"/>
        <w:gridCol w:w="1050"/>
        <w:gridCol w:w="1307"/>
        <w:gridCol w:w="1173"/>
        <w:gridCol w:w="1512"/>
        <w:gridCol w:w="1540"/>
        <w:gridCol w:w="938"/>
        <w:gridCol w:w="1377"/>
        <w:gridCol w:w="1223"/>
      </w:tblGrid>
      <w:tr w14:paraId="6BD48F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34" w:type="dxa"/>
            <w:left w:w="106" w:type="dxa"/>
            <w:bottom w:w="0" w:type="dxa"/>
            <w:right w:w="0" w:type="dxa"/>
          </w:tblCellMar>
        </w:tblPrEx>
        <w:trPr>
          <w:trHeight w:val="340" w:hRule="atLeast"/>
          <w:jc w:val="center"/>
        </w:trPr>
        <w:tc>
          <w:tcPr>
            <w:tcW w:w="119" w:type="pct"/>
            <w:vMerge w:val="restart"/>
            <w:tcMar>
              <w:top w:w="0" w:type="dxa"/>
              <w:left w:w="17" w:type="dxa"/>
              <w:right w:w="17" w:type="dxa"/>
            </w:tcMar>
            <w:vAlign w:val="center"/>
          </w:tcPr>
          <w:p w14:paraId="7B47B7A4">
            <w:pPr>
              <w:widowControl/>
              <w:spacing w:line="300" w:lineRule="exact"/>
              <w:jc w:val="center"/>
              <w:rPr>
                <w:rFonts w:ascii="Times New Roman" w:eastAsia="宋体"/>
                <w:color w:val="000000"/>
                <w:sz w:val="21"/>
                <w:szCs w:val="21"/>
              </w:rPr>
            </w:pPr>
            <w:r>
              <w:rPr>
                <w:rFonts w:ascii="Times New Roman" w:eastAsia="宋体"/>
                <w:color w:val="000000"/>
                <w:sz w:val="21"/>
                <w:szCs w:val="21"/>
              </w:rPr>
              <w:t>编号</w:t>
            </w:r>
          </w:p>
        </w:tc>
        <w:tc>
          <w:tcPr>
            <w:tcW w:w="261" w:type="pct"/>
            <w:vMerge w:val="restart"/>
            <w:tcMar>
              <w:top w:w="0" w:type="dxa"/>
              <w:left w:w="17" w:type="dxa"/>
              <w:right w:w="17" w:type="dxa"/>
            </w:tcMar>
            <w:vAlign w:val="center"/>
          </w:tcPr>
          <w:p w14:paraId="39A2A93A">
            <w:pPr>
              <w:widowControl/>
              <w:spacing w:line="300" w:lineRule="exact"/>
              <w:jc w:val="center"/>
              <w:rPr>
                <w:rFonts w:ascii="Times New Roman" w:eastAsia="宋体"/>
                <w:color w:val="000000"/>
                <w:sz w:val="21"/>
                <w:szCs w:val="21"/>
              </w:rPr>
            </w:pPr>
            <w:r>
              <w:rPr>
                <w:rFonts w:ascii="Times New Roman" w:eastAsia="宋体"/>
                <w:color w:val="000000"/>
                <w:sz w:val="21"/>
                <w:szCs w:val="21"/>
              </w:rPr>
              <w:t>名称</w:t>
            </w:r>
          </w:p>
        </w:tc>
        <w:tc>
          <w:tcPr>
            <w:tcW w:w="620" w:type="pct"/>
            <w:gridSpan w:val="2"/>
            <w:tcMar>
              <w:top w:w="0" w:type="dxa"/>
              <w:left w:w="17" w:type="dxa"/>
              <w:right w:w="17" w:type="dxa"/>
            </w:tcMar>
            <w:vAlign w:val="center"/>
          </w:tcPr>
          <w:p w14:paraId="4FCBBF67">
            <w:pPr>
              <w:adjustRightInd w:val="0"/>
              <w:spacing w:line="300" w:lineRule="exact"/>
              <w:jc w:val="center"/>
              <w:rPr>
                <w:rFonts w:ascii="Times New Roman" w:eastAsia="宋体"/>
                <w:color w:val="000000"/>
                <w:sz w:val="21"/>
                <w:szCs w:val="21"/>
              </w:rPr>
            </w:pPr>
            <w:r>
              <w:rPr>
                <w:rFonts w:ascii="Times New Roman" w:eastAsia="宋体"/>
                <w:color w:val="000000"/>
                <w:sz w:val="21"/>
                <w:szCs w:val="21"/>
              </w:rPr>
              <w:t>排气筒底部中心坐标（º）</w:t>
            </w:r>
          </w:p>
        </w:tc>
        <w:tc>
          <w:tcPr>
            <w:tcW w:w="380" w:type="pct"/>
            <w:vMerge w:val="restart"/>
            <w:tcMar>
              <w:top w:w="0" w:type="dxa"/>
              <w:left w:w="17" w:type="dxa"/>
              <w:right w:w="17" w:type="dxa"/>
            </w:tcMar>
            <w:vAlign w:val="center"/>
          </w:tcPr>
          <w:p w14:paraId="04B7E0D2">
            <w:pPr>
              <w:widowControl/>
              <w:spacing w:line="300" w:lineRule="exact"/>
              <w:jc w:val="center"/>
              <w:rPr>
                <w:rFonts w:ascii="Times New Roman" w:eastAsia="宋体"/>
                <w:color w:val="000000"/>
                <w:sz w:val="21"/>
                <w:szCs w:val="21"/>
              </w:rPr>
            </w:pPr>
            <w:r>
              <w:rPr>
                <w:rFonts w:ascii="Times New Roman" w:eastAsia="宋体"/>
                <w:color w:val="000000"/>
                <w:sz w:val="21"/>
                <w:szCs w:val="21"/>
              </w:rPr>
              <w:t>排气筒底部海拔高度（m）</w:t>
            </w:r>
          </w:p>
        </w:tc>
        <w:tc>
          <w:tcPr>
            <w:tcW w:w="375" w:type="pct"/>
            <w:vMerge w:val="restart"/>
            <w:tcMar>
              <w:top w:w="0" w:type="dxa"/>
              <w:left w:w="17" w:type="dxa"/>
              <w:right w:w="17" w:type="dxa"/>
            </w:tcMar>
            <w:vAlign w:val="center"/>
          </w:tcPr>
          <w:p w14:paraId="595141E1">
            <w:pPr>
              <w:widowControl/>
              <w:spacing w:line="300" w:lineRule="exact"/>
              <w:jc w:val="center"/>
              <w:rPr>
                <w:rFonts w:ascii="Times New Roman" w:eastAsia="宋体"/>
                <w:color w:val="000000"/>
                <w:sz w:val="21"/>
                <w:szCs w:val="21"/>
              </w:rPr>
            </w:pPr>
            <w:r>
              <w:rPr>
                <w:rFonts w:ascii="Times New Roman" w:eastAsia="宋体"/>
                <w:color w:val="000000"/>
                <w:sz w:val="21"/>
                <w:szCs w:val="21"/>
              </w:rPr>
              <w:t>排气筒高度（m）</w:t>
            </w:r>
          </w:p>
        </w:tc>
        <w:tc>
          <w:tcPr>
            <w:tcW w:w="467" w:type="pct"/>
            <w:vMerge w:val="restart"/>
            <w:tcMar>
              <w:top w:w="0" w:type="dxa"/>
              <w:left w:w="17" w:type="dxa"/>
              <w:right w:w="17" w:type="dxa"/>
            </w:tcMar>
            <w:vAlign w:val="center"/>
          </w:tcPr>
          <w:p w14:paraId="5AFB1064">
            <w:pPr>
              <w:widowControl/>
              <w:spacing w:line="300" w:lineRule="exact"/>
              <w:jc w:val="center"/>
              <w:rPr>
                <w:rFonts w:ascii="Times New Roman" w:eastAsia="宋体"/>
                <w:color w:val="000000"/>
                <w:sz w:val="21"/>
                <w:szCs w:val="21"/>
              </w:rPr>
            </w:pPr>
            <w:r>
              <w:rPr>
                <w:rFonts w:ascii="Times New Roman" w:eastAsia="宋体"/>
                <w:color w:val="000000"/>
                <w:sz w:val="21"/>
                <w:szCs w:val="21"/>
              </w:rPr>
              <w:t>排气筒出口内径（m）</w:t>
            </w:r>
          </w:p>
        </w:tc>
        <w:tc>
          <w:tcPr>
            <w:tcW w:w="419" w:type="pct"/>
            <w:vMerge w:val="restart"/>
            <w:tcMar>
              <w:top w:w="0" w:type="dxa"/>
              <w:left w:w="17" w:type="dxa"/>
              <w:right w:w="17" w:type="dxa"/>
            </w:tcMar>
            <w:vAlign w:val="center"/>
          </w:tcPr>
          <w:p w14:paraId="454D87A8">
            <w:pPr>
              <w:widowControl/>
              <w:spacing w:line="300" w:lineRule="exact"/>
              <w:jc w:val="center"/>
              <w:rPr>
                <w:rFonts w:ascii="Times New Roman" w:eastAsia="宋体"/>
                <w:color w:val="000000"/>
                <w:sz w:val="21"/>
                <w:szCs w:val="21"/>
              </w:rPr>
            </w:pPr>
            <w:r>
              <w:rPr>
                <w:rFonts w:ascii="Times New Roman" w:eastAsia="宋体"/>
                <w:color w:val="000000"/>
                <w:sz w:val="21"/>
                <w:szCs w:val="21"/>
              </w:rPr>
              <w:t>烟气流速（m/s）</w:t>
            </w:r>
          </w:p>
        </w:tc>
        <w:tc>
          <w:tcPr>
            <w:tcW w:w="540" w:type="pct"/>
            <w:vMerge w:val="restart"/>
            <w:tcMar>
              <w:top w:w="0" w:type="dxa"/>
              <w:left w:w="17" w:type="dxa"/>
              <w:right w:w="17" w:type="dxa"/>
            </w:tcMar>
            <w:vAlign w:val="center"/>
          </w:tcPr>
          <w:p w14:paraId="42F86D69">
            <w:pPr>
              <w:widowControl/>
              <w:spacing w:line="300" w:lineRule="exact"/>
              <w:jc w:val="center"/>
              <w:rPr>
                <w:rFonts w:ascii="Times New Roman" w:eastAsia="宋体"/>
                <w:color w:val="000000"/>
                <w:sz w:val="21"/>
                <w:szCs w:val="21"/>
              </w:rPr>
            </w:pPr>
            <w:r>
              <w:rPr>
                <w:rFonts w:ascii="Times New Roman" w:eastAsia="宋体"/>
                <w:color w:val="000000"/>
                <w:sz w:val="21"/>
                <w:szCs w:val="21"/>
              </w:rPr>
              <w:t>烟气温度（℃）</w:t>
            </w:r>
          </w:p>
        </w:tc>
        <w:tc>
          <w:tcPr>
            <w:tcW w:w="550" w:type="pct"/>
            <w:vMerge w:val="restart"/>
            <w:tcMar>
              <w:top w:w="0" w:type="dxa"/>
              <w:left w:w="17" w:type="dxa"/>
              <w:right w:w="17" w:type="dxa"/>
            </w:tcMar>
            <w:vAlign w:val="center"/>
          </w:tcPr>
          <w:p w14:paraId="4D915539">
            <w:pPr>
              <w:widowControl/>
              <w:spacing w:line="300" w:lineRule="exact"/>
              <w:jc w:val="center"/>
              <w:rPr>
                <w:rFonts w:ascii="Times New Roman" w:eastAsia="宋体"/>
                <w:color w:val="000000"/>
                <w:sz w:val="21"/>
                <w:szCs w:val="21"/>
              </w:rPr>
            </w:pPr>
            <w:r>
              <w:rPr>
                <w:rFonts w:ascii="Times New Roman" w:eastAsia="宋体"/>
                <w:color w:val="000000"/>
                <w:sz w:val="21"/>
                <w:szCs w:val="21"/>
              </w:rPr>
              <w:t>年排放小时数（h）</w:t>
            </w:r>
          </w:p>
        </w:tc>
        <w:tc>
          <w:tcPr>
            <w:tcW w:w="335" w:type="pct"/>
            <w:vMerge w:val="restart"/>
            <w:tcMar>
              <w:top w:w="0" w:type="dxa"/>
              <w:left w:w="17" w:type="dxa"/>
              <w:right w:w="17" w:type="dxa"/>
            </w:tcMar>
            <w:vAlign w:val="center"/>
          </w:tcPr>
          <w:p w14:paraId="48CFD2C7">
            <w:pPr>
              <w:widowControl/>
              <w:spacing w:line="300" w:lineRule="exact"/>
              <w:jc w:val="center"/>
              <w:rPr>
                <w:rFonts w:ascii="Times New Roman" w:eastAsia="宋体"/>
                <w:color w:val="000000"/>
                <w:sz w:val="21"/>
                <w:szCs w:val="21"/>
              </w:rPr>
            </w:pPr>
            <w:r>
              <w:rPr>
                <w:rFonts w:ascii="Times New Roman" w:eastAsia="宋体"/>
                <w:color w:val="000000"/>
                <w:sz w:val="21"/>
                <w:szCs w:val="21"/>
              </w:rPr>
              <w:t>排放工况</w:t>
            </w:r>
          </w:p>
        </w:tc>
        <w:tc>
          <w:tcPr>
            <w:tcW w:w="929" w:type="pct"/>
            <w:gridSpan w:val="2"/>
            <w:tcMar>
              <w:top w:w="0" w:type="dxa"/>
              <w:left w:w="17" w:type="dxa"/>
              <w:right w:w="17" w:type="dxa"/>
            </w:tcMar>
            <w:vAlign w:val="center"/>
          </w:tcPr>
          <w:p w14:paraId="012EC04D">
            <w:pPr>
              <w:widowControl/>
              <w:spacing w:line="300" w:lineRule="exact"/>
              <w:jc w:val="center"/>
              <w:rPr>
                <w:rFonts w:ascii="Times New Roman" w:eastAsia="宋体"/>
                <w:color w:val="000000"/>
                <w:sz w:val="21"/>
                <w:szCs w:val="21"/>
              </w:rPr>
            </w:pPr>
            <w:r>
              <w:rPr>
                <w:rFonts w:ascii="Times New Roman" w:eastAsia="宋体"/>
                <w:color w:val="000000"/>
                <w:sz w:val="21"/>
                <w:szCs w:val="21"/>
              </w:rPr>
              <w:t>污染物排放速率（kg/h）</w:t>
            </w:r>
          </w:p>
        </w:tc>
      </w:tr>
      <w:tr w14:paraId="29BB58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34" w:type="dxa"/>
            <w:left w:w="106" w:type="dxa"/>
            <w:bottom w:w="0" w:type="dxa"/>
            <w:right w:w="0" w:type="dxa"/>
          </w:tblCellMar>
        </w:tblPrEx>
        <w:trPr>
          <w:trHeight w:val="340" w:hRule="atLeast"/>
          <w:jc w:val="center"/>
        </w:trPr>
        <w:tc>
          <w:tcPr>
            <w:tcW w:w="119" w:type="pct"/>
            <w:vMerge w:val="continue"/>
            <w:vAlign w:val="center"/>
          </w:tcPr>
          <w:p w14:paraId="389788D3">
            <w:pPr>
              <w:widowControl/>
              <w:spacing w:line="300" w:lineRule="exact"/>
              <w:jc w:val="center"/>
              <w:rPr>
                <w:rFonts w:ascii="Times New Roman" w:eastAsia="宋体"/>
                <w:color w:val="000000"/>
                <w:sz w:val="21"/>
                <w:szCs w:val="21"/>
              </w:rPr>
            </w:pPr>
          </w:p>
        </w:tc>
        <w:tc>
          <w:tcPr>
            <w:tcW w:w="261" w:type="pct"/>
            <w:vMerge w:val="continue"/>
            <w:vAlign w:val="center"/>
          </w:tcPr>
          <w:p w14:paraId="39C57F99">
            <w:pPr>
              <w:widowControl/>
              <w:spacing w:line="300" w:lineRule="exact"/>
              <w:jc w:val="center"/>
              <w:rPr>
                <w:rFonts w:ascii="Times New Roman" w:eastAsia="宋体"/>
                <w:color w:val="000000"/>
                <w:sz w:val="21"/>
                <w:szCs w:val="21"/>
              </w:rPr>
            </w:pPr>
          </w:p>
        </w:tc>
        <w:tc>
          <w:tcPr>
            <w:tcW w:w="259" w:type="pct"/>
            <w:vAlign w:val="center"/>
          </w:tcPr>
          <w:p w14:paraId="7613D4C5">
            <w:pPr>
              <w:adjustRightInd w:val="0"/>
              <w:spacing w:line="300" w:lineRule="exact"/>
              <w:jc w:val="center"/>
              <w:rPr>
                <w:rFonts w:ascii="Times New Roman" w:eastAsia="宋体"/>
                <w:color w:val="000000"/>
                <w:sz w:val="21"/>
                <w:szCs w:val="21"/>
              </w:rPr>
            </w:pPr>
            <w:r>
              <w:rPr>
                <w:rFonts w:ascii="Times New Roman" w:eastAsia="宋体"/>
                <w:color w:val="000000"/>
                <w:sz w:val="21"/>
                <w:szCs w:val="21"/>
              </w:rPr>
              <w:t>经度</w:t>
            </w:r>
          </w:p>
        </w:tc>
        <w:tc>
          <w:tcPr>
            <w:tcW w:w="360" w:type="pct"/>
            <w:vAlign w:val="center"/>
          </w:tcPr>
          <w:p w14:paraId="2FB5690C">
            <w:pPr>
              <w:adjustRightInd w:val="0"/>
              <w:spacing w:line="300" w:lineRule="exact"/>
              <w:jc w:val="center"/>
              <w:rPr>
                <w:rFonts w:ascii="Times New Roman" w:eastAsia="宋体"/>
                <w:color w:val="000000"/>
                <w:sz w:val="21"/>
                <w:szCs w:val="21"/>
              </w:rPr>
            </w:pPr>
            <w:r>
              <w:rPr>
                <w:rFonts w:ascii="Times New Roman" w:eastAsia="宋体"/>
                <w:color w:val="000000"/>
                <w:sz w:val="21"/>
                <w:szCs w:val="21"/>
              </w:rPr>
              <w:t>纬度</w:t>
            </w:r>
          </w:p>
        </w:tc>
        <w:tc>
          <w:tcPr>
            <w:tcW w:w="380" w:type="pct"/>
            <w:vMerge w:val="continue"/>
            <w:vAlign w:val="center"/>
          </w:tcPr>
          <w:p w14:paraId="44FAE78E">
            <w:pPr>
              <w:widowControl/>
              <w:spacing w:line="300" w:lineRule="exact"/>
              <w:jc w:val="center"/>
              <w:rPr>
                <w:rFonts w:ascii="Times New Roman" w:eastAsia="宋体"/>
                <w:color w:val="000000"/>
                <w:sz w:val="21"/>
                <w:szCs w:val="21"/>
              </w:rPr>
            </w:pPr>
          </w:p>
        </w:tc>
        <w:tc>
          <w:tcPr>
            <w:tcW w:w="375" w:type="pct"/>
            <w:vMerge w:val="continue"/>
            <w:vAlign w:val="center"/>
          </w:tcPr>
          <w:p w14:paraId="43F7B676">
            <w:pPr>
              <w:widowControl/>
              <w:spacing w:line="300" w:lineRule="exact"/>
              <w:jc w:val="center"/>
              <w:rPr>
                <w:rFonts w:ascii="Times New Roman" w:eastAsia="宋体"/>
                <w:color w:val="000000"/>
                <w:sz w:val="21"/>
                <w:szCs w:val="21"/>
              </w:rPr>
            </w:pPr>
          </w:p>
        </w:tc>
        <w:tc>
          <w:tcPr>
            <w:tcW w:w="467" w:type="pct"/>
            <w:vMerge w:val="continue"/>
            <w:vAlign w:val="center"/>
          </w:tcPr>
          <w:p w14:paraId="225A3F50">
            <w:pPr>
              <w:widowControl/>
              <w:spacing w:line="300" w:lineRule="exact"/>
              <w:jc w:val="center"/>
              <w:rPr>
                <w:rFonts w:ascii="Times New Roman" w:eastAsia="宋体"/>
                <w:color w:val="000000"/>
                <w:sz w:val="21"/>
                <w:szCs w:val="21"/>
              </w:rPr>
            </w:pPr>
          </w:p>
        </w:tc>
        <w:tc>
          <w:tcPr>
            <w:tcW w:w="419" w:type="pct"/>
            <w:vMerge w:val="continue"/>
            <w:vAlign w:val="center"/>
          </w:tcPr>
          <w:p w14:paraId="795FE101">
            <w:pPr>
              <w:widowControl/>
              <w:spacing w:line="300" w:lineRule="exact"/>
              <w:jc w:val="center"/>
              <w:rPr>
                <w:rFonts w:ascii="Times New Roman" w:eastAsia="宋体"/>
                <w:color w:val="000000"/>
                <w:sz w:val="21"/>
                <w:szCs w:val="21"/>
              </w:rPr>
            </w:pPr>
          </w:p>
        </w:tc>
        <w:tc>
          <w:tcPr>
            <w:tcW w:w="540" w:type="pct"/>
            <w:vMerge w:val="continue"/>
            <w:vAlign w:val="center"/>
          </w:tcPr>
          <w:p w14:paraId="6EACD473">
            <w:pPr>
              <w:widowControl/>
              <w:spacing w:line="300" w:lineRule="exact"/>
              <w:jc w:val="center"/>
              <w:rPr>
                <w:rFonts w:ascii="Times New Roman" w:eastAsia="宋体"/>
                <w:color w:val="000000"/>
                <w:sz w:val="21"/>
                <w:szCs w:val="21"/>
              </w:rPr>
            </w:pPr>
          </w:p>
        </w:tc>
        <w:tc>
          <w:tcPr>
            <w:tcW w:w="550" w:type="pct"/>
            <w:vMerge w:val="continue"/>
            <w:vAlign w:val="center"/>
          </w:tcPr>
          <w:p w14:paraId="3441534D">
            <w:pPr>
              <w:widowControl/>
              <w:spacing w:line="300" w:lineRule="exact"/>
              <w:jc w:val="center"/>
              <w:rPr>
                <w:rFonts w:ascii="Times New Roman" w:eastAsia="宋体"/>
                <w:color w:val="000000"/>
                <w:sz w:val="21"/>
                <w:szCs w:val="21"/>
              </w:rPr>
            </w:pPr>
          </w:p>
        </w:tc>
        <w:tc>
          <w:tcPr>
            <w:tcW w:w="335" w:type="pct"/>
            <w:vMerge w:val="continue"/>
            <w:vAlign w:val="center"/>
          </w:tcPr>
          <w:p w14:paraId="28B83A18">
            <w:pPr>
              <w:widowControl/>
              <w:spacing w:line="300" w:lineRule="exact"/>
              <w:jc w:val="center"/>
              <w:rPr>
                <w:rFonts w:ascii="Times New Roman" w:eastAsia="宋体"/>
                <w:color w:val="000000"/>
                <w:sz w:val="21"/>
                <w:szCs w:val="21"/>
              </w:rPr>
            </w:pPr>
          </w:p>
        </w:tc>
        <w:tc>
          <w:tcPr>
            <w:tcW w:w="492" w:type="pct"/>
            <w:vAlign w:val="center"/>
          </w:tcPr>
          <w:p w14:paraId="3B79A5B2">
            <w:pPr>
              <w:widowControl/>
              <w:spacing w:line="300" w:lineRule="exact"/>
              <w:jc w:val="center"/>
              <w:rPr>
                <w:rFonts w:ascii="Times New Roman" w:eastAsia="宋体"/>
                <w:color w:val="000000"/>
                <w:sz w:val="21"/>
                <w:szCs w:val="21"/>
              </w:rPr>
            </w:pPr>
            <w:r>
              <w:rPr>
                <w:rFonts w:ascii="Times New Roman" w:eastAsia="宋体"/>
                <w:color w:val="000000"/>
                <w:sz w:val="21"/>
                <w:szCs w:val="21"/>
              </w:rPr>
              <w:t>氨气</w:t>
            </w:r>
          </w:p>
        </w:tc>
        <w:tc>
          <w:tcPr>
            <w:tcW w:w="437" w:type="pct"/>
            <w:vAlign w:val="center"/>
          </w:tcPr>
          <w:p w14:paraId="4FE7F222">
            <w:pPr>
              <w:spacing w:line="300" w:lineRule="exact"/>
              <w:jc w:val="center"/>
              <w:rPr>
                <w:rFonts w:ascii="Times New Roman" w:eastAsia="宋体"/>
                <w:color w:val="000000"/>
                <w:sz w:val="21"/>
                <w:szCs w:val="21"/>
              </w:rPr>
            </w:pPr>
            <w:r>
              <w:rPr>
                <w:rFonts w:hint="eastAsia" w:ascii="Times New Roman" w:eastAsia="宋体"/>
                <w:color w:val="000000"/>
                <w:sz w:val="21"/>
                <w:szCs w:val="21"/>
              </w:rPr>
              <w:t>硫化氢</w:t>
            </w:r>
          </w:p>
        </w:tc>
      </w:tr>
      <w:tr w14:paraId="5A0F6C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34" w:type="dxa"/>
            <w:left w:w="106" w:type="dxa"/>
            <w:bottom w:w="0" w:type="dxa"/>
            <w:right w:w="0" w:type="dxa"/>
          </w:tblCellMar>
        </w:tblPrEx>
        <w:trPr>
          <w:trHeight w:val="340" w:hRule="atLeast"/>
          <w:jc w:val="center"/>
        </w:trPr>
        <w:tc>
          <w:tcPr>
            <w:tcW w:w="119" w:type="pct"/>
            <w:vAlign w:val="center"/>
          </w:tcPr>
          <w:p w14:paraId="03A2F6DE">
            <w:pPr>
              <w:widowControl/>
              <w:spacing w:line="300" w:lineRule="exact"/>
              <w:rPr>
                <w:rFonts w:ascii="Times New Roman" w:eastAsia="宋体"/>
                <w:color w:val="000000"/>
                <w:sz w:val="21"/>
                <w:szCs w:val="21"/>
              </w:rPr>
            </w:pPr>
            <w:r>
              <w:rPr>
                <w:rFonts w:ascii="Times New Roman" w:eastAsia="宋体"/>
                <w:color w:val="000000"/>
                <w:sz w:val="21"/>
                <w:szCs w:val="21"/>
              </w:rPr>
              <w:t>1</w:t>
            </w:r>
          </w:p>
        </w:tc>
        <w:tc>
          <w:tcPr>
            <w:tcW w:w="261" w:type="pct"/>
            <w:vAlign w:val="center"/>
          </w:tcPr>
          <w:p w14:paraId="63A7B685">
            <w:pPr>
              <w:widowControl/>
              <w:spacing w:line="300" w:lineRule="exact"/>
              <w:jc w:val="center"/>
              <w:rPr>
                <w:rFonts w:ascii="Times New Roman" w:eastAsia="宋体"/>
                <w:color w:val="000000"/>
                <w:sz w:val="21"/>
                <w:szCs w:val="21"/>
              </w:rPr>
            </w:pPr>
            <w:r>
              <w:rPr>
                <w:rFonts w:ascii="Times New Roman" w:eastAsia="宋体"/>
                <w:color w:val="000000"/>
                <w:sz w:val="21"/>
                <w:szCs w:val="21"/>
              </w:rPr>
              <w:t>DA00</w:t>
            </w:r>
            <w:r>
              <w:rPr>
                <w:rFonts w:hint="eastAsia" w:ascii="Times New Roman" w:eastAsia="宋体"/>
                <w:color w:val="000000"/>
                <w:sz w:val="21"/>
                <w:szCs w:val="21"/>
              </w:rPr>
              <w:t>1</w:t>
            </w:r>
          </w:p>
        </w:tc>
        <w:tc>
          <w:tcPr>
            <w:tcW w:w="259" w:type="pct"/>
            <w:vAlign w:val="center"/>
          </w:tcPr>
          <w:p w14:paraId="6EC64AB5">
            <w:pPr>
              <w:widowControl/>
              <w:spacing w:line="300" w:lineRule="exact"/>
              <w:jc w:val="center"/>
              <w:rPr>
                <w:rFonts w:ascii="Times New Roman" w:eastAsia="宋体"/>
                <w:color w:val="000000"/>
                <w:sz w:val="21"/>
                <w:szCs w:val="21"/>
              </w:rPr>
            </w:pPr>
            <w:r>
              <w:rPr>
                <w:rFonts w:ascii="Times New Roman" w:eastAsia="宋体"/>
                <w:color w:val="000000"/>
                <w:sz w:val="21"/>
                <w:szCs w:val="21"/>
              </w:rPr>
              <w:t>/</w:t>
            </w:r>
          </w:p>
        </w:tc>
        <w:tc>
          <w:tcPr>
            <w:tcW w:w="360" w:type="pct"/>
            <w:vAlign w:val="center"/>
          </w:tcPr>
          <w:p w14:paraId="7CA9D7C6">
            <w:pPr>
              <w:widowControl/>
              <w:spacing w:line="300" w:lineRule="exact"/>
              <w:jc w:val="center"/>
              <w:rPr>
                <w:rFonts w:ascii="Times New Roman" w:eastAsia="宋体"/>
                <w:color w:val="000000"/>
                <w:sz w:val="21"/>
                <w:szCs w:val="21"/>
              </w:rPr>
            </w:pPr>
            <w:r>
              <w:rPr>
                <w:rFonts w:ascii="Times New Roman" w:eastAsia="宋体"/>
                <w:color w:val="000000"/>
                <w:sz w:val="21"/>
                <w:szCs w:val="21"/>
              </w:rPr>
              <w:t>/</w:t>
            </w:r>
          </w:p>
        </w:tc>
        <w:tc>
          <w:tcPr>
            <w:tcW w:w="380" w:type="pct"/>
            <w:vAlign w:val="center"/>
          </w:tcPr>
          <w:p w14:paraId="05C22497">
            <w:pPr>
              <w:widowControl/>
              <w:spacing w:line="300" w:lineRule="exact"/>
              <w:jc w:val="center"/>
              <w:rPr>
                <w:rFonts w:ascii="Times New Roman" w:eastAsia="宋体"/>
                <w:color w:val="000000"/>
                <w:sz w:val="21"/>
                <w:szCs w:val="21"/>
              </w:rPr>
            </w:pPr>
            <w:r>
              <w:rPr>
                <w:rFonts w:ascii="Times New Roman" w:eastAsia="宋体"/>
                <w:color w:val="000000"/>
                <w:sz w:val="21"/>
                <w:szCs w:val="21"/>
              </w:rPr>
              <w:t>11</w:t>
            </w:r>
          </w:p>
        </w:tc>
        <w:tc>
          <w:tcPr>
            <w:tcW w:w="375" w:type="pct"/>
            <w:vAlign w:val="center"/>
          </w:tcPr>
          <w:p w14:paraId="11F04D95">
            <w:pPr>
              <w:widowControl/>
              <w:spacing w:line="300" w:lineRule="exact"/>
              <w:jc w:val="center"/>
              <w:rPr>
                <w:rFonts w:ascii="Times New Roman" w:eastAsia="宋体"/>
                <w:color w:val="000000"/>
                <w:sz w:val="21"/>
                <w:szCs w:val="21"/>
              </w:rPr>
            </w:pPr>
            <w:r>
              <w:rPr>
                <w:rFonts w:ascii="Times New Roman" w:eastAsia="宋体"/>
                <w:color w:val="000000"/>
                <w:sz w:val="21"/>
                <w:szCs w:val="21"/>
              </w:rPr>
              <w:t>15</w:t>
            </w:r>
          </w:p>
        </w:tc>
        <w:tc>
          <w:tcPr>
            <w:tcW w:w="467" w:type="pct"/>
            <w:vAlign w:val="center"/>
          </w:tcPr>
          <w:p w14:paraId="72DE1708">
            <w:pPr>
              <w:widowControl/>
              <w:spacing w:line="300" w:lineRule="exact"/>
              <w:jc w:val="center"/>
              <w:rPr>
                <w:rFonts w:ascii="Times New Roman" w:eastAsia="宋体"/>
                <w:color w:val="000000"/>
                <w:sz w:val="21"/>
                <w:szCs w:val="21"/>
              </w:rPr>
            </w:pPr>
            <w:r>
              <w:rPr>
                <w:rFonts w:ascii="Times New Roman" w:eastAsia="宋体"/>
                <w:color w:val="000000"/>
                <w:sz w:val="21"/>
                <w:szCs w:val="21"/>
              </w:rPr>
              <w:t>0.</w:t>
            </w:r>
            <w:r>
              <w:rPr>
                <w:rFonts w:hint="eastAsia" w:ascii="Times New Roman" w:eastAsia="宋体"/>
                <w:color w:val="000000"/>
                <w:sz w:val="21"/>
                <w:szCs w:val="21"/>
              </w:rPr>
              <w:t>4</w:t>
            </w:r>
          </w:p>
        </w:tc>
        <w:tc>
          <w:tcPr>
            <w:tcW w:w="419" w:type="pct"/>
            <w:vAlign w:val="center"/>
          </w:tcPr>
          <w:p w14:paraId="3A156B54">
            <w:pPr>
              <w:spacing w:line="300" w:lineRule="exact"/>
              <w:jc w:val="center"/>
              <w:rPr>
                <w:rFonts w:ascii="Times New Roman" w:eastAsia="宋体"/>
                <w:color w:val="000000"/>
                <w:sz w:val="21"/>
                <w:szCs w:val="21"/>
              </w:rPr>
            </w:pPr>
            <w:r>
              <w:rPr>
                <w:rFonts w:hint="eastAsia" w:ascii="Times New Roman" w:eastAsia="宋体"/>
                <w:color w:val="000000"/>
                <w:sz w:val="21"/>
                <w:szCs w:val="21"/>
              </w:rPr>
              <w:t>13.3</w:t>
            </w:r>
          </w:p>
        </w:tc>
        <w:tc>
          <w:tcPr>
            <w:tcW w:w="540" w:type="pct"/>
            <w:vAlign w:val="center"/>
          </w:tcPr>
          <w:p w14:paraId="37946873">
            <w:pPr>
              <w:widowControl/>
              <w:spacing w:line="300" w:lineRule="exact"/>
              <w:jc w:val="center"/>
              <w:rPr>
                <w:rFonts w:ascii="Times New Roman" w:eastAsia="宋体"/>
                <w:color w:val="000000"/>
                <w:sz w:val="21"/>
                <w:szCs w:val="21"/>
              </w:rPr>
            </w:pPr>
            <w:r>
              <w:rPr>
                <w:rFonts w:ascii="Times New Roman" w:eastAsia="宋体"/>
                <w:color w:val="000000"/>
                <w:sz w:val="21"/>
                <w:szCs w:val="21"/>
              </w:rPr>
              <w:t>25</w:t>
            </w:r>
          </w:p>
        </w:tc>
        <w:tc>
          <w:tcPr>
            <w:tcW w:w="550" w:type="pct"/>
            <w:vAlign w:val="center"/>
          </w:tcPr>
          <w:p w14:paraId="1C51472D">
            <w:pPr>
              <w:widowControl/>
              <w:spacing w:line="300" w:lineRule="exact"/>
              <w:jc w:val="center"/>
              <w:rPr>
                <w:rFonts w:ascii="Times New Roman" w:eastAsia="宋体"/>
                <w:color w:val="000000"/>
                <w:sz w:val="21"/>
                <w:szCs w:val="21"/>
              </w:rPr>
            </w:pPr>
            <w:r>
              <w:rPr>
                <w:rFonts w:ascii="Times New Roman" w:eastAsia="宋体"/>
                <w:color w:val="000000"/>
                <w:sz w:val="21"/>
                <w:szCs w:val="21"/>
              </w:rPr>
              <w:t>7200</w:t>
            </w:r>
          </w:p>
        </w:tc>
        <w:tc>
          <w:tcPr>
            <w:tcW w:w="335" w:type="pct"/>
            <w:vAlign w:val="center"/>
          </w:tcPr>
          <w:p w14:paraId="4858042D">
            <w:pPr>
              <w:widowControl/>
              <w:spacing w:line="300" w:lineRule="exact"/>
              <w:jc w:val="center"/>
              <w:rPr>
                <w:rFonts w:ascii="Times New Roman" w:eastAsia="宋体"/>
                <w:color w:val="000000"/>
                <w:sz w:val="21"/>
                <w:szCs w:val="21"/>
              </w:rPr>
            </w:pPr>
            <w:r>
              <w:rPr>
                <w:rFonts w:ascii="Times New Roman" w:eastAsia="宋体"/>
                <w:color w:val="000000"/>
                <w:sz w:val="21"/>
                <w:szCs w:val="21"/>
              </w:rPr>
              <w:t>连续</w:t>
            </w:r>
          </w:p>
        </w:tc>
        <w:tc>
          <w:tcPr>
            <w:tcW w:w="492" w:type="pct"/>
            <w:vAlign w:val="center"/>
          </w:tcPr>
          <w:p w14:paraId="2FF04455">
            <w:pPr>
              <w:widowControl/>
              <w:spacing w:line="300" w:lineRule="exact"/>
              <w:jc w:val="center"/>
              <w:rPr>
                <w:rFonts w:ascii="Times New Roman" w:eastAsia="宋体"/>
                <w:color w:val="000000"/>
                <w:sz w:val="21"/>
                <w:szCs w:val="21"/>
              </w:rPr>
            </w:pPr>
          </w:p>
        </w:tc>
        <w:tc>
          <w:tcPr>
            <w:tcW w:w="437" w:type="pct"/>
            <w:vAlign w:val="center"/>
          </w:tcPr>
          <w:p w14:paraId="48D2AEC6">
            <w:pPr>
              <w:widowControl/>
              <w:spacing w:line="300" w:lineRule="exact"/>
              <w:jc w:val="center"/>
              <w:rPr>
                <w:rFonts w:ascii="Times New Roman" w:eastAsia="宋体"/>
                <w:color w:val="000000"/>
                <w:sz w:val="21"/>
                <w:szCs w:val="21"/>
              </w:rPr>
            </w:pPr>
          </w:p>
        </w:tc>
      </w:tr>
    </w:tbl>
    <w:p w14:paraId="31B93264">
      <w:pPr>
        <w:pStyle w:val="31"/>
        <w:spacing w:before="0" w:line="480" w:lineRule="exact"/>
      </w:pPr>
      <w:r>
        <w:rPr>
          <w:rFonts w:hint="eastAsia"/>
        </w:rPr>
        <w:t>表</w:t>
      </w:r>
      <w:r>
        <w:t>5.2-</w:t>
      </w:r>
      <w:r>
        <w:rPr>
          <w:rFonts w:hint="eastAsia"/>
        </w:rPr>
        <w:t>7</w:t>
      </w:r>
      <w:r>
        <w:t xml:space="preserve"> </w:t>
      </w:r>
      <w:r>
        <w:rPr>
          <w:rFonts w:hint="eastAsia"/>
        </w:rPr>
        <w:t>项目大气污染源面源参数表</w:t>
      </w:r>
    </w:p>
    <w:tbl>
      <w:tblPr>
        <w:tblStyle w:val="41"/>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34" w:type="dxa"/>
          <w:left w:w="108" w:type="dxa"/>
          <w:bottom w:w="0" w:type="dxa"/>
          <w:right w:w="108" w:type="dxa"/>
        </w:tblCellMar>
      </w:tblPr>
      <w:tblGrid>
        <w:gridCol w:w="392"/>
        <w:gridCol w:w="1310"/>
        <w:gridCol w:w="624"/>
        <w:gridCol w:w="680"/>
        <w:gridCol w:w="803"/>
        <w:gridCol w:w="719"/>
        <w:gridCol w:w="719"/>
        <w:gridCol w:w="719"/>
        <w:gridCol w:w="1251"/>
        <w:gridCol w:w="1037"/>
        <w:gridCol w:w="1266"/>
        <w:gridCol w:w="2243"/>
        <w:gridCol w:w="2221"/>
      </w:tblGrid>
      <w:tr w14:paraId="4D04B9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34" w:type="dxa"/>
            <w:left w:w="108" w:type="dxa"/>
            <w:bottom w:w="0" w:type="dxa"/>
            <w:right w:w="108" w:type="dxa"/>
          </w:tblCellMar>
        </w:tblPrEx>
        <w:trPr>
          <w:trHeight w:val="340" w:hRule="atLeast"/>
          <w:jc w:val="center"/>
        </w:trPr>
        <w:tc>
          <w:tcPr>
            <w:tcW w:w="140" w:type="pct"/>
            <w:vMerge w:val="restart"/>
            <w:tcMar>
              <w:top w:w="0" w:type="dxa"/>
              <w:left w:w="17" w:type="dxa"/>
              <w:right w:w="17" w:type="dxa"/>
            </w:tcMar>
            <w:vAlign w:val="center"/>
          </w:tcPr>
          <w:p w14:paraId="4B05D6B3">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编号</w:t>
            </w:r>
          </w:p>
        </w:tc>
        <w:tc>
          <w:tcPr>
            <w:tcW w:w="468" w:type="pct"/>
            <w:vMerge w:val="restart"/>
            <w:tcMar>
              <w:top w:w="0" w:type="dxa"/>
              <w:left w:w="17" w:type="dxa"/>
              <w:right w:w="17" w:type="dxa"/>
            </w:tcMar>
            <w:vAlign w:val="center"/>
          </w:tcPr>
          <w:p w14:paraId="71377010">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名称</w:t>
            </w:r>
          </w:p>
        </w:tc>
        <w:tc>
          <w:tcPr>
            <w:tcW w:w="466" w:type="pct"/>
            <w:gridSpan w:val="2"/>
            <w:tcMar>
              <w:top w:w="0" w:type="dxa"/>
              <w:left w:w="17" w:type="dxa"/>
              <w:right w:w="17" w:type="dxa"/>
            </w:tcMar>
            <w:vAlign w:val="center"/>
          </w:tcPr>
          <w:p w14:paraId="63D65E36">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面源起点坐标（º）</w:t>
            </w:r>
          </w:p>
        </w:tc>
        <w:tc>
          <w:tcPr>
            <w:tcW w:w="287" w:type="pct"/>
            <w:vMerge w:val="restart"/>
            <w:tcMar>
              <w:top w:w="0" w:type="dxa"/>
              <w:left w:w="17" w:type="dxa"/>
              <w:right w:w="17" w:type="dxa"/>
            </w:tcMar>
            <w:vAlign w:val="center"/>
          </w:tcPr>
          <w:p w14:paraId="281AB29A">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面源海拔高度</w:t>
            </w:r>
          </w:p>
          <w:p w14:paraId="4AD50F6B">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（m）</w:t>
            </w:r>
          </w:p>
        </w:tc>
        <w:tc>
          <w:tcPr>
            <w:tcW w:w="257" w:type="pct"/>
            <w:vMerge w:val="restart"/>
            <w:tcMar>
              <w:top w:w="0" w:type="dxa"/>
              <w:left w:w="17" w:type="dxa"/>
              <w:right w:w="17" w:type="dxa"/>
            </w:tcMar>
            <w:vAlign w:val="center"/>
          </w:tcPr>
          <w:p w14:paraId="637EC47E">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面源长</w:t>
            </w:r>
          </w:p>
          <w:p w14:paraId="61151B8A">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度（m）</w:t>
            </w:r>
          </w:p>
        </w:tc>
        <w:tc>
          <w:tcPr>
            <w:tcW w:w="257" w:type="pct"/>
            <w:vMerge w:val="restart"/>
            <w:tcMar>
              <w:top w:w="0" w:type="dxa"/>
              <w:left w:w="17" w:type="dxa"/>
              <w:right w:w="17" w:type="dxa"/>
            </w:tcMar>
            <w:vAlign w:val="center"/>
          </w:tcPr>
          <w:p w14:paraId="54DD5D65">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面源宽</w:t>
            </w:r>
          </w:p>
          <w:p w14:paraId="41BDA9A2">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度（m）</w:t>
            </w:r>
          </w:p>
        </w:tc>
        <w:tc>
          <w:tcPr>
            <w:tcW w:w="257" w:type="pct"/>
            <w:vMerge w:val="restart"/>
            <w:tcMar>
              <w:top w:w="0" w:type="dxa"/>
              <w:left w:w="17" w:type="dxa"/>
              <w:right w:w="17" w:type="dxa"/>
            </w:tcMar>
            <w:vAlign w:val="center"/>
          </w:tcPr>
          <w:p w14:paraId="63AA2BEE">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与正北向夹角（º）</w:t>
            </w:r>
          </w:p>
        </w:tc>
        <w:tc>
          <w:tcPr>
            <w:tcW w:w="447" w:type="pct"/>
            <w:vMerge w:val="restart"/>
            <w:tcMar>
              <w:top w:w="0" w:type="dxa"/>
              <w:left w:w="17" w:type="dxa"/>
              <w:right w:w="17" w:type="dxa"/>
            </w:tcMar>
            <w:vAlign w:val="center"/>
          </w:tcPr>
          <w:p w14:paraId="1623872A">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面源有效排放高度（m）</w:t>
            </w:r>
          </w:p>
        </w:tc>
        <w:tc>
          <w:tcPr>
            <w:tcW w:w="370" w:type="pct"/>
            <w:vMerge w:val="restart"/>
            <w:tcMar>
              <w:top w:w="0" w:type="dxa"/>
              <w:left w:w="17" w:type="dxa"/>
              <w:right w:w="17" w:type="dxa"/>
            </w:tcMar>
            <w:vAlign w:val="center"/>
          </w:tcPr>
          <w:p w14:paraId="02F5236A">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年排放小时数</w:t>
            </w:r>
          </w:p>
          <w:p w14:paraId="13CA66A7">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（h）</w:t>
            </w:r>
          </w:p>
        </w:tc>
        <w:tc>
          <w:tcPr>
            <w:tcW w:w="452" w:type="pct"/>
            <w:vMerge w:val="restart"/>
            <w:tcMar>
              <w:top w:w="0" w:type="dxa"/>
              <w:left w:w="17" w:type="dxa"/>
              <w:right w:w="17" w:type="dxa"/>
            </w:tcMar>
            <w:vAlign w:val="center"/>
          </w:tcPr>
          <w:p w14:paraId="554BF32B">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排放工况</w:t>
            </w:r>
          </w:p>
        </w:tc>
        <w:tc>
          <w:tcPr>
            <w:tcW w:w="1594" w:type="pct"/>
            <w:gridSpan w:val="2"/>
            <w:tcMar>
              <w:top w:w="0" w:type="dxa"/>
              <w:left w:w="17" w:type="dxa"/>
              <w:right w:w="17" w:type="dxa"/>
            </w:tcMar>
            <w:vAlign w:val="center"/>
          </w:tcPr>
          <w:p w14:paraId="66FACDF0">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污染物排放速率（kg/h）</w:t>
            </w:r>
          </w:p>
        </w:tc>
      </w:tr>
      <w:tr w14:paraId="0E8EC0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34" w:type="dxa"/>
            <w:left w:w="108" w:type="dxa"/>
            <w:bottom w:w="0" w:type="dxa"/>
            <w:right w:w="108" w:type="dxa"/>
          </w:tblCellMar>
        </w:tblPrEx>
        <w:trPr>
          <w:trHeight w:val="340" w:hRule="atLeast"/>
          <w:jc w:val="center"/>
        </w:trPr>
        <w:tc>
          <w:tcPr>
            <w:tcW w:w="140" w:type="pct"/>
            <w:vMerge w:val="continue"/>
            <w:tcMar>
              <w:top w:w="0" w:type="dxa"/>
              <w:left w:w="17" w:type="dxa"/>
              <w:right w:w="17" w:type="dxa"/>
            </w:tcMar>
            <w:vAlign w:val="center"/>
          </w:tcPr>
          <w:p w14:paraId="4E3190B3">
            <w:pPr>
              <w:widowControl/>
              <w:snapToGrid w:val="0"/>
              <w:spacing w:line="300" w:lineRule="exact"/>
              <w:jc w:val="center"/>
              <w:rPr>
                <w:rFonts w:ascii="Times New Roman" w:eastAsia="宋体"/>
                <w:color w:val="000000"/>
                <w:sz w:val="21"/>
                <w:szCs w:val="21"/>
              </w:rPr>
            </w:pPr>
          </w:p>
        </w:tc>
        <w:tc>
          <w:tcPr>
            <w:tcW w:w="468" w:type="pct"/>
            <w:vMerge w:val="continue"/>
            <w:tcMar>
              <w:top w:w="0" w:type="dxa"/>
              <w:left w:w="17" w:type="dxa"/>
              <w:right w:w="17" w:type="dxa"/>
            </w:tcMar>
            <w:vAlign w:val="center"/>
          </w:tcPr>
          <w:p w14:paraId="1B0C4EBB">
            <w:pPr>
              <w:widowControl/>
              <w:snapToGrid w:val="0"/>
              <w:spacing w:line="300" w:lineRule="exact"/>
              <w:jc w:val="center"/>
              <w:rPr>
                <w:rFonts w:ascii="Times New Roman" w:eastAsia="宋体"/>
                <w:color w:val="000000"/>
                <w:sz w:val="21"/>
                <w:szCs w:val="21"/>
              </w:rPr>
            </w:pPr>
          </w:p>
        </w:tc>
        <w:tc>
          <w:tcPr>
            <w:tcW w:w="223" w:type="pct"/>
            <w:tcMar>
              <w:top w:w="0" w:type="dxa"/>
              <w:left w:w="17" w:type="dxa"/>
              <w:right w:w="17" w:type="dxa"/>
            </w:tcMar>
            <w:vAlign w:val="center"/>
          </w:tcPr>
          <w:p w14:paraId="3084C3D8">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经度</w:t>
            </w:r>
          </w:p>
        </w:tc>
        <w:tc>
          <w:tcPr>
            <w:tcW w:w="243" w:type="pct"/>
            <w:tcMar>
              <w:top w:w="0" w:type="dxa"/>
              <w:left w:w="17" w:type="dxa"/>
              <w:right w:w="17" w:type="dxa"/>
            </w:tcMar>
            <w:vAlign w:val="center"/>
          </w:tcPr>
          <w:p w14:paraId="02CE91D1">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纬度</w:t>
            </w:r>
          </w:p>
        </w:tc>
        <w:tc>
          <w:tcPr>
            <w:tcW w:w="287" w:type="pct"/>
            <w:vMerge w:val="continue"/>
            <w:tcMar>
              <w:top w:w="0" w:type="dxa"/>
              <w:left w:w="17" w:type="dxa"/>
              <w:right w:w="17" w:type="dxa"/>
            </w:tcMar>
            <w:vAlign w:val="center"/>
          </w:tcPr>
          <w:p w14:paraId="4F640D99">
            <w:pPr>
              <w:widowControl/>
              <w:snapToGrid w:val="0"/>
              <w:spacing w:line="300" w:lineRule="exact"/>
              <w:jc w:val="center"/>
              <w:rPr>
                <w:rFonts w:ascii="Times New Roman" w:eastAsia="宋体"/>
                <w:color w:val="000000"/>
                <w:sz w:val="21"/>
                <w:szCs w:val="21"/>
              </w:rPr>
            </w:pPr>
          </w:p>
        </w:tc>
        <w:tc>
          <w:tcPr>
            <w:tcW w:w="257" w:type="pct"/>
            <w:vMerge w:val="continue"/>
            <w:tcMar>
              <w:top w:w="0" w:type="dxa"/>
              <w:left w:w="17" w:type="dxa"/>
              <w:right w:w="17" w:type="dxa"/>
            </w:tcMar>
            <w:vAlign w:val="center"/>
          </w:tcPr>
          <w:p w14:paraId="1CE0BA24">
            <w:pPr>
              <w:widowControl/>
              <w:snapToGrid w:val="0"/>
              <w:spacing w:line="300" w:lineRule="exact"/>
              <w:jc w:val="center"/>
              <w:rPr>
                <w:rFonts w:ascii="Times New Roman" w:eastAsia="宋体"/>
                <w:color w:val="000000"/>
                <w:sz w:val="21"/>
                <w:szCs w:val="21"/>
              </w:rPr>
            </w:pPr>
          </w:p>
        </w:tc>
        <w:tc>
          <w:tcPr>
            <w:tcW w:w="257" w:type="pct"/>
            <w:vMerge w:val="continue"/>
            <w:tcMar>
              <w:top w:w="0" w:type="dxa"/>
              <w:left w:w="17" w:type="dxa"/>
              <w:right w:w="17" w:type="dxa"/>
            </w:tcMar>
            <w:vAlign w:val="center"/>
          </w:tcPr>
          <w:p w14:paraId="28BF6670">
            <w:pPr>
              <w:widowControl/>
              <w:snapToGrid w:val="0"/>
              <w:spacing w:line="300" w:lineRule="exact"/>
              <w:jc w:val="center"/>
              <w:rPr>
                <w:rFonts w:ascii="Times New Roman" w:eastAsia="宋体"/>
                <w:color w:val="000000"/>
                <w:sz w:val="21"/>
                <w:szCs w:val="21"/>
              </w:rPr>
            </w:pPr>
          </w:p>
        </w:tc>
        <w:tc>
          <w:tcPr>
            <w:tcW w:w="257" w:type="pct"/>
            <w:vMerge w:val="continue"/>
            <w:tcMar>
              <w:top w:w="0" w:type="dxa"/>
              <w:left w:w="17" w:type="dxa"/>
              <w:right w:w="17" w:type="dxa"/>
            </w:tcMar>
            <w:vAlign w:val="center"/>
          </w:tcPr>
          <w:p w14:paraId="341A05EF">
            <w:pPr>
              <w:widowControl/>
              <w:snapToGrid w:val="0"/>
              <w:spacing w:line="300" w:lineRule="exact"/>
              <w:jc w:val="center"/>
              <w:rPr>
                <w:rFonts w:ascii="Times New Roman" w:eastAsia="宋体"/>
                <w:color w:val="000000"/>
                <w:sz w:val="21"/>
                <w:szCs w:val="21"/>
              </w:rPr>
            </w:pPr>
          </w:p>
        </w:tc>
        <w:tc>
          <w:tcPr>
            <w:tcW w:w="447" w:type="pct"/>
            <w:vMerge w:val="continue"/>
            <w:tcMar>
              <w:top w:w="0" w:type="dxa"/>
              <w:left w:w="17" w:type="dxa"/>
              <w:right w:w="17" w:type="dxa"/>
            </w:tcMar>
            <w:vAlign w:val="center"/>
          </w:tcPr>
          <w:p w14:paraId="7CEB53B4">
            <w:pPr>
              <w:widowControl/>
              <w:snapToGrid w:val="0"/>
              <w:spacing w:line="300" w:lineRule="exact"/>
              <w:jc w:val="center"/>
              <w:rPr>
                <w:rFonts w:ascii="Times New Roman" w:eastAsia="宋体"/>
                <w:color w:val="000000"/>
                <w:sz w:val="21"/>
                <w:szCs w:val="21"/>
              </w:rPr>
            </w:pPr>
          </w:p>
        </w:tc>
        <w:tc>
          <w:tcPr>
            <w:tcW w:w="370" w:type="pct"/>
            <w:vMerge w:val="continue"/>
            <w:tcMar>
              <w:top w:w="0" w:type="dxa"/>
              <w:left w:w="17" w:type="dxa"/>
              <w:right w:w="17" w:type="dxa"/>
            </w:tcMar>
            <w:vAlign w:val="center"/>
          </w:tcPr>
          <w:p w14:paraId="543114E6">
            <w:pPr>
              <w:widowControl/>
              <w:snapToGrid w:val="0"/>
              <w:spacing w:line="300" w:lineRule="exact"/>
              <w:jc w:val="center"/>
              <w:rPr>
                <w:rFonts w:ascii="Times New Roman" w:eastAsia="宋体"/>
                <w:color w:val="000000"/>
                <w:sz w:val="21"/>
                <w:szCs w:val="21"/>
              </w:rPr>
            </w:pPr>
          </w:p>
        </w:tc>
        <w:tc>
          <w:tcPr>
            <w:tcW w:w="452" w:type="pct"/>
            <w:vMerge w:val="continue"/>
            <w:tcMar>
              <w:top w:w="0" w:type="dxa"/>
              <w:left w:w="17" w:type="dxa"/>
              <w:right w:w="17" w:type="dxa"/>
            </w:tcMar>
            <w:vAlign w:val="center"/>
          </w:tcPr>
          <w:p w14:paraId="34DB0CB9">
            <w:pPr>
              <w:widowControl/>
              <w:snapToGrid w:val="0"/>
              <w:spacing w:line="300" w:lineRule="exact"/>
              <w:jc w:val="center"/>
              <w:rPr>
                <w:rFonts w:ascii="Times New Roman" w:eastAsia="宋体"/>
                <w:color w:val="000000"/>
                <w:sz w:val="21"/>
                <w:szCs w:val="21"/>
              </w:rPr>
            </w:pPr>
          </w:p>
        </w:tc>
        <w:tc>
          <w:tcPr>
            <w:tcW w:w="801" w:type="pct"/>
            <w:tcMar>
              <w:top w:w="0" w:type="dxa"/>
              <w:left w:w="17" w:type="dxa"/>
              <w:right w:w="17" w:type="dxa"/>
            </w:tcMar>
            <w:vAlign w:val="center"/>
          </w:tcPr>
          <w:p w14:paraId="3E6F3C73">
            <w:pPr>
              <w:widowControl/>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氨</w:t>
            </w:r>
          </w:p>
        </w:tc>
        <w:tc>
          <w:tcPr>
            <w:tcW w:w="792" w:type="pct"/>
            <w:vAlign w:val="center"/>
          </w:tcPr>
          <w:p w14:paraId="599560CA">
            <w:pPr>
              <w:widowControl/>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硫化氢</w:t>
            </w:r>
          </w:p>
        </w:tc>
      </w:tr>
      <w:tr w14:paraId="6F78D9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34" w:type="dxa"/>
            <w:left w:w="108" w:type="dxa"/>
            <w:bottom w:w="0" w:type="dxa"/>
            <w:right w:w="108" w:type="dxa"/>
          </w:tblCellMar>
        </w:tblPrEx>
        <w:trPr>
          <w:trHeight w:val="340" w:hRule="atLeast"/>
          <w:jc w:val="center"/>
        </w:trPr>
        <w:tc>
          <w:tcPr>
            <w:tcW w:w="140" w:type="pct"/>
            <w:tcMar>
              <w:top w:w="0" w:type="dxa"/>
              <w:left w:w="17" w:type="dxa"/>
              <w:right w:w="17" w:type="dxa"/>
            </w:tcMar>
            <w:vAlign w:val="center"/>
          </w:tcPr>
          <w:p w14:paraId="4C8BEDEE">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1</w:t>
            </w:r>
          </w:p>
        </w:tc>
        <w:tc>
          <w:tcPr>
            <w:tcW w:w="468" w:type="pct"/>
            <w:tcMar>
              <w:top w:w="0" w:type="dxa"/>
              <w:left w:w="17" w:type="dxa"/>
              <w:right w:w="17" w:type="dxa"/>
            </w:tcMar>
            <w:vAlign w:val="center"/>
          </w:tcPr>
          <w:p w14:paraId="362F7327">
            <w:pPr>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鸡舍区</w:t>
            </w:r>
          </w:p>
        </w:tc>
        <w:tc>
          <w:tcPr>
            <w:tcW w:w="223" w:type="pct"/>
            <w:tcMar>
              <w:top w:w="0" w:type="dxa"/>
              <w:left w:w="17" w:type="dxa"/>
              <w:right w:w="17" w:type="dxa"/>
            </w:tcMar>
            <w:vAlign w:val="center"/>
          </w:tcPr>
          <w:p w14:paraId="000EDED7">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w:t>
            </w:r>
          </w:p>
        </w:tc>
        <w:tc>
          <w:tcPr>
            <w:tcW w:w="243" w:type="pct"/>
            <w:tcMar>
              <w:top w:w="0" w:type="dxa"/>
              <w:left w:w="17" w:type="dxa"/>
              <w:right w:w="17" w:type="dxa"/>
            </w:tcMar>
            <w:vAlign w:val="center"/>
          </w:tcPr>
          <w:p w14:paraId="15649F61">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w:t>
            </w:r>
          </w:p>
        </w:tc>
        <w:tc>
          <w:tcPr>
            <w:tcW w:w="287" w:type="pct"/>
            <w:tcMar>
              <w:top w:w="0" w:type="dxa"/>
              <w:left w:w="17" w:type="dxa"/>
              <w:right w:w="17" w:type="dxa"/>
            </w:tcMar>
            <w:vAlign w:val="center"/>
          </w:tcPr>
          <w:p w14:paraId="4098061B">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11</w:t>
            </w:r>
          </w:p>
        </w:tc>
        <w:tc>
          <w:tcPr>
            <w:tcW w:w="257" w:type="pct"/>
            <w:tcMar>
              <w:top w:w="0" w:type="dxa"/>
              <w:left w:w="17" w:type="dxa"/>
              <w:right w:w="17" w:type="dxa"/>
            </w:tcMar>
            <w:vAlign w:val="center"/>
          </w:tcPr>
          <w:p w14:paraId="0D4900C6">
            <w:pPr>
              <w:widowControl/>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83</w:t>
            </w:r>
          </w:p>
        </w:tc>
        <w:tc>
          <w:tcPr>
            <w:tcW w:w="257" w:type="pct"/>
            <w:tcMar>
              <w:top w:w="0" w:type="dxa"/>
              <w:left w:w="17" w:type="dxa"/>
              <w:right w:w="17" w:type="dxa"/>
            </w:tcMar>
            <w:vAlign w:val="center"/>
          </w:tcPr>
          <w:p w14:paraId="4BB7C29F">
            <w:pPr>
              <w:widowControl/>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165</w:t>
            </w:r>
          </w:p>
        </w:tc>
        <w:tc>
          <w:tcPr>
            <w:tcW w:w="257" w:type="pct"/>
            <w:tcMar>
              <w:top w:w="0" w:type="dxa"/>
              <w:left w:w="17" w:type="dxa"/>
              <w:right w:w="17" w:type="dxa"/>
            </w:tcMar>
            <w:vAlign w:val="center"/>
          </w:tcPr>
          <w:p w14:paraId="48E11626">
            <w:pPr>
              <w:widowControl/>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90</w:t>
            </w:r>
          </w:p>
        </w:tc>
        <w:tc>
          <w:tcPr>
            <w:tcW w:w="447" w:type="pct"/>
            <w:tcMar>
              <w:top w:w="0" w:type="dxa"/>
              <w:left w:w="17" w:type="dxa"/>
              <w:right w:w="17" w:type="dxa"/>
            </w:tcMar>
            <w:vAlign w:val="center"/>
          </w:tcPr>
          <w:p w14:paraId="047FEAB6">
            <w:pPr>
              <w:widowControl/>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4</w:t>
            </w:r>
          </w:p>
        </w:tc>
        <w:tc>
          <w:tcPr>
            <w:tcW w:w="370" w:type="pct"/>
            <w:tcMar>
              <w:top w:w="0" w:type="dxa"/>
              <w:left w:w="17" w:type="dxa"/>
              <w:right w:w="17" w:type="dxa"/>
            </w:tcMar>
            <w:vAlign w:val="center"/>
          </w:tcPr>
          <w:p w14:paraId="36C4CEA3">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7200</w:t>
            </w:r>
          </w:p>
        </w:tc>
        <w:tc>
          <w:tcPr>
            <w:tcW w:w="452" w:type="pct"/>
            <w:tcMar>
              <w:top w:w="0" w:type="dxa"/>
              <w:left w:w="17" w:type="dxa"/>
              <w:right w:w="17" w:type="dxa"/>
            </w:tcMar>
            <w:vAlign w:val="center"/>
          </w:tcPr>
          <w:p w14:paraId="5960FBB1">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连续</w:t>
            </w:r>
          </w:p>
        </w:tc>
        <w:tc>
          <w:tcPr>
            <w:tcW w:w="801" w:type="pct"/>
            <w:tcMar>
              <w:top w:w="0" w:type="dxa"/>
              <w:left w:w="17" w:type="dxa"/>
              <w:right w:w="17" w:type="dxa"/>
            </w:tcMar>
            <w:vAlign w:val="center"/>
          </w:tcPr>
          <w:p w14:paraId="63C34FE0">
            <w:pPr>
              <w:widowControl/>
              <w:snapToGrid w:val="0"/>
              <w:spacing w:line="300" w:lineRule="exact"/>
              <w:jc w:val="center"/>
              <w:rPr>
                <w:rFonts w:ascii="Times New Roman" w:eastAsia="宋体"/>
                <w:color w:val="000000"/>
                <w:sz w:val="21"/>
                <w:szCs w:val="21"/>
              </w:rPr>
            </w:pPr>
          </w:p>
        </w:tc>
        <w:tc>
          <w:tcPr>
            <w:tcW w:w="792" w:type="pct"/>
            <w:vAlign w:val="center"/>
          </w:tcPr>
          <w:p w14:paraId="563D219D">
            <w:pPr>
              <w:widowControl/>
              <w:snapToGrid w:val="0"/>
              <w:spacing w:line="300" w:lineRule="exact"/>
              <w:jc w:val="center"/>
              <w:rPr>
                <w:rFonts w:ascii="Times New Roman" w:eastAsia="宋体"/>
                <w:color w:val="000000"/>
                <w:sz w:val="21"/>
                <w:szCs w:val="21"/>
              </w:rPr>
            </w:pPr>
          </w:p>
        </w:tc>
      </w:tr>
      <w:tr w14:paraId="2283DD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34" w:type="dxa"/>
            <w:left w:w="108" w:type="dxa"/>
            <w:bottom w:w="0" w:type="dxa"/>
            <w:right w:w="108" w:type="dxa"/>
          </w:tblCellMar>
        </w:tblPrEx>
        <w:trPr>
          <w:trHeight w:val="340" w:hRule="atLeast"/>
          <w:jc w:val="center"/>
        </w:trPr>
        <w:tc>
          <w:tcPr>
            <w:tcW w:w="140" w:type="pct"/>
            <w:tcMar>
              <w:top w:w="0" w:type="dxa"/>
              <w:left w:w="17" w:type="dxa"/>
              <w:right w:w="17" w:type="dxa"/>
            </w:tcMar>
            <w:vAlign w:val="center"/>
          </w:tcPr>
          <w:p w14:paraId="60D2300D">
            <w:pPr>
              <w:widowControl/>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2</w:t>
            </w:r>
          </w:p>
        </w:tc>
        <w:tc>
          <w:tcPr>
            <w:tcW w:w="468" w:type="pct"/>
            <w:tcMar>
              <w:top w:w="0" w:type="dxa"/>
              <w:left w:w="17" w:type="dxa"/>
              <w:right w:w="17" w:type="dxa"/>
            </w:tcMar>
            <w:vAlign w:val="center"/>
          </w:tcPr>
          <w:p w14:paraId="780E75CD">
            <w:pPr>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鸡粪暂存库</w:t>
            </w:r>
          </w:p>
        </w:tc>
        <w:tc>
          <w:tcPr>
            <w:tcW w:w="223" w:type="pct"/>
            <w:tcMar>
              <w:top w:w="0" w:type="dxa"/>
              <w:left w:w="17" w:type="dxa"/>
              <w:right w:w="17" w:type="dxa"/>
            </w:tcMar>
            <w:vAlign w:val="center"/>
          </w:tcPr>
          <w:p w14:paraId="46ED40E8">
            <w:pPr>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w:t>
            </w:r>
          </w:p>
        </w:tc>
        <w:tc>
          <w:tcPr>
            <w:tcW w:w="243" w:type="pct"/>
            <w:tcMar>
              <w:top w:w="0" w:type="dxa"/>
              <w:left w:w="17" w:type="dxa"/>
              <w:right w:w="17" w:type="dxa"/>
            </w:tcMar>
            <w:vAlign w:val="center"/>
          </w:tcPr>
          <w:p w14:paraId="4F8CE560">
            <w:pPr>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w:t>
            </w:r>
          </w:p>
        </w:tc>
        <w:tc>
          <w:tcPr>
            <w:tcW w:w="287" w:type="pct"/>
            <w:tcMar>
              <w:top w:w="0" w:type="dxa"/>
              <w:left w:w="17" w:type="dxa"/>
              <w:right w:w="17" w:type="dxa"/>
            </w:tcMar>
            <w:vAlign w:val="center"/>
          </w:tcPr>
          <w:p w14:paraId="03E04B2A">
            <w:pPr>
              <w:widowControl/>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11</w:t>
            </w:r>
          </w:p>
        </w:tc>
        <w:tc>
          <w:tcPr>
            <w:tcW w:w="257" w:type="pct"/>
            <w:tcMar>
              <w:top w:w="0" w:type="dxa"/>
              <w:left w:w="17" w:type="dxa"/>
              <w:right w:w="17" w:type="dxa"/>
            </w:tcMar>
            <w:vAlign w:val="center"/>
          </w:tcPr>
          <w:p w14:paraId="7E91498A">
            <w:pPr>
              <w:widowControl/>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30</w:t>
            </w:r>
          </w:p>
        </w:tc>
        <w:tc>
          <w:tcPr>
            <w:tcW w:w="257" w:type="pct"/>
            <w:tcMar>
              <w:top w:w="0" w:type="dxa"/>
              <w:left w:w="17" w:type="dxa"/>
              <w:right w:w="17" w:type="dxa"/>
            </w:tcMar>
            <w:vAlign w:val="center"/>
          </w:tcPr>
          <w:p w14:paraId="3B983683">
            <w:pPr>
              <w:widowControl/>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20</w:t>
            </w:r>
          </w:p>
        </w:tc>
        <w:tc>
          <w:tcPr>
            <w:tcW w:w="257" w:type="pct"/>
            <w:tcMar>
              <w:top w:w="0" w:type="dxa"/>
              <w:left w:w="17" w:type="dxa"/>
              <w:right w:w="17" w:type="dxa"/>
            </w:tcMar>
            <w:vAlign w:val="center"/>
          </w:tcPr>
          <w:p w14:paraId="411296FD">
            <w:pPr>
              <w:widowControl/>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90</w:t>
            </w:r>
          </w:p>
        </w:tc>
        <w:tc>
          <w:tcPr>
            <w:tcW w:w="447" w:type="pct"/>
            <w:tcMar>
              <w:top w:w="0" w:type="dxa"/>
              <w:left w:w="17" w:type="dxa"/>
              <w:right w:w="17" w:type="dxa"/>
            </w:tcMar>
            <w:vAlign w:val="center"/>
          </w:tcPr>
          <w:p w14:paraId="6976B6B1">
            <w:pPr>
              <w:widowControl/>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4.5</w:t>
            </w:r>
          </w:p>
        </w:tc>
        <w:tc>
          <w:tcPr>
            <w:tcW w:w="370" w:type="pct"/>
            <w:tcMar>
              <w:top w:w="0" w:type="dxa"/>
              <w:left w:w="17" w:type="dxa"/>
              <w:right w:w="17" w:type="dxa"/>
            </w:tcMar>
            <w:vAlign w:val="center"/>
          </w:tcPr>
          <w:p w14:paraId="69350736">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7200</w:t>
            </w:r>
          </w:p>
        </w:tc>
        <w:tc>
          <w:tcPr>
            <w:tcW w:w="452" w:type="pct"/>
            <w:tcMar>
              <w:top w:w="0" w:type="dxa"/>
              <w:left w:w="17" w:type="dxa"/>
              <w:right w:w="17" w:type="dxa"/>
            </w:tcMar>
            <w:vAlign w:val="center"/>
          </w:tcPr>
          <w:p w14:paraId="7DFFDEB8">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连续</w:t>
            </w:r>
          </w:p>
        </w:tc>
        <w:tc>
          <w:tcPr>
            <w:tcW w:w="801" w:type="pct"/>
            <w:tcMar>
              <w:top w:w="0" w:type="dxa"/>
              <w:left w:w="17" w:type="dxa"/>
              <w:right w:w="17" w:type="dxa"/>
            </w:tcMar>
            <w:vAlign w:val="center"/>
          </w:tcPr>
          <w:p w14:paraId="5C3E2F97">
            <w:pPr>
              <w:widowControl/>
              <w:snapToGrid w:val="0"/>
              <w:spacing w:line="300" w:lineRule="exact"/>
              <w:jc w:val="center"/>
              <w:rPr>
                <w:rFonts w:ascii="Times New Roman" w:eastAsia="宋体"/>
                <w:color w:val="000000"/>
                <w:sz w:val="21"/>
                <w:szCs w:val="21"/>
              </w:rPr>
            </w:pPr>
          </w:p>
        </w:tc>
        <w:tc>
          <w:tcPr>
            <w:tcW w:w="792" w:type="pct"/>
            <w:vAlign w:val="center"/>
          </w:tcPr>
          <w:p w14:paraId="572F0B88">
            <w:pPr>
              <w:widowControl/>
              <w:snapToGrid w:val="0"/>
              <w:spacing w:line="300" w:lineRule="exact"/>
              <w:jc w:val="center"/>
              <w:rPr>
                <w:rFonts w:ascii="Times New Roman" w:eastAsia="宋体"/>
                <w:color w:val="000000"/>
                <w:sz w:val="21"/>
                <w:szCs w:val="21"/>
              </w:rPr>
            </w:pPr>
          </w:p>
        </w:tc>
      </w:tr>
      <w:tr w14:paraId="73F2F8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34" w:type="dxa"/>
            <w:left w:w="108" w:type="dxa"/>
            <w:bottom w:w="0" w:type="dxa"/>
            <w:right w:w="108" w:type="dxa"/>
          </w:tblCellMar>
        </w:tblPrEx>
        <w:trPr>
          <w:trHeight w:val="340" w:hRule="atLeast"/>
          <w:jc w:val="center"/>
        </w:trPr>
        <w:tc>
          <w:tcPr>
            <w:tcW w:w="140" w:type="pct"/>
            <w:tcMar>
              <w:top w:w="0" w:type="dxa"/>
              <w:left w:w="17" w:type="dxa"/>
              <w:right w:w="17" w:type="dxa"/>
            </w:tcMar>
            <w:vAlign w:val="center"/>
          </w:tcPr>
          <w:p w14:paraId="4A3B0561">
            <w:pPr>
              <w:widowControl/>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3</w:t>
            </w:r>
          </w:p>
        </w:tc>
        <w:tc>
          <w:tcPr>
            <w:tcW w:w="468" w:type="pct"/>
            <w:tcMar>
              <w:top w:w="0" w:type="dxa"/>
              <w:left w:w="17" w:type="dxa"/>
              <w:right w:w="17" w:type="dxa"/>
            </w:tcMar>
            <w:vAlign w:val="center"/>
          </w:tcPr>
          <w:p w14:paraId="20A425EE">
            <w:pPr>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污水处理站</w:t>
            </w:r>
          </w:p>
        </w:tc>
        <w:tc>
          <w:tcPr>
            <w:tcW w:w="223" w:type="pct"/>
            <w:tcMar>
              <w:top w:w="0" w:type="dxa"/>
              <w:left w:w="17" w:type="dxa"/>
              <w:right w:w="17" w:type="dxa"/>
            </w:tcMar>
            <w:vAlign w:val="center"/>
          </w:tcPr>
          <w:p w14:paraId="4E7A0BCC">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w:t>
            </w:r>
          </w:p>
        </w:tc>
        <w:tc>
          <w:tcPr>
            <w:tcW w:w="243" w:type="pct"/>
            <w:tcMar>
              <w:top w:w="0" w:type="dxa"/>
              <w:left w:w="17" w:type="dxa"/>
              <w:right w:w="17" w:type="dxa"/>
            </w:tcMar>
            <w:vAlign w:val="center"/>
          </w:tcPr>
          <w:p w14:paraId="1B9B575B">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w:t>
            </w:r>
          </w:p>
        </w:tc>
        <w:tc>
          <w:tcPr>
            <w:tcW w:w="287" w:type="pct"/>
            <w:tcMar>
              <w:top w:w="0" w:type="dxa"/>
              <w:left w:w="17" w:type="dxa"/>
              <w:right w:w="17" w:type="dxa"/>
            </w:tcMar>
            <w:vAlign w:val="center"/>
          </w:tcPr>
          <w:p w14:paraId="159C9ABA">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11</w:t>
            </w:r>
          </w:p>
        </w:tc>
        <w:tc>
          <w:tcPr>
            <w:tcW w:w="257" w:type="pct"/>
            <w:tcMar>
              <w:top w:w="0" w:type="dxa"/>
              <w:left w:w="17" w:type="dxa"/>
              <w:right w:w="17" w:type="dxa"/>
            </w:tcMar>
            <w:vAlign w:val="center"/>
          </w:tcPr>
          <w:p w14:paraId="36CCF9F8">
            <w:pPr>
              <w:widowControl/>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20</w:t>
            </w:r>
          </w:p>
        </w:tc>
        <w:tc>
          <w:tcPr>
            <w:tcW w:w="257" w:type="pct"/>
            <w:tcMar>
              <w:top w:w="0" w:type="dxa"/>
              <w:left w:w="17" w:type="dxa"/>
              <w:right w:w="17" w:type="dxa"/>
            </w:tcMar>
            <w:vAlign w:val="center"/>
          </w:tcPr>
          <w:p w14:paraId="4C5F8B06">
            <w:pPr>
              <w:widowControl/>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50</w:t>
            </w:r>
          </w:p>
        </w:tc>
        <w:tc>
          <w:tcPr>
            <w:tcW w:w="257" w:type="pct"/>
            <w:tcMar>
              <w:top w:w="0" w:type="dxa"/>
              <w:left w:w="17" w:type="dxa"/>
              <w:right w:w="17" w:type="dxa"/>
            </w:tcMar>
            <w:vAlign w:val="center"/>
          </w:tcPr>
          <w:p w14:paraId="1B2BB455">
            <w:pPr>
              <w:widowControl/>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90</w:t>
            </w:r>
          </w:p>
        </w:tc>
        <w:tc>
          <w:tcPr>
            <w:tcW w:w="447" w:type="pct"/>
            <w:tcMar>
              <w:top w:w="0" w:type="dxa"/>
              <w:left w:w="17" w:type="dxa"/>
              <w:right w:w="17" w:type="dxa"/>
            </w:tcMar>
            <w:vAlign w:val="center"/>
          </w:tcPr>
          <w:p w14:paraId="12606889">
            <w:pPr>
              <w:widowControl/>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4</w:t>
            </w:r>
          </w:p>
        </w:tc>
        <w:tc>
          <w:tcPr>
            <w:tcW w:w="370" w:type="pct"/>
            <w:tcMar>
              <w:top w:w="0" w:type="dxa"/>
              <w:left w:w="17" w:type="dxa"/>
              <w:right w:w="17" w:type="dxa"/>
            </w:tcMar>
            <w:vAlign w:val="center"/>
          </w:tcPr>
          <w:p w14:paraId="5DA8E4CD">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7200</w:t>
            </w:r>
          </w:p>
        </w:tc>
        <w:tc>
          <w:tcPr>
            <w:tcW w:w="452" w:type="pct"/>
            <w:tcMar>
              <w:top w:w="0" w:type="dxa"/>
              <w:left w:w="17" w:type="dxa"/>
              <w:right w:w="17" w:type="dxa"/>
            </w:tcMar>
            <w:vAlign w:val="center"/>
          </w:tcPr>
          <w:p w14:paraId="166AC4AA">
            <w:pPr>
              <w:widowControl/>
              <w:snapToGrid w:val="0"/>
              <w:spacing w:line="300" w:lineRule="exact"/>
              <w:jc w:val="center"/>
              <w:rPr>
                <w:rFonts w:ascii="Times New Roman" w:eastAsia="宋体"/>
                <w:color w:val="000000"/>
                <w:sz w:val="21"/>
                <w:szCs w:val="21"/>
              </w:rPr>
            </w:pPr>
            <w:r>
              <w:rPr>
                <w:rFonts w:ascii="Times New Roman" w:eastAsia="宋体"/>
                <w:color w:val="000000"/>
                <w:sz w:val="21"/>
                <w:szCs w:val="21"/>
              </w:rPr>
              <w:t>连续</w:t>
            </w:r>
          </w:p>
        </w:tc>
        <w:tc>
          <w:tcPr>
            <w:tcW w:w="801" w:type="pct"/>
            <w:tcMar>
              <w:top w:w="0" w:type="dxa"/>
              <w:left w:w="17" w:type="dxa"/>
              <w:right w:w="17" w:type="dxa"/>
            </w:tcMar>
            <w:vAlign w:val="center"/>
          </w:tcPr>
          <w:p w14:paraId="639B1179">
            <w:pPr>
              <w:widowControl/>
              <w:snapToGrid w:val="0"/>
              <w:spacing w:line="300" w:lineRule="exact"/>
              <w:jc w:val="center"/>
              <w:rPr>
                <w:rFonts w:ascii="Times New Roman" w:eastAsia="宋体"/>
                <w:color w:val="000000"/>
                <w:sz w:val="21"/>
                <w:szCs w:val="21"/>
              </w:rPr>
            </w:pPr>
          </w:p>
        </w:tc>
        <w:tc>
          <w:tcPr>
            <w:tcW w:w="792" w:type="pct"/>
            <w:vAlign w:val="center"/>
          </w:tcPr>
          <w:p w14:paraId="72B27B79">
            <w:pPr>
              <w:widowControl/>
              <w:snapToGrid w:val="0"/>
              <w:spacing w:line="300" w:lineRule="exact"/>
              <w:jc w:val="center"/>
              <w:rPr>
                <w:rFonts w:ascii="Times New Roman" w:eastAsia="宋体"/>
                <w:color w:val="000000"/>
                <w:sz w:val="21"/>
                <w:szCs w:val="21"/>
              </w:rPr>
            </w:pPr>
          </w:p>
        </w:tc>
      </w:tr>
    </w:tbl>
    <w:p w14:paraId="64F45300">
      <w:pPr>
        <w:adjustRightInd w:val="0"/>
        <w:snapToGrid w:val="0"/>
        <w:spacing w:line="500" w:lineRule="exact"/>
        <w:jc w:val="center"/>
        <w:rPr>
          <w:rFonts w:ascii="Times New Roman" w:hAnsi="宋体"/>
          <w:b/>
          <w:szCs w:val="24"/>
        </w:rPr>
      </w:pPr>
      <w:r>
        <w:rPr>
          <w:rFonts w:ascii="Times New Roman" w:hAnsi="宋体"/>
          <w:b/>
          <w:szCs w:val="24"/>
        </w:rPr>
        <w:t>表</w:t>
      </w:r>
      <w:r>
        <w:rPr>
          <w:rFonts w:ascii="Times New Roman"/>
          <w:b/>
          <w:szCs w:val="24"/>
        </w:rPr>
        <w:t>5</w:t>
      </w:r>
      <w:r>
        <w:rPr>
          <w:rFonts w:hint="eastAsia" w:ascii="Times New Roman"/>
          <w:b/>
          <w:szCs w:val="24"/>
        </w:rPr>
        <w:t>.2-8</w:t>
      </w:r>
      <w:r>
        <w:rPr>
          <w:rFonts w:ascii="Times New Roman"/>
          <w:b/>
          <w:szCs w:val="24"/>
        </w:rPr>
        <w:t xml:space="preserve">  </w:t>
      </w:r>
      <w:r>
        <w:rPr>
          <w:rFonts w:ascii="Times New Roman" w:hAnsi="宋体"/>
          <w:b/>
          <w:szCs w:val="24"/>
        </w:rPr>
        <w:t>项目</w:t>
      </w:r>
      <w:r>
        <w:rPr>
          <w:rFonts w:hint="eastAsia" w:ascii="Times New Roman" w:hAnsi="宋体"/>
          <w:b/>
          <w:szCs w:val="24"/>
        </w:rPr>
        <w:t>非正常排放</w:t>
      </w:r>
      <w:r>
        <w:rPr>
          <w:rFonts w:ascii="Times New Roman" w:hAnsi="宋体"/>
          <w:b/>
          <w:szCs w:val="24"/>
        </w:rPr>
        <w:t>参数</w:t>
      </w:r>
      <w:r>
        <w:rPr>
          <w:rFonts w:hint="eastAsia" w:ascii="Times New Roman" w:hAnsi="宋体"/>
          <w:b/>
          <w:szCs w:val="24"/>
        </w:rPr>
        <w:t>表</w:t>
      </w:r>
    </w:p>
    <w:tbl>
      <w:tblPr>
        <w:tblStyle w:val="4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690"/>
        <w:gridCol w:w="4829"/>
        <w:gridCol w:w="1391"/>
        <w:gridCol w:w="2363"/>
        <w:gridCol w:w="1919"/>
        <w:gridCol w:w="1766"/>
      </w:tblGrid>
      <w:tr w14:paraId="20EE18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5" w:type="pct"/>
            <w:vAlign w:val="center"/>
          </w:tcPr>
          <w:p w14:paraId="2CE1A0ED">
            <w:pPr>
              <w:adjustRightInd w:val="0"/>
              <w:spacing w:line="300" w:lineRule="exact"/>
              <w:jc w:val="center"/>
              <w:rPr>
                <w:rFonts w:ascii="Times New Roman" w:eastAsia="宋体"/>
                <w:color w:val="000000"/>
                <w:sz w:val="21"/>
                <w:szCs w:val="21"/>
              </w:rPr>
            </w:pPr>
            <w:r>
              <w:rPr>
                <w:rFonts w:ascii="Times New Roman" w:eastAsia="宋体"/>
                <w:color w:val="000000"/>
                <w:sz w:val="21"/>
                <w:szCs w:val="21"/>
              </w:rPr>
              <w:t>非正常排放源</w:t>
            </w:r>
          </w:p>
        </w:tc>
        <w:tc>
          <w:tcPr>
            <w:tcW w:w="1729" w:type="pct"/>
            <w:vAlign w:val="center"/>
          </w:tcPr>
          <w:p w14:paraId="1F6A2474">
            <w:pPr>
              <w:adjustRightInd w:val="0"/>
              <w:spacing w:line="300" w:lineRule="exact"/>
              <w:jc w:val="center"/>
              <w:rPr>
                <w:rFonts w:ascii="Times New Roman" w:eastAsia="宋体"/>
                <w:color w:val="000000"/>
                <w:sz w:val="21"/>
                <w:szCs w:val="21"/>
              </w:rPr>
            </w:pPr>
            <w:r>
              <w:rPr>
                <w:rFonts w:ascii="Times New Roman" w:eastAsia="宋体"/>
                <w:color w:val="000000"/>
                <w:sz w:val="21"/>
                <w:szCs w:val="21"/>
              </w:rPr>
              <w:t>非正常排放原因</w:t>
            </w:r>
          </w:p>
        </w:tc>
        <w:tc>
          <w:tcPr>
            <w:tcW w:w="498" w:type="pct"/>
            <w:vAlign w:val="center"/>
          </w:tcPr>
          <w:p w14:paraId="5CB64FC6">
            <w:pPr>
              <w:adjustRightInd w:val="0"/>
              <w:spacing w:line="300" w:lineRule="exact"/>
              <w:jc w:val="center"/>
              <w:rPr>
                <w:rFonts w:ascii="Times New Roman" w:eastAsia="宋体"/>
                <w:color w:val="000000"/>
                <w:sz w:val="21"/>
                <w:szCs w:val="21"/>
              </w:rPr>
            </w:pPr>
            <w:r>
              <w:rPr>
                <w:rFonts w:ascii="Times New Roman" w:eastAsia="宋体"/>
                <w:color w:val="000000"/>
                <w:sz w:val="21"/>
                <w:szCs w:val="21"/>
              </w:rPr>
              <w:t>污染物</w:t>
            </w:r>
          </w:p>
        </w:tc>
        <w:tc>
          <w:tcPr>
            <w:tcW w:w="846" w:type="pct"/>
            <w:vAlign w:val="center"/>
          </w:tcPr>
          <w:p w14:paraId="31149B92">
            <w:pPr>
              <w:adjustRightInd w:val="0"/>
              <w:spacing w:line="300" w:lineRule="exact"/>
              <w:jc w:val="center"/>
              <w:rPr>
                <w:rFonts w:ascii="Times New Roman" w:eastAsia="宋体"/>
                <w:color w:val="000000"/>
                <w:sz w:val="21"/>
                <w:szCs w:val="21"/>
              </w:rPr>
            </w:pPr>
            <w:r>
              <w:rPr>
                <w:rFonts w:ascii="Times New Roman" w:eastAsia="宋体"/>
                <w:color w:val="000000"/>
                <w:sz w:val="21"/>
                <w:szCs w:val="21"/>
              </w:rPr>
              <w:t>非正常排放速率（kg/h）</w:t>
            </w:r>
          </w:p>
        </w:tc>
        <w:tc>
          <w:tcPr>
            <w:tcW w:w="687" w:type="pct"/>
            <w:vAlign w:val="center"/>
          </w:tcPr>
          <w:p w14:paraId="059FF67B">
            <w:pPr>
              <w:adjustRightInd w:val="0"/>
              <w:spacing w:line="300" w:lineRule="exact"/>
              <w:jc w:val="center"/>
              <w:rPr>
                <w:rFonts w:ascii="Times New Roman" w:eastAsia="宋体"/>
                <w:color w:val="000000"/>
                <w:sz w:val="21"/>
                <w:szCs w:val="21"/>
              </w:rPr>
            </w:pPr>
            <w:r>
              <w:rPr>
                <w:rFonts w:ascii="Times New Roman" w:eastAsia="宋体"/>
                <w:color w:val="000000"/>
                <w:sz w:val="21"/>
                <w:szCs w:val="21"/>
              </w:rPr>
              <w:t>单次持续时间（h）</w:t>
            </w:r>
          </w:p>
        </w:tc>
        <w:tc>
          <w:tcPr>
            <w:tcW w:w="632" w:type="pct"/>
            <w:vAlign w:val="center"/>
          </w:tcPr>
          <w:p w14:paraId="4B05E6B5">
            <w:pPr>
              <w:adjustRightInd w:val="0"/>
              <w:spacing w:line="300" w:lineRule="exact"/>
              <w:jc w:val="center"/>
              <w:rPr>
                <w:rFonts w:ascii="Times New Roman" w:eastAsia="宋体"/>
                <w:color w:val="000000"/>
                <w:sz w:val="21"/>
                <w:szCs w:val="21"/>
              </w:rPr>
            </w:pPr>
            <w:r>
              <w:rPr>
                <w:rFonts w:ascii="Times New Roman" w:eastAsia="宋体"/>
                <w:color w:val="000000"/>
                <w:sz w:val="21"/>
                <w:szCs w:val="21"/>
              </w:rPr>
              <w:t>年发生频次（次）</w:t>
            </w:r>
          </w:p>
        </w:tc>
      </w:tr>
      <w:tr w14:paraId="3575A5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5" w:type="pct"/>
            <w:vMerge w:val="restart"/>
            <w:vAlign w:val="center"/>
          </w:tcPr>
          <w:p w14:paraId="70B26EE8">
            <w:pPr>
              <w:adjustRightInd w:val="0"/>
              <w:spacing w:line="300" w:lineRule="exact"/>
              <w:jc w:val="center"/>
              <w:rPr>
                <w:rFonts w:ascii="Times New Roman" w:eastAsia="宋体"/>
                <w:color w:val="000000"/>
                <w:sz w:val="21"/>
                <w:szCs w:val="21"/>
              </w:rPr>
            </w:pPr>
            <w:r>
              <w:rPr>
                <w:rFonts w:ascii="Times New Roman" w:eastAsia="宋体"/>
                <w:color w:val="000000"/>
                <w:sz w:val="21"/>
                <w:szCs w:val="21"/>
              </w:rPr>
              <w:t>DA00</w:t>
            </w:r>
            <w:r>
              <w:rPr>
                <w:rFonts w:hint="eastAsia" w:ascii="Times New Roman" w:eastAsia="宋体"/>
                <w:color w:val="000000"/>
                <w:sz w:val="21"/>
                <w:szCs w:val="21"/>
              </w:rPr>
              <w:t>1</w:t>
            </w:r>
          </w:p>
        </w:tc>
        <w:tc>
          <w:tcPr>
            <w:tcW w:w="1729" w:type="pct"/>
            <w:vMerge w:val="restart"/>
            <w:vAlign w:val="center"/>
          </w:tcPr>
          <w:p w14:paraId="143023F9">
            <w:pPr>
              <w:adjustRightInd w:val="0"/>
              <w:spacing w:line="300" w:lineRule="exact"/>
              <w:jc w:val="center"/>
              <w:rPr>
                <w:rFonts w:ascii="Times New Roman" w:eastAsia="宋体"/>
                <w:color w:val="000000"/>
                <w:sz w:val="21"/>
                <w:szCs w:val="21"/>
              </w:rPr>
            </w:pPr>
            <w:r>
              <w:rPr>
                <w:rFonts w:hint="eastAsia"/>
                <w:color w:val="000000" w:themeColor="text1"/>
                <w:sz w:val="21"/>
                <w:szCs w:val="21"/>
                <w14:textFill>
                  <w14:solidFill>
                    <w14:schemeClr w14:val="tx1"/>
                  </w14:solidFill>
                </w14:textFill>
              </w:rPr>
              <w:t>生物喷淋除臭装置</w:t>
            </w:r>
            <w:r>
              <w:rPr>
                <w:rFonts w:ascii="Times New Roman" w:hAnsi="宋体" w:eastAsia="宋体"/>
                <w:sz w:val="21"/>
                <w:szCs w:val="21"/>
              </w:rPr>
              <w:t>出现故障</w:t>
            </w:r>
          </w:p>
        </w:tc>
        <w:tc>
          <w:tcPr>
            <w:tcW w:w="498" w:type="pct"/>
            <w:vAlign w:val="center"/>
          </w:tcPr>
          <w:p w14:paraId="48729D5E">
            <w:pPr>
              <w:spacing w:line="300" w:lineRule="atLeast"/>
              <w:jc w:val="center"/>
              <w:rPr>
                <w:rFonts w:ascii="Times New Roman" w:eastAsia="宋体"/>
                <w:color w:val="000000"/>
                <w:sz w:val="21"/>
                <w:szCs w:val="21"/>
              </w:rPr>
            </w:pPr>
            <w:r>
              <w:rPr>
                <w:rFonts w:hint="eastAsia" w:ascii="Times New Roman" w:eastAsia="宋体"/>
                <w:color w:val="000000"/>
                <w:sz w:val="21"/>
                <w:szCs w:val="21"/>
              </w:rPr>
              <w:t>氨</w:t>
            </w:r>
          </w:p>
        </w:tc>
        <w:tc>
          <w:tcPr>
            <w:tcW w:w="846" w:type="pct"/>
            <w:vAlign w:val="center"/>
          </w:tcPr>
          <w:p w14:paraId="6CDFC87B">
            <w:pPr>
              <w:spacing w:line="300" w:lineRule="atLeast"/>
              <w:jc w:val="center"/>
              <w:rPr>
                <w:rFonts w:ascii="Times New Roman" w:eastAsia="宋体"/>
                <w:bCs/>
                <w:color w:val="000000"/>
                <w:sz w:val="21"/>
                <w:szCs w:val="21"/>
              </w:rPr>
            </w:pPr>
          </w:p>
        </w:tc>
        <w:tc>
          <w:tcPr>
            <w:tcW w:w="687" w:type="pct"/>
            <w:vAlign w:val="center"/>
          </w:tcPr>
          <w:p w14:paraId="39673EAE">
            <w:pPr>
              <w:adjustRightInd w:val="0"/>
              <w:spacing w:line="300" w:lineRule="exact"/>
              <w:jc w:val="center"/>
              <w:rPr>
                <w:rFonts w:ascii="Times New Roman" w:eastAsia="宋体"/>
                <w:color w:val="000000"/>
                <w:sz w:val="21"/>
                <w:szCs w:val="21"/>
              </w:rPr>
            </w:pPr>
            <w:r>
              <w:rPr>
                <w:rFonts w:ascii="Times New Roman" w:eastAsia="宋体"/>
                <w:color w:val="000000"/>
                <w:sz w:val="21"/>
                <w:szCs w:val="21"/>
              </w:rPr>
              <w:t>0.5</w:t>
            </w:r>
          </w:p>
        </w:tc>
        <w:tc>
          <w:tcPr>
            <w:tcW w:w="632" w:type="pct"/>
            <w:vAlign w:val="center"/>
          </w:tcPr>
          <w:p w14:paraId="5EE8D2C9">
            <w:pPr>
              <w:adjustRightInd w:val="0"/>
              <w:spacing w:line="300" w:lineRule="exact"/>
              <w:jc w:val="center"/>
              <w:rPr>
                <w:rFonts w:ascii="Times New Roman" w:eastAsia="宋体"/>
                <w:color w:val="000000"/>
                <w:sz w:val="21"/>
                <w:szCs w:val="21"/>
              </w:rPr>
            </w:pPr>
            <w:r>
              <w:rPr>
                <w:rFonts w:ascii="Times New Roman" w:eastAsia="宋体"/>
                <w:color w:val="000000"/>
                <w:sz w:val="21"/>
                <w:szCs w:val="21"/>
              </w:rPr>
              <w:t>1</w:t>
            </w:r>
          </w:p>
        </w:tc>
      </w:tr>
      <w:tr w14:paraId="0D9624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5" w:type="pct"/>
            <w:vMerge w:val="continue"/>
            <w:vAlign w:val="center"/>
          </w:tcPr>
          <w:p w14:paraId="501E60EE">
            <w:pPr>
              <w:adjustRightInd w:val="0"/>
              <w:spacing w:line="300" w:lineRule="exact"/>
              <w:jc w:val="center"/>
              <w:rPr>
                <w:rFonts w:ascii="Times New Roman" w:eastAsia="宋体"/>
                <w:color w:val="000000"/>
                <w:sz w:val="21"/>
                <w:szCs w:val="21"/>
              </w:rPr>
            </w:pPr>
          </w:p>
        </w:tc>
        <w:tc>
          <w:tcPr>
            <w:tcW w:w="1729" w:type="pct"/>
            <w:vMerge w:val="continue"/>
            <w:vAlign w:val="center"/>
          </w:tcPr>
          <w:p w14:paraId="3BE29386">
            <w:pPr>
              <w:adjustRightInd w:val="0"/>
              <w:spacing w:line="300" w:lineRule="exact"/>
              <w:jc w:val="center"/>
              <w:rPr>
                <w:color w:val="000000" w:themeColor="text1"/>
                <w:sz w:val="21"/>
                <w:szCs w:val="21"/>
                <w14:textFill>
                  <w14:solidFill>
                    <w14:schemeClr w14:val="tx1"/>
                  </w14:solidFill>
                </w14:textFill>
              </w:rPr>
            </w:pPr>
          </w:p>
        </w:tc>
        <w:tc>
          <w:tcPr>
            <w:tcW w:w="498" w:type="pct"/>
            <w:vAlign w:val="center"/>
          </w:tcPr>
          <w:p w14:paraId="348524E8">
            <w:pPr>
              <w:spacing w:line="300" w:lineRule="atLeast"/>
              <w:jc w:val="center"/>
              <w:rPr>
                <w:rFonts w:ascii="Times New Roman" w:eastAsia="宋体"/>
                <w:color w:val="000000"/>
                <w:sz w:val="21"/>
                <w:szCs w:val="21"/>
              </w:rPr>
            </w:pPr>
            <w:r>
              <w:rPr>
                <w:rFonts w:hint="eastAsia" w:ascii="Times New Roman" w:eastAsia="宋体"/>
                <w:color w:val="000000"/>
                <w:sz w:val="21"/>
                <w:szCs w:val="21"/>
              </w:rPr>
              <w:t>硫化氢</w:t>
            </w:r>
          </w:p>
        </w:tc>
        <w:tc>
          <w:tcPr>
            <w:tcW w:w="846" w:type="pct"/>
            <w:vAlign w:val="center"/>
          </w:tcPr>
          <w:p w14:paraId="1A0D2A00">
            <w:pPr>
              <w:spacing w:line="300" w:lineRule="atLeast"/>
              <w:jc w:val="center"/>
              <w:rPr>
                <w:rFonts w:ascii="Times New Roman" w:eastAsia="宋体"/>
                <w:bCs/>
                <w:color w:val="000000"/>
                <w:sz w:val="21"/>
                <w:szCs w:val="21"/>
              </w:rPr>
            </w:pPr>
          </w:p>
        </w:tc>
        <w:tc>
          <w:tcPr>
            <w:tcW w:w="687" w:type="pct"/>
            <w:vAlign w:val="center"/>
          </w:tcPr>
          <w:p w14:paraId="39F1CF48">
            <w:pPr>
              <w:adjustRightInd w:val="0"/>
              <w:spacing w:line="300" w:lineRule="exact"/>
              <w:jc w:val="center"/>
              <w:rPr>
                <w:rFonts w:ascii="Times New Roman" w:eastAsia="宋体"/>
                <w:color w:val="000000"/>
                <w:sz w:val="21"/>
                <w:szCs w:val="21"/>
              </w:rPr>
            </w:pPr>
            <w:r>
              <w:rPr>
                <w:rFonts w:hint="eastAsia" w:ascii="Times New Roman" w:eastAsia="宋体"/>
                <w:color w:val="000000"/>
                <w:sz w:val="21"/>
                <w:szCs w:val="21"/>
              </w:rPr>
              <w:t>0.5</w:t>
            </w:r>
          </w:p>
        </w:tc>
        <w:tc>
          <w:tcPr>
            <w:tcW w:w="632" w:type="pct"/>
            <w:vAlign w:val="center"/>
          </w:tcPr>
          <w:p w14:paraId="213C8B16">
            <w:pPr>
              <w:adjustRightInd w:val="0"/>
              <w:spacing w:line="300" w:lineRule="exact"/>
              <w:jc w:val="center"/>
              <w:rPr>
                <w:rFonts w:ascii="Times New Roman" w:eastAsia="宋体"/>
                <w:color w:val="000000"/>
                <w:sz w:val="21"/>
                <w:szCs w:val="21"/>
              </w:rPr>
            </w:pPr>
            <w:r>
              <w:rPr>
                <w:rFonts w:hint="eastAsia" w:ascii="Times New Roman" w:eastAsia="宋体"/>
                <w:color w:val="000000"/>
                <w:sz w:val="21"/>
                <w:szCs w:val="21"/>
              </w:rPr>
              <w:t>1</w:t>
            </w:r>
          </w:p>
        </w:tc>
      </w:tr>
    </w:tbl>
    <w:p w14:paraId="2E6349A4">
      <w:pPr>
        <w:widowControl/>
        <w:ind w:firstLine="480" w:firstLineChars="200"/>
      </w:pPr>
    </w:p>
    <w:p w14:paraId="5F7599DF">
      <w:pPr>
        <w:widowControl/>
        <w:ind w:firstLine="480" w:firstLineChars="200"/>
        <w:sectPr>
          <w:pgSz w:w="16838" w:h="11906" w:orient="landscape"/>
          <w:pgMar w:top="1701" w:right="1440" w:bottom="1701" w:left="1440" w:header="1247" w:footer="1361" w:gutter="0"/>
          <w:pgNumType w:fmt="decimal"/>
          <w:cols w:space="425" w:num="1"/>
          <w:docGrid w:type="lines" w:linePitch="326" w:charSpace="0"/>
        </w:sectPr>
      </w:pPr>
    </w:p>
    <w:p w14:paraId="6FFE55B1">
      <w:pPr>
        <w:pStyle w:val="7"/>
        <w:spacing w:line="480" w:lineRule="exact"/>
      </w:pPr>
      <w:r>
        <w:rPr>
          <w:rFonts w:hint="eastAsia"/>
        </w:rPr>
        <w:t>5</w:t>
      </w:r>
      <w:r>
        <w:t>.2.</w:t>
      </w:r>
      <w:r>
        <w:rPr>
          <w:rFonts w:hint="eastAsia"/>
        </w:rPr>
        <w:t>4预测结果</w:t>
      </w:r>
    </w:p>
    <w:p w14:paraId="6E6E2AF3">
      <w:pPr>
        <w:adjustRightInd w:val="0"/>
        <w:spacing w:line="480" w:lineRule="exact"/>
        <w:ind w:firstLine="480"/>
        <w:rPr>
          <w:rFonts w:ascii="Times New Roman" w:hAnsi="Times New Roman" w:eastAsia="宋体" w:cs="Times New Roman"/>
          <w:bCs/>
          <w:szCs w:val="24"/>
        </w:rPr>
      </w:pPr>
      <w:r>
        <w:rPr>
          <w:rFonts w:ascii="Times New Roman" w:hAnsi="Times New Roman" w:eastAsia="宋体" w:cs="Times New Roman"/>
          <w:bCs/>
          <w:szCs w:val="24"/>
        </w:rPr>
        <w:t>（1）正常情况下大气污染物预测结果</w:t>
      </w:r>
    </w:p>
    <w:p w14:paraId="3D255774">
      <w:pPr>
        <w:adjustRightInd w:val="0"/>
        <w:spacing w:line="480" w:lineRule="exact"/>
        <w:ind w:firstLine="480"/>
        <w:rPr>
          <w:rFonts w:ascii="Times New Roman" w:hAnsi="Times New Roman" w:eastAsia="宋体" w:cs="Times New Roman"/>
          <w:bCs/>
          <w:szCs w:val="24"/>
        </w:rPr>
      </w:pPr>
      <w:r>
        <w:rPr>
          <w:rFonts w:ascii="Times New Roman" w:hAnsi="Times New Roman" w:eastAsia="宋体" w:cs="Times New Roman"/>
          <w:bCs/>
          <w:szCs w:val="24"/>
        </w:rPr>
        <w:t>正常工况下，项目大气污染物排放的预测估算结果见表 5.2-9。</w:t>
      </w:r>
    </w:p>
    <w:p w14:paraId="75AEDEDF">
      <w:pPr>
        <w:spacing w:line="480" w:lineRule="exact"/>
        <w:ind w:firstLine="482"/>
        <w:jc w:val="center"/>
        <w:rPr>
          <w:rFonts w:ascii="Times New Roman" w:hAnsi="Times New Roman" w:eastAsia="宋体" w:cs="Times New Roman"/>
          <w:b/>
          <w:color w:val="000000"/>
          <w:szCs w:val="24"/>
        </w:rPr>
      </w:pPr>
      <w:r>
        <w:rPr>
          <w:rFonts w:ascii="Times New Roman" w:hAnsi="Times New Roman" w:eastAsia="宋体" w:cs="Times New Roman"/>
          <w:b/>
          <w:color w:val="000000"/>
          <w:szCs w:val="24"/>
        </w:rPr>
        <w:t>表5.2-9项目大气污染物估算模型计算结果表</w:t>
      </w:r>
    </w:p>
    <w:tbl>
      <w:tblPr>
        <w:tblStyle w:val="41"/>
        <w:tblW w:w="4994"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385"/>
        <w:gridCol w:w="1703"/>
        <w:gridCol w:w="1678"/>
        <w:gridCol w:w="1337"/>
        <w:gridCol w:w="1021"/>
        <w:gridCol w:w="828"/>
      </w:tblGrid>
      <w:tr w14:paraId="7EFE0D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0" w:type="pct"/>
            <w:gridSpan w:val="2"/>
            <w:vMerge w:val="restart"/>
            <w:vAlign w:val="center"/>
          </w:tcPr>
          <w:p w14:paraId="4939E0D6">
            <w:pPr>
              <w:pStyle w:val="89"/>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污染源位置</w:t>
            </w:r>
          </w:p>
        </w:tc>
        <w:tc>
          <w:tcPr>
            <w:tcW w:w="977" w:type="pct"/>
            <w:vMerge w:val="restart"/>
            <w:vAlign w:val="center"/>
          </w:tcPr>
          <w:p w14:paraId="3F9D3C27">
            <w:pPr>
              <w:pStyle w:val="89"/>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污染物</w:t>
            </w:r>
          </w:p>
        </w:tc>
        <w:tc>
          <w:tcPr>
            <w:tcW w:w="2316" w:type="pct"/>
            <w:gridSpan w:val="3"/>
            <w:vAlign w:val="center"/>
          </w:tcPr>
          <w:p w14:paraId="1FBAC4D1">
            <w:pPr>
              <w:pStyle w:val="89"/>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P</w:t>
            </w:r>
            <w:r>
              <w:rPr>
                <w:rFonts w:ascii="Times New Roman" w:hAnsi="Times New Roman" w:eastAsia="宋体" w:cs="Times New Roman"/>
                <w:color w:val="000000" w:themeColor="text1"/>
                <w:sz w:val="21"/>
                <w:szCs w:val="21"/>
                <w:vertAlign w:val="subscript"/>
                <w14:textFill>
                  <w14:solidFill>
                    <w14:schemeClr w14:val="tx1"/>
                  </w14:solidFill>
                </w14:textFill>
              </w:rPr>
              <w:t>max</w:t>
            </w:r>
          </w:p>
        </w:tc>
        <w:tc>
          <w:tcPr>
            <w:tcW w:w="475" w:type="pct"/>
            <w:vMerge w:val="restart"/>
            <w:vAlign w:val="center"/>
          </w:tcPr>
          <w:p w14:paraId="6E72D8A7">
            <w:pPr>
              <w:pStyle w:val="89"/>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w:t>
            </w:r>
            <w:r>
              <w:rPr>
                <w:rFonts w:ascii="Times New Roman" w:hAnsi="Times New Roman" w:eastAsia="宋体" w:cs="Times New Roman"/>
                <w:color w:val="000000" w:themeColor="text1"/>
                <w:sz w:val="21"/>
                <w:szCs w:val="21"/>
                <w:vertAlign w:val="subscript"/>
                <w14:textFill>
                  <w14:solidFill>
                    <w14:schemeClr w14:val="tx1"/>
                  </w14:solidFill>
                </w14:textFill>
              </w:rPr>
              <w:t>10%</w:t>
            </w:r>
          </w:p>
          <w:p w14:paraId="1DE2571C">
            <w:pPr>
              <w:pStyle w:val="89"/>
              <w:rPr>
                <w:rFonts w:ascii="Times New Roman" w:hAnsi="Times New Roman" w:eastAsia="宋体" w:cs="Times New Roman"/>
                <w:color w:val="FF0000"/>
                <w:sz w:val="21"/>
                <w:szCs w:val="21"/>
              </w:rPr>
            </w:pPr>
            <w:r>
              <w:rPr>
                <w:rFonts w:ascii="Times New Roman" w:hAnsi="Times New Roman" w:eastAsia="宋体" w:cs="Times New Roman"/>
                <w:color w:val="000000" w:themeColor="text1"/>
                <w:sz w:val="21"/>
                <w:szCs w:val="21"/>
                <w14:textFill>
                  <w14:solidFill>
                    <w14:schemeClr w14:val="tx1"/>
                  </w14:solidFill>
                </w14:textFill>
              </w:rPr>
              <w:t>(m)</w:t>
            </w:r>
          </w:p>
        </w:tc>
      </w:tr>
      <w:tr w14:paraId="43A7F1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0" w:type="pct"/>
            <w:gridSpan w:val="2"/>
            <w:vMerge w:val="continue"/>
            <w:vAlign w:val="center"/>
          </w:tcPr>
          <w:p w14:paraId="2D54C0CA">
            <w:pPr>
              <w:pStyle w:val="89"/>
              <w:rPr>
                <w:rFonts w:ascii="Times New Roman" w:hAnsi="Times New Roman" w:eastAsia="宋体" w:cs="Times New Roman"/>
                <w:color w:val="000000" w:themeColor="text1"/>
                <w:sz w:val="21"/>
                <w:szCs w:val="21"/>
                <w14:textFill>
                  <w14:solidFill>
                    <w14:schemeClr w14:val="tx1"/>
                  </w14:solidFill>
                </w14:textFill>
              </w:rPr>
            </w:pPr>
          </w:p>
        </w:tc>
        <w:tc>
          <w:tcPr>
            <w:tcW w:w="977" w:type="pct"/>
            <w:vMerge w:val="continue"/>
            <w:vAlign w:val="center"/>
          </w:tcPr>
          <w:p w14:paraId="2F5624FC">
            <w:pPr>
              <w:pStyle w:val="89"/>
              <w:rPr>
                <w:rFonts w:ascii="Times New Roman" w:hAnsi="Times New Roman" w:eastAsia="宋体" w:cs="Times New Roman"/>
                <w:color w:val="000000" w:themeColor="text1"/>
                <w:sz w:val="21"/>
                <w:szCs w:val="21"/>
                <w14:textFill>
                  <w14:solidFill>
                    <w14:schemeClr w14:val="tx1"/>
                  </w14:solidFill>
                </w14:textFill>
              </w:rPr>
            </w:pPr>
          </w:p>
        </w:tc>
        <w:tc>
          <w:tcPr>
            <w:tcW w:w="963" w:type="pct"/>
            <w:vAlign w:val="center"/>
          </w:tcPr>
          <w:p w14:paraId="0492AECA">
            <w:pPr>
              <w:pStyle w:val="89"/>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浓度(μg /m</w:t>
            </w:r>
            <w:r>
              <w:rPr>
                <w:rFonts w:ascii="Times New Roman" w:hAnsi="Times New Roman" w:eastAsia="宋体" w:cs="Times New Roman"/>
                <w:color w:val="000000" w:themeColor="text1"/>
                <w:sz w:val="21"/>
                <w:szCs w:val="21"/>
                <w:vertAlign w:val="super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w:t>
            </w:r>
          </w:p>
        </w:tc>
        <w:tc>
          <w:tcPr>
            <w:tcW w:w="767" w:type="pct"/>
            <w:vAlign w:val="center"/>
          </w:tcPr>
          <w:p w14:paraId="1666F17D">
            <w:pPr>
              <w:pStyle w:val="89"/>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占标率(%)</w:t>
            </w:r>
          </w:p>
        </w:tc>
        <w:tc>
          <w:tcPr>
            <w:tcW w:w="586" w:type="pct"/>
            <w:vAlign w:val="center"/>
          </w:tcPr>
          <w:p w14:paraId="2BDD96B6">
            <w:pPr>
              <w:pStyle w:val="89"/>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下风距离(m)</w:t>
            </w:r>
          </w:p>
        </w:tc>
        <w:tc>
          <w:tcPr>
            <w:tcW w:w="475" w:type="pct"/>
            <w:vMerge w:val="continue"/>
            <w:vAlign w:val="center"/>
          </w:tcPr>
          <w:p w14:paraId="2DA528BE">
            <w:pPr>
              <w:pStyle w:val="89"/>
              <w:rPr>
                <w:rFonts w:ascii="Times New Roman" w:hAnsi="Times New Roman" w:eastAsia="宋体" w:cs="Times New Roman"/>
                <w:color w:val="000000" w:themeColor="text1"/>
                <w:sz w:val="21"/>
                <w:szCs w:val="21"/>
                <w14:textFill>
                  <w14:solidFill>
                    <w14:schemeClr w14:val="tx1"/>
                  </w14:solidFill>
                </w14:textFill>
              </w:rPr>
            </w:pPr>
          </w:p>
        </w:tc>
      </w:tr>
      <w:tr w14:paraId="21A8B5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0" w:type="pct"/>
            <w:gridSpan w:val="2"/>
            <w:vMerge w:val="restart"/>
            <w:vAlign w:val="center"/>
          </w:tcPr>
          <w:p w14:paraId="02DCFEC1">
            <w:pPr>
              <w:pStyle w:val="89"/>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DA001</w:t>
            </w:r>
          </w:p>
        </w:tc>
        <w:tc>
          <w:tcPr>
            <w:tcW w:w="977" w:type="pct"/>
            <w:vAlign w:val="center"/>
          </w:tcPr>
          <w:p w14:paraId="347E3E15">
            <w:pPr>
              <w:pStyle w:val="6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NH</w:t>
            </w:r>
            <w:r>
              <w:rPr>
                <w:rFonts w:hint="eastAsia"/>
                <w:color w:val="000000" w:themeColor="text1"/>
                <w:szCs w:val="21"/>
                <w:vertAlign w:val="subscript"/>
                <w14:textFill>
                  <w14:solidFill>
                    <w14:schemeClr w14:val="tx1"/>
                  </w14:solidFill>
                </w14:textFill>
              </w:rPr>
              <w:t>3</w:t>
            </w:r>
          </w:p>
        </w:tc>
        <w:tc>
          <w:tcPr>
            <w:tcW w:w="963" w:type="pct"/>
            <w:vAlign w:val="center"/>
          </w:tcPr>
          <w:p w14:paraId="47CEDD76">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0.255</w:t>
            </w:r>
          </w:p>
        </w:tc>
        <w:tc>
          <w:tcPr>
            <w:tcW w:w="767" w:type="pct"/>
            <w:vAlign w:val="center"/>
          </w:tcPr>
          <w:p w14:paraId="0373672F">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0.13</w:t>
            </w:r>
          </w:p>
        </w:tc>
        <w:tc>
          <w:tcPr>
            <w:tcW w:w="586" w:type="pct"/>
            <w:vMerge w:val="restart"/>
            <w:vAlign w:val="center"/>
          </w:tcPr>
          <w:p w14:paraId="49F2E7E6">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211</w:t>
            </w:r>
          </w:p>
        </w:tc>
        <w:tc>
          <w:tcPr>
            <w:tcW w:w="475" w:type="pct"/>
            <w:vAlign w:val="center"/>
          </w:tcPr>
          <w:p w14:paraId="6ECC7158">
            <w:pPr>
              <w:pStyle w:val="89"/>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w:t>
            </w:r>
          </w:p>
        </w:tc>
      </w:tr>
      <w:tr w14:paraId="3FA93A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0" w:type="pct"/>
            <w:gridSpan w:val="2"/>
            <w:vMerge w:val="continue"/>
            <w:vAlign w:val="center"/>
          </w:tcPr>
          <w:p w14:paraId="2B639768">
            <w:pPr>
              <w:pStyle w:val="89"/>
              <w:rPr>
                <w:rFonts w:ascii="Times New Roman" w:hAnsi="Times New Roman" w:eastAsia="宋体" w:cs="Times New Roman"/>
                <w:color w:val="000000" w:themeColor="text1"/>
                <w:sz w:val="21"/>
                <w:szCs w:val="21"/>
                <w14:textFill>
                  <w14:solidFill>
                    <w14:schemeClr w14:val="tx1"/>
                  </w14:solidFill>
                </w14:textFill>
              </w:rPr>
            </w:pPr>
          </w:p>
        </w:tc>
        <w:tc>
          <w:tcPr>
            <w:tcW w:w="977" w:type="pct"/>
            <w:vAlign w:val="center"/>
          </w:tcPr>
          <w:p w14:paraId="70ED4DE1">
            <w:pPr>
              <w:pStyle w:val="6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S</w:t>
            </w:r>
          </w:p>
        </w:tc>
        <w:tc>
          <w:tcPr>
            <w:tcW w:w="963" w:type="pct"/>
            <w:vAlign w:val="center"/>
          </w:tcPr>
          <w:p w14:paraId="4D9C9E76">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0.0247</w:t>
            </w:r>
          </w:p>
        </w:tc>
        <w:tc>
          <w:tcPr>
            <w:tcW w:w="767" w:type="pct"/>
            <w:vAlign w:val="center"/>
          </w:tcPr>
          <w:p w14:paraId="08AE7208">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0.25</w:t>
            </w:r>
          </w:p>
        </w:tc>
        <w:tc>
          <w:tcPr>
            <w:tcW w:w="586" w:type="pct"/>
            <w:vMerge w:val="continue"/>
            <w:vAlign w:val="center"/>
          </w:tcPr>
          <w:p w14:paraId="2F8E4C6E">
            <w:pPr>
              <w:pStyle w:val="89"/>
              <w:rPr>
                <w:rFonts w:ascii="Times New Roman" w:hAnsi="Times New Roman" w:eastAsia="宋体" w:cs="Times New Roman"/>
                <w:color w:val="000000" w:themeColor="text1"/>
                <w:sz w:val="21"/>
                <w:szCs w:val="21"/>
                <w14:textFill>
                  <w14:solidFill>
                    <w14:schemeClr w14:val="tx1"/>
                  </w14:solidFill>
                </w14:textFill>
              </w:rPr>
            </w:pPr>
          </w:p>
        </w:tc>
        <w:tc>
          <w:tcPr>
            <w:tcW w:w="475" w:type="pct"/>
            <w:vAlign w:val="center"/>
          </w:tcPr>
          <w:p w14:paraId="40B08C24">
            <w:pPr>
              <w:pStyle w:val="89"/>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w:t>
            </w:r>
          </w:p>
        </w:tc>
      </w:tr>
      <w:tr w14:paraId="2BE163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pct"/>
            <w:vMerge w:val="restart"/>
            <w:vAlign w:val="center"/>
          </w:tcPr>
          <w:p w14:paraId="7E73D304">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无组织</w:t>
            </w:r>
          </w:p>
        </w:tc>
        <w:tc>
          <w:tcPr>
            <w:tcW w:w="795" w:type="pct"/>
            <w:vMerge w:val="restart"/>
            <w:vAlign w:val="center"/>
          </w:tcPr>
          <w:p w14:paraId="79A45528">
            <w:pPr>
              <w:pStyle w:val="6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鸡舍区</w:t>
            </w:r>
          </w:p>
        </w:tc>
        <w:tc>
          <w:tcPr>
            <w:tcW w:w="977" w:type="pct"/>
            <w:vAlign w:val="center"/>
          </w:tcPr>
          <w:p w14:paraId="22C9BC99">
            <w:pPr>
              <w:pStyle w:val="6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NH</w:t>
            </w:r>
            <w:r>
              <w:rPr>
                <w:rFonts w:hint="eastAsia"/>
                <w:color w:val="000000" w:themeColor="text1"/>
                <w:szCs w:val="21"/>
                <w:vertAlign w:val="subscript"/>
                <w14:textFill>
                  <w14:solidFill>
                    <w14:schemeClr w14:val="tx1"/>
                  </w14:solidFill>
                </w14:textFill>
              </w:rPr>
              <w:t>3</w:t>
            </w:r>
          </w:p>
        </w:tc>
        <w:tc>
          <w:tcPr>
            <w:tcW w:w="963" w:type="pct"/>
            <w:vAlign w:val="center"/>
          </w:tcPr>
          <w:p w14:paraId="45CC75AD">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2.78</w:t>
            </w:r>
          </w:p>
        </w:tc>
        <w:tc>
          <w:tcPr>
            <w:tcW w:w="767" w:type="pct"/>
            <w:vAlign w:val="center"/>
          </w:tcPr>
          <w:p w14:paraId="13A0FC9C">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1.39</w:t>
            </w:r>
          </w:p>
        </w:tc>
        <w:tc>
          <w:tcPr>
            <w:tcW w:w="586" w:type="pct"/>
            <w:vMerge w:val="restart"/>
            <w:vAlign w:val="center"/>
          </w:tcPr>
          <w:p w14:paraId="3A2D0483">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209</w:t>
            </w:r>
          </w:p>
        </w:tc>
        <w:tc>
          <w:tcPr>
            <w:tcW w:w="475" w:type="pct"/>
            <w:vAlign w:val="center"/>
          </w:tcPr>
          <w:p w14:paraId="4A759FDE">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r w14:paraId="3BBEA3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pct"/>
            <w:vMerge w:val="continue"/>
            <w:vAlign w:val="center"/>
          </w:tcPr>
          <w:p w14:paraId="6030E35A">
            <w:pPr>
              <w:pStyle w:val="89"/>
              <w:rPr>
                <w:rFonts w:ascii="Times New Roman" w:hAnsi="Times New Roman" w:eastAsia="宋体" w:cs="Times New Roman"/>
                <w:color w:val="000000" w:themeColor="text1"/>
                <w:sz w:val="21"/>
                <w:szCs w:val="21"/>
                <w14:textFill>
                  <w14:solidFill>
                    <w14:schemeClr w14:val="tx1"/>
                  </w14:solidFill>
                </w14:textFill>
              </w:rPr>
            </w:pPr>
          </w:p>
        </w:tc>
        <w:tc>
          <w:tcPr>
            <w:tcW w:w="795" w:type="pct"/>
            <w:vMerge w:val="continue"/>
            <w:vAlign w:val="center"/>
          </w:tcPr>
          <w:p w14:paraId="6B7C0869">
            <w:pPr>
              <w:pStyle w:val="61"/>
              <w:rPr>
                <w:color w:val="000000" w:themeColor="text1"/>
                <w:szCs w:val="21"/>
                <w14:textFill>
                  <w14:solidFill>
                    <w14:schemeClr w14:val="tx1"/>
                  </w14:solidFill>
                </w14:textFill>
              </w:rPr>
            </w:pPr>
          </w:p>
        </w:tc>
        <w:tc>
          <w:tcPr>
            <w:tcW w:w="977" w:type="pct"/>
            <w:vAlign w:val="center"/>
          </w:tcPr>
          <w:p w14:paraId="11633035">
            <w:pPr>
              <w:pStyle w:val="6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S</w:t>
            </w:r>
          </w:p>
        </w:tc>
        <w:tc>
          <w:tcPr>
            <w:tcW w:w="963" w:type="pct"/>
            <w:vAlign w:val="center"/>
          </w:tcPr>
          <w:p w14:paraId="5C51477D">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0.278</w:t>
            </w:r>
          </w:p>
        </w:tc>
        <w:tc>
          <w:tcPr>
            <w:tcW w:w="767" w:type="pct"/>
            <w:vAlign w:val="center"/>
          </w:tcPr>
          <w:p w14:paraId="02FF5FDC">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2.78</w:t>
            </w:r>
          </w:p>
        </w:tc>
        <w:tc>
          <w:tcPr>
            <w:tcW w:w="586" w:type="pct"/>
            <w:vMerge w:val="continue"/>
            <w:vAlign w:val="center"/>
          </w:tcPr>
          <w:p w14:paraId="6DF926F0">
            <w:pPr>
              <w:pStyle w:val="89"/>
              <w:rPr>
                <w:rFonts w:ascii="Times New Roman" w:hAnsi="Times New Roman" w:eastAsia="宋体" w:cs="Times New Roman"/>
                <w:color w:val="000000" w:themeColor="text1"/>
                <w:sz w:val="21"/>
                <w:szCs w:val="21"/>
                <w14:textFill>
                  <w14:solidFill>
                    <w14:schemeClr w14:val="tx1"/>
                  </w14:solidFill>
                </w14:textFill>
              </w:rPr>
            </w:pPr>
          </w:p>
        </w:tc>
        <w:tc>
          <w:tcPr>
            <w:tcW w:w="475" w:type="pct"/>
            <w:vAlign w:val="center"/>
          </w:tcPr>
          <w:p w14:paraId="7FBFA716">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r w14:paraId="756286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pct"/>
            <w:vMerge w:val="continue"/>
            <w:vAlign w:val="center"/>
          </w:tcPr>
          <w:p w14:paraId="4683F140">
            <w:pPr>
              <w:pStyle w:val="89"/>
              <w:rPr>
                <w:rFonts w:ascii="Times New Roman" w:hAnsi="Times New Roman" w:eastAsia="宋体" w:cs="Times New Roman"/>
                <w:color w:val="000000" w:themeColor="text1"/>
                <w:sz w:val="21"/>
                <w:szCs w:val="21"/>
                <w14:textFill>
                  <w14:solidFill>
                    <w14:schemeClr w14:val="tx1"/>
                  </w14:solidFill>
                </w14:textFill>
              </w:rPr>
            </w:pPr>
          </w:p>
        </w:tc>
        <w:tc>
          <w:tcPr>
            <w:tcW w:w="795" w:type="pct"/>
            <w:vMerge w:val="restart"/>
            <w:vAlign w:val="center"/>
          </w:tcPr>
          <w:p w14:paraId="6970E2C1">
            <w:pPr>
              <w:pStyle w:val="89"/>
              <w:rPr>
                <w:rFonts w:ascii="Times New Roman" w:hAnsi="Times New Roman" w:eastAsia="宋体" w:cs="Times New Roman"/>
                <w:bCs w:val="0"/>
                <w:color w:val="000000" w:themeColor="text1"/>
                <w:kern w:val="0"/>
                <w:sz w:val="21"/>
                <w:szCs w:val="21"/>
                <w14:textFill>
                  <w14:solidFill>
                    <w14:schemeClr w14:val="tx1"/>
                  </w14:solidFill>
                </w14:textFill>
              </w:rPr>
            </w:pPr>
            <w:r>
              <w:rPr>
                <w:rFonts w:hint="eastAsia" w:ascii="Times New Roman" w:hAnsi="Times New Roman" w:eastAsia="宋体" w:cs="Times New Roman"/>
                <w:bCs w:val="0"/>
                <w:color w:val="000000" w:themeColor="text1"/>
                <w:kern w:val="0"/>
                <w:sz w:val="21"/>
                <w:szCs w:val="21"/>
                <w14:textFill>
                  <w14:solidFill>
                    <w14:schemeClr w14:val="tx1"/>
                  </w14:solidFill>
                </w14:textFill>
              </w:rPr>
              <w:t>鸡粪暂存库</w:t>
            </w:r>
          </w:p>
        </w:tc>
        <w:tc>
          <w:tcPr>
            <w:tcW w:w="977" w:type="pct"/>
            <w:vAlign w:val="center"/>
          </w:tcPr>
          <w:p w14:paraId="211F3E71">
            <w:pPr>
              <w:pStyle w:val="6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NH</w:t>
            </w:r>
            <w:r>
              <w:rPr>
                <w:rFonts w:hint="eastAsia"/>
                <w:color w:val="000000" w:themeColor="text1"/>
                <w:szCs w:val="21"/>
                <w:vertAlign w:val="subscript"/>
                <w14:textFill>
                  <w14:solidFill>
                    <w14:schemeClr w14:val="tx1"/>
                  </w14:solidFill>
                </w14:textFill>
              </w:rPr>
              <w:t>3</w:t>
            </w:r>
          </w:p>
        </w:tc>
        <w:tc>
          <w:tcPr>
            <w:tcW w:w="963" w:type="pct"/>
            <w:vAlign w:val="center"/>
          </w:tcPr>
          <w:p w14:paraId="039976CC">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1.19</w:t>
            </w:r>
          </w:p>
        </w:tc>
        <w:tc>
          <w:tcPr>
            <w:tcW w:w="767" w:type="pct"/>
            <w:vAlign w:val="center"/>
          </w:tcPr>
          <w:p w14:paraId="6B861396">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0.59</w:t>
            </w:r>
          </w:p>
        </w:tc>
        <w:tc>
          <w:tcPr>
            <w:tcW w:w="586" w:type="pct"/>
            <w:vMerge w:val="restart"/>
            <w:vAlign w:val="center"/>
          </w:tcPr>
          <w:p w14:paraId="619AD09C">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21</w:t>
            </w:r>
          </w:p>
        </w:tc>
        <w:tc>
          <w:tcPr>
            <w:tcW w:w="475" w:type="pct"/>
            <w:vAlign w:val="center"/>
          </w:tcPr>
          <w:p w14:paraId="7788DCE9">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r w14:paraId="1DBCCE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pct"/>
            <w:vMerge w:val="continue"/>
            <w:vAlign w:val="center"/>
          </w:tcPr>
          <w:p w14:paraId="632B8A74">
            <w:pPr>
              <w:pStyle w:val="89"/>
              <w:rPr>
                <w:rFonts w:ascii="Times New Roman" w:hAnsi="Times New Roman" w:eastAsia="宋体" w:cs="Times New Roman"/>
                <w:color w:val="000000" w:themeColor="text1"/>
                <w:sz w:val="21"/>
                <w:szCs w:val="21"/>
                <w14:textFill>
                  <w14:solidFill>
                    <w14:schemeClr w14:val="tx1"/>
                  </w14:solidFill>
                </w14:textFill>
              </w:rPr>
            </w:pPr>
          </w:p>
        </w:tc>
        <w:tc>
          <w:tcPr>
            <w:tcW w:w="795" w:type="pct"/>
            <w:vMerge w:val="continue"/>
            <w:vAlign w:val="center"/>
          </w:tcPr>
          <w:p w14:paraId="48ECF73B">
            <w:pPr>
              <w:pStyle w:val="89"/>
              <w:rPr>
                <w:rFonts w:ascii="Times New Roman" w:hAnsi="Times New Roman" w:eastAsia="宋体" w:cs="Times New Roman"/>
                <w:bCs w:val="0"/>
                <w:color w:val="000000" w:themeColor="text1"/>
                <w:kern w:val="0"/>
                <w:sz w:val="21"/>
                <w:szCs w:val="21"/>
                <w14:textFill>
                  <w14:solidFill>
                    <w14:schemeClr w14:val="tx1"/>
                  </w14:solidFill>
                </w14:textFill>
              </w:rPr>
            </w:pPr>
          </w:p>
        </w:tc>
        <w:tc>
          <w:tcPr>
            <w:tcW w:w="977" w:type="pct"/>
            <w:vAlign w:val="center"/>
          </w:tcPr>
          <w:p w14:paraId="78371117">
            <w:pPr>
              <w:pStyle w:val="6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S</w:t>
            </w:r>
          </w:p>
        </w:tc>
        <w:tc>
          <w:tcPr>
            <w:tcW w:w="963" w:type="pct"/>
            <w:vAlign w:val="center"/>
          </w:tcPr>
          <w:p w14:paraId="221A71EE">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0.119</w:t>
            </w:r>
          </w:p>
        </w:tc>
        <w:tc>
          <w:tcPr>
            <w:tcW w:w="767" w:type="pct"/>
            <w:vAlign w:val="center"/>
          </w:tcPr>
          <w:p w14:paraId="2440F026">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1.19</w:t>
            </w:r>
          </w:p>
        </w:tc>
        <w:tc>
          <w:tcPr>
            <w:tcW w:w="586" w:type="pct"/>
            <w:vMerge w:val="continue"/>
            <w:vAlign w:val="center"/>
          </w:tcPr>
          <w:p w14:paraId="4BD1F292">
            <w:pPr>
              <w:pStyle w:val="89"/>
              <w:rPr>
                <w:rFonts w:ascii="Times New Roman" w:hAnsi="Times New Roman" w:eastAsia="宋体" w:cs="Times New Roman"/>
                <w:color w:val="000000" w:themeColor="text1"/>
                <w:sz w:val="21"/>
                <w:szCs w:val="21"/>
                <w14:textFill>
                  <w14:solidFill>
                    <w14:schemeClr w14:val="tx1"/>
                  </w14:solidFill>
                </w14:textFill>
              </w:rPr>
            </w:pPr>
          </w:p>
        </w:tc>
        <w:tc>
          <w:tcPr>
            <w:tcW w:w="475" w:type="pct"/>
            <w:vAlign w:val="center"/>
          </w:tcPr>
          <w:p w14:paraId="35C7CE31">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r w14:paraId="030EEE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pct"/>
            <w:vMerge w:val="continue"/>
            <w:vAlign w:val="center"/>
          </w:tcPr>
          <w:p w14:paraId="6170C30C">
            <w:pPr>
              <w:pStyle w:val="89"/>
              <w:rPr>
                <w:rFonts w:ascii="Times New Roman" w:hAnsi="Times New Roman" w:eastAsia="宋体" w:cs="Times New Roman"/>
                <w:color w:val="000000" w:themeColor="text1"/>
                <w:sz w:val="21"/>
                <w:szCs w:val="21"/>
                <w14:textFill>
                  <w14:solidFill>
                    <w14:schemeClr w14:val="tx1"/>
                  </w14:solidFill>
                </w14:textFill>
              </w:rPr>
            </w:pPr>
          </w:p>
        </w:tc>
        <w:tc>
          <w:tcPr>
            <w:tcW w:w="795" w:type="pct"/>
            <w:vMerge w:val="restart"/>
            <w:vAlign w:val="center"/>
          </w:tcPr>
          <w:p w14:paraId="783A1F7A">
            <w:pPr>
              <w:pStyle w:val="89"/>
              <w:rPr>
                <w:rFonts w:ascii="Times New Roman" w:hAnsi="Times New Roman" w:eastAsia="宋体" w:cs="Times New Roman"/>
                <w:bCs w:val="0"/>
                <w:color w:val="000000" w:themeColor="text1"/>
                <w:kern w:val="0"/>
                <w:sz w:val="21"/>
                <w:szCs w:val="21"/>
                <w14:textFill>
                  <w14:solidFill>
                    <w14:schemeClr w14:val="tx1"/>
                  </w14:solidFill>
                </w14:textFill>
              </w:rPr>
            </w:pPr>
            <w:r>
              <w:rPr>
                <w:rFonts w:hint="eastAsia" w:ascii="Times New Roman" w:hAnsi="Times New Roman" w:eastAsia="宋体" w:cs="Times New Roman"/>
                <w:bCs w:val="0"/>
                <w:color w:val="000000" w:themeColor="text1"/>
                <w:kern w:val="0"/>
                <w:sz w:val="21"/>
                <w:szCs w:val="21"/>
                <w14:textFill>
                  <w14:solidFill>
                    <w14:schemeClr w14:val="tx1"/>
                  </w14:solidFill>
                </w14:textFill>
              </w:rPr>
              <w:t>污水处理站</w:t>
            </w:r>
          </w:p>
        </w:tc>
        <w:tc>
          <w:tcPr>
            <w:tcW w:w="977" w:type="pct"/>
            <w:vAlign w:val="center"/>
          </w:tcPr>
          <w:p w14:paraId="5EE5F186">
            <w:pPr>
              <w:pStyle w:val="6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NH</w:t>
            </w:r>
            <w:r>
              <w:rPr>
                <w:rFonts w:hint="eastAsia"/>
                <w:color w:val="000000" w:themeColor="text1"/>
                <w:szCs w:val="21"/>
                <w:vertAlign w:val="subscript"/>
                <w14:textFill>
                  <w14:solidFill>
                    <w14:schemeClr w14:val="tx1"/>
                  </w14:solidFill>
                </w14:textFill>
              </w:rPr>
              <w:t>3</w:t>
            </w:r>
          </w:p>
        </w:tc>
        <w:tc>
          <w:tcPr>
            <w:tcW w:w="963" w:type="pct"/>
            <w:vAlign w:val="center"/>
          </w:tcPr>
          <w:p w14:paraId="72A23563">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0.073</w:t>
            </w:r>
          </w:p>
        </w:tc>
        <w:tc>
          <w:tcPr>
            <w:tcW w:w="767" w:type="pct"/>
            <w:vAlign w:val="center"/>
          </w:tcPr>
          <w:p w14:paraId="534EBB0E">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0.04</w:t>
            </w:r>
          </w:p>
        </w:tc>
        <w:tc>
          <w:tcPr>
            <w:tcW w:w="586" w:type="pct"/>
            <w:vMerge w:val="restart"/>
            <w:vAlign w:val="center"/>
          </w:tcPr>
          <w:p w14:paraId="56A40763">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31</w:t>
            </w:r>
          </w:p>
        </w:tc>
        <w:tc>
          <w:tcPr>
            <w:tcW w:w="475" w:type="pct"/>
            <w:vAlign w:val="center"/>
          </w:tcPr>
          <w:p w14:paraId="0AFDBC58">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r w14:paraId="778665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pct"/>
            <w:vMerge w:val="continue"/>
            <w:vAlign w:val="center"/>
          </w:tcPr>
          <w:p w14:paraId="61524ABE">
            <w:pPr>
              <w:pStyle w:val="89"/>
              <w:rPr>
                <w:rFonts w:ascii="Times New Roman" w:hAnsi="Times New Roman" w:eastAsia="宋体" w:cs="Times New Roman"/>
                <w:color w:val="000000" w:themeColor="text1"/>
                <w:sz w:val="21"/>
                <w:szCs w:val="21"/>
                <w14:textFill>
                  <w14:solidFill>
                    <w14:schemeClr w14:val="tx1"/>
                  </w14:solidFill>
                </w14:textFill>
              </w:rPr>
            </w:pPr>
          </w:p>
        </w:tc>
        <w:tc>
          <w:tcPr>
            <w:tcW w:w="795" w:type="pct"/>
            <w:vMerge w:val="continue"/>
            <w:vAlign w:val="center"/>
          </w:tcPr>
          <w:p w14:paraId="31EC4A73">
            <w:pPr>
              <w:pStyle w:val="89"/>
              <w:rPr>
                <w:rFonts w:ascii="Times New Roman" w:hAnsi="Times New Roman" w:eastAsia="宋体" w:cs="Times New Roman"/>
                <w:color w:val="000000" w:themeColor="text1"/>
                <w:sz w:val="21"/>
                <w:szCs w:val="21"/>
                <w14:textFill>
                  <w14:solidFill>
                    <w14:schemeClr w14:val="tx1"/>
                  </w14:solidFill>
                </w14:textFill>
              </w:rPr>
            </w:pPr>
          </w:p>
        </w:tc>
        <w:tc>
          <w:tcPr>
            <w:tcW w:w="977" w:type="pct"/>
            <w:vAlign w:val="center"/>
          </w:tcPr>
          <w:p w14:paraId="1CB1592B">
            <w:pPr>
              <w:pStyle w:val="6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S</w:t>
            </w:r>
          </w:p>
        </w:tc>
        <w:tc>
          <w:tcPr>
            <w:tcW w:w="963" w:type="pct"/>
            <w:vAlign w:val="center"/>
          </w:tcPr>
          <w:p w14:paraId="6F7565F6">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0.00365</w:t>
            </w:r>
          </w:p>
        </w:tc>
        <w:tc>
          <w:tcPr>
            <w:tcW w:w="767" w:type="pct"/>
            <w:vAlign w:val="center"/>
          </w:tcPr>
          <w:p w14:paraId="6AE0A282">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0.04</w:t>
            </w:r>
          </w:p>
        </w:tc>
        <w:tc>
          <w:tcPr>
            <w:tcW w:w="586" w:type="pct"/>
            <w:vMerge w:val="continue"/>
            <w:vAlign w:val="center"/>
          </w:tcPr>
          <w:p w14:paraId="53464BBF">
            <w:pPr>
              <w:pStyle w:val="89"/>
              <w:rPr>
                <w:rFonts w:ascii="Times New Roman" w:hAnsi="Times New Roman" w:eastAsia="宋体" w:cs="Times New Roman"/>
                <w:color w:val="000000" w:themeColor="text1"/>
                <w:sz w:val="21"/>
                <w:szCs w:val="21"/>
                <w14:textFill>
                  <w14:solidFill>
                    <w14:schemeClr w14:val="tx1"/>
                  </w14:solidFill>
                </w14:textFill>
              </w:rPr>
            </w:pPr>
          </w:p>
        </w:tc>
        <w:tc>
          <w:tcPr>
            <w:tcW w:w="475" w:type="pct"/>
            <w:vAlign w:val="center"/>
          </w:tcPr>
          <w:p w14:paraId="43752379">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bl>
    <w:p w14:paraId="0DC14F7D">
      <w:pPr>
        <w:tabs>
          <w:tab w:val="left" w:pos="0"/>
        </w:tabs>
        <w:adjustRightInd w:val="0"/>
        <w:snapToGrid w:val="0"/>
        <w:spacing w:line="360" w:lineRule="exact"/>
        <w:ind w:firstLine="420"/>
        <w:rPr>
          <w:rFonts w:ascii="Times New Roman"/>
          <w:color w:val="000000"/>
          <w:sz w:val="21"/>
          <w:szCs w:val="21"/>
        </w:rPr>
      </w:pPr>
      <w:r>
        <w:rPr>
          <w:rFonts w:ascii="Times New Roman"/>
          <w:color w:val="000000"/>
          <w:sz w:val="21"/>
          <w:szCs w:val="21"/>
        </w:rPr>
        <w:t>注：D</w:t>
      </w:r>
      <w:r>
        <w:rPr>
          <w:rFonts w:ascii="Times New Roman"/>
          <w:color w:val="000000"/>
          <w:sz w:val="21"/>
          <w:szCs w:val="21"/>
          <w:vertAlign w:val="subscript"/>
        </w:rPr>
        <w:t>10%</w:t>
      </w:r>
      <w:r>
        <w:rPr>
          <w:rFonts w:ascii="Times New Roman"/>
          <w:color w:val="000000"/>
          <w:sz w:val="21"/>
          <w:szCs w:val="21"/>
        </w:rPr>
        <w:t>为污染物的地面浓度达标准限值10%时所对应的最远距离。</w:t>
      </w:r>
    </w:p>
    <w:p w14:paraId="7A425C55">
      <w:pPr>
        <w:adjustRightInd w:val="0"/>
        <w:snapToGrid w:val="0"/>
        <w:spacing w:line="480" w:lineRule="exact"/>
        <w:ind w:firstLine="480"/>
        <w:rPr>
          <w:rFonts w:ascii="Times New Roman"/>
          <w:bCs/>
          <w:szCs w:val="24"/>
        </w:rPr>
      </w:pPr>
      <w:r>
        <w:rPr>
          <w:rFonts w:ascii="Times New Roman"/>
          <w:bCs/>
          <w:szCs w:val="24"/>
        </w:rPr>
        <w:t>由表中预测结果可以看出：正常排放状况下，本项目排放废气对周边环境影响很小，不会改变周边大气环境质量。</w:t>
      </w:r>
    </w:p>
    <w:p w14:paraId="7EC781E6">
      <w:pPr>
        <w:adjustRightInd w:val="0"/>
        <w:snapToGrid w:val="0"/>
        <w:spacing w:line="480" w:lineRule="exact"/>
        <w:ind w:firstLine="480"/>
        <w:rPr>
          <w:rFonts w:ascii="Times New Roman"/>
          <w:bCs/>
          <w:szCs w:val="24"/>
        </w:rPr>
      </w:pPr>
      <w:r>
        <w:rPr>
          <w:rFonts w:ascii="Times New Roman"/>
          <w:bCs/>
          <w:szCs w:val="24"/>
        </w:rPr>
        <w:t>（2）非正常工况环境影响预测结果</w:t>
      </w:r>
    </w:p>
    <w:p w14:paraId="20E7C232">
      <w:pPr>
        <w:adjustRightInd w:val="0"/>
        <w:snapToGrid w:val="0"/>
        <w:spacing w:line="480" w:lineRule="exact"/>
        <w:ind w:firstLine="480"/>
        <w:rPr>
          <w:rFonts w:ascii="Times New Roman"/>
          <w:bCs/>
          <w:szCs w:val="24"/>
        </w:rPr>
      </w:pPr>
      <w:r>
        <w:rPr>
          <w:rFonts w:ascii="Times New Roman"/>
          <w:bCs/>
          <w:szCs w:val="24"/>
        </w:rPr>
        <w:t>非正常工况预测结果见表5.</w:t>
      </w:r>
      <w:r>
        <w:rPr>
          <w:rFonts w:hint="eastAsia" w:ascii="Times New Roman"/>
          <w:bCs/>
          <w:szCs w:val="24"/>
        </w:rPr>
        <w:t>2-10</w:t>
      </w:r>
      <w:r>
        <w:rPr>
          <w:rFonts w:ascii="Times New Roman"/>
          <w:bCs/>
          <w:szCs w:val="24"/>
        </w:rPr>
        <w:t>。</w:t>
      </w:r>
    </w:p>
    <w:p w14:paraId="1B120AC4">
      <w:pPr>
        <w:adjustRightInd w:val="0"/>
        <w:snapToGrid w:val="0"/>
        <w:spacing w:line="480" w:lineRule="exact"/>
        <w:ind w:firstLine="482"/>
        <w:jc w:val="center"/>
        <w:rPr>
          <w:rFonts w:ascii="Times New Roman"/>
          <w:b/>
          <w:bCs/>
          <w:color w:val="000000"/>
          <w:szCs w:val="24"/>
        </w:rPr>
      </w:pPr>
      <w:r>
        <w:rPr>
          <w:rFonts w:ascii="Times New Roman"/>
          <w:b/>
          <w:bCs/>
          <w:szCs w:val="24"/>
        </w:rPr>
        <w:t>表 5.</w:t>
      </w:r>
      <w:r>
        <w:rPr>
          <w:rFonts w:hint="eastAsia" w:ascii="Times New Roman"/>
          <w:b/>
          <w:bCs/>
          <w:szCs w:val="24"/>
        </w:rPr>
        <w:t>2-10</w:t>
      </w:r>
      <w:r>
        <w:rPr>
          <w:rFonts w:ascii="Times New Roman"/>
          <w:b/>
          <w:bCs/>
          <w:szCs w:val="24"/>
        </w:rPr>
        <w:t>非正常情况</w:t>
      </w:r>
      <w:r>
        <w:rPr>
          <w:rFonts w:ascii="Times New Roman"/>
          <w:b/>
          <w:bCs/>
          <w:color w:val="000000"/>
          <w:szCs w:val="24"/>
        </w:rPr>
        <w:t>下项目有组织大气污染物估算模式计算结果表</w:t>
      </w:r>
    </w:p>
    <w:tbl>
      <w:tblPr>
        <w:tblStyle w:val="41"/>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2461"/>
        <w:gridCol w:w="1679"/>
        <w:gridCol w:w="1336"/>
        <w:gridCol w:w="1025"/>
        <w:gridCol w:w="831"/>
      </w:tblGrid>
      <w:tr w14:paraId="6D03F1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4" w:type="pct"/>
            <w:vMerge w:val="restart"/>
            <w:vAlign w:val="center"/>
          </w:tcPr>
          <w:p w14:paraId="3EB5C6B3">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污染源位置</w:t>
            </w:r>
          </w:p>
        </w:tc>
        <w:tc>
          <w:tcPr>
            <w:tcW w:w="1411" w:type="pct"/>
            <w:vMerge w:val="restart"/>
            <w:vAlign w:val="center"/>
          </w:tcPr>
          <w:p w14:paraId="22007D80">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污染物</w:t>
            </w:r>
          </w:p>
        </w:tc>
        <w:tc>
          <w:tcPr>
            <w:tcW w:w="2317" w:type="pct"/>
            <w:gridSpan w:val="3"/>
            <w:vAlign w:val="center"/>
          </w:tcPr>
          <w:p w14:paraId="27DC203A">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P</w:t>
            </w:r>
            <w:r>
              <w:rPr>
                <w:rFonts w:ascii="Times New Roman" w:hAnsi="Times New Roman" w:eastAsia="宋体" w:cs="Times New Roman"/>
                <w:color w:val="000000"/>
                <w:sz w:val="21"/>
                <w:szCs w:val="21"/>
                <w:vertAlign w:val="subscript"/>
              </w:rPr>
              <w:t>max</w:t>
            </w:r>
          </w:p>
        </w:tc>
        <w:tc>
          <w:tcPr>
            <w:tcW w:w="476" w:type="pct"/>
            <w:vMerge w:val="restart"/>
            <w:vAlign w:val="center"/>
          </w:tcPr>
          <w:p w14:paraId="5DE9AAE9">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r>
              <w:rPr>
                <w:rFonts w:ascii="Times New Roman" w:hAnsi="Times New Roman" w:eastAsia="宋体" w:cs="Times New Roman"/>
                <w:color w:val="000000"/>
                <w:sz w:val="21"/>
                <w:szCs w:val="21"/>
                <w:vertAlign w:val="subscript"/>
              </w:rPr>
              <w:t>10%</w:t>
            </w:r>
          </w:p>
          <w:p w14:paraId="3A93B5A9">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(m)</w:t>
            </w:r>
          </w:p>
        </w:tc>
      </w:tr>
      <w:tr w14:paraId="7368CD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4" w:type="pct"/>
            <w:vMerge w:val="continue"/>
            <w:vAlign w:val="center"/>
          </w:tcPr>
          <w:p w14:paraId="4BDA524C">
            <w:pPr>
              <w:pStyle w:val="89"/>
              <w:rPr>
                <w:rFonts w:ascii="Times New Roman" w:hAnsi="Times New Roman" w:eastAsia="宋体" w:cs="Times New Roman"/>
                <w:color w:val="000000"/>
                <w:sz w:val="21"/>
                <w:szCs w:val="21"/>
              </w:rPr>
            </w:pPr>
          </w:p>
        </w:tc>
        <w:tc>
          <w:tcPr>
            <w:tcW w:w="1411" w:type="pct"/>
            <w:vMerge w:val="continue"/>
            <w:vAlign w:val="center"/>
          </w:tcPr>
          <w:p w14:paraId="4E474DCC">
            <w:pPr>
              <w:pStyle w:val="89"/>
              <w:rPr>
                <w:rFonts w:ascii="Times New Roman" w:hAnsi="Times New Roman" w:eastAsia="宋体" w:cs="Times New Roman"/>
                <w:color w:val="000000"/>
                <w:sz w:val="21"/>
                <w:szCs w:val="21"/>
              </w:rPr>
            </w:pPr>
          </w:p>
        </w:tc>
        <w:tc>
          <w:tcPr>
            <w:tcW w:w="963" w:type="pct"/>
            <w:vAlign w:val="center"/>
          </w:tcPr>
          <w:p w14:paraId="7B1A684A">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浓度(μg /m</w:t>
            </w:r>
            <w:r>
              <w:rPr>
                <w:rFonts w:ascii="Times New Roman" w:hAnsi="Times New Roman" w:eastAsia="宋体" w:cs="Times New Roman"/>
                <w:color w:val="000000"/>
                <w:sz w:val="21"/>
                <w:szCs w:val="21"/>
                <w:vertAlign w:val="superscript"/>
              </w:rPr>
              <w:t>3</w:t>
            </w:r>
            <w:r>
              <w:rPr>
                <w:rFonts w:ascii="Times New Roman" w:hAnsi="Times New Roman" w:eastAsia="宋体" w:cs="Times New Roman"/>
                <w:color w:val="000000"/>
                <w:sz w:val="21"/>
                <w:szCs w:val="21"/>
              </w:rPr>
              <w:t>)</w:t>
            </w:r>
          </w:p>
        </w:tc>
        <w:tc>
          <w:tcPr>
            <w:tcW w:w="766" w:type="pct"/>
            <w:vAlign w:val="center"/>
          </w:tcPr>
          <w:p w14:paraId="6D2660FA">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占标率(%)</w:t>
            </w:r>
          </w:p>
        </w:tc>
        <w:tc>
          <w:tcPr>
            <w:tcW w:w="587" w:type="pct"/>
            <w:vAlign w:val="center"/>
          </w:tcPr>
          <w:p w14:paraId="59B5B028">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下风距离(m)</w:t>
            </w:r>
          </w:p>
        </w:tc>
        <w:tc>
          <w:tcPr>
            <w:tcW w:w="476" w:type="pct"/>
            <w:vMerge w:val="continue"/>
            <w:vAlign w:val="center"/>
          </w:tcPr>
          <w:p w14:paraId="65BBCC43">
            <w:pPr>
              <w:pStyle w:val="89"/>
              <w:rPr>
                <w:rFonts w:ascii="Times New Roman" w:hAnsi="Times New Roman" w:eastAsia="宋体" w:cs="Times New Roman"/>
                <w:color w:val="000000"/>
                <w:sz w:val="21"/>
                <w:szCs w:val="21"/>
              </w:rPr>
            </w:pPr>
          </w:p>
        </w:tc>
      </w:tr>
      <w:tr w14:paraId="2DB975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4" w:type="pct"/>
            <w:vMerge w:val="restart"/>
            <w:vAlign w:val="center"/>
          </w:tcPr>
          <w:p w14:paraId="30601794">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DA001</w:t>
            </w:r>
          </w:p>
        </w:tc>
        <w:tc>
          <w:tcPr>
            <w:tcW w:w="1411" w:type="pct"/>
            <w:vAlign w:val="center"/>
          </w:tcPr>
          <w:p w14:paraId="4222EFF4">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NH</w:t>
            </w:r>
            <w:r>
              <w:rPr>
                <w:rFonts w:hint="eastAsia"/>
                <w:color w:val="000000" w:themeColor="text1"/>
                <w:vertAlign w:val="subscript"/>
                <w14:textFill>
                  <w14:solidFill>
                    <w14:schemeClr w14:val="tx1"/>
                  </w14:solidFill>
                </w14:textFill>
              </w:rPr>
              <w:t>3</w:t>
            </w:r>
          </w:p>
        </w:tc>
        <w:tc>
          <w:tcPr>
            <w:tcW w:w="963" w:type="pct"/>
            <w:vAlign w:val="center"/>
          </w:tcPr>
          <w:p w14:paraId="03174F28">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0.633</w:t>
            </w:r>
          </w:p>
        </w:tc>
        <w:tc>
          <w:tcPr>
            <w:tcW w:w="766" w:type="pct"/>
            <w:vAlign w:val="center"/>
          </w:tcPr>
          <w:p w14:paraId="0B803F7D">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0.32</w:t>
            </w:r>
          </w:p>
        </w:tc>
        <w:tc>
          <w:tcPr>
            <w:tcW w:w="587" w:type="pct"/>
            <w:vAlign w:val="center"/>
          </w:tcPr>
          <w:p w14:paraId="183F697D">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211</w:t>
            </w:r>
          </w:p>
        </w:tc>
        <w:tc>
          <w:tcPr>
            <w:tcW w:w="476" w:type="pct"/>
            <w:vAlign w:val="center"/>
          </w:tcPr>
          <w:p w14:paraId="16FDF648">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r w14:paraId="43938A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4" w:type="pct"/>
            <w:vMerge w:val="continue"/>
            <w:vAlign w:val="center"/>
          </w:tcPr>
          <w:p w14:paraId="372746F3">
            <w:pPr>
              <w:pStyle w:val="89"/>
              <w:rPr>
                <w:rFonts w:ascii="Times New Roman" w:hAnsi="Times New Roman" w:eastAsia="宋体" w:cs="Times New Roman"/>
                <w:color w:val="000000"/>
                <w:sz w:val="21"/>
                <w:szCs w:val="21"/>
              </w:rPr>
            </w:pPr>
          </w:p>
        </w:tc>
        <w:tc>
          <w:tcPr>
            <w:tcW w:w="1411" w:type="pct"/>
            <w:vAlign w:val="center"/>
          </w:tcPr>
          <w:p w14:paraId="612D6FC7">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p>
        </w:tc>
        <w:tc>
          <w:tcPr>
            <w:tcW w:w="963" w:type="pct"/>
            <w:vAlign w:val="center"/>
          </w:tcPr>
          <w:p w14:paraId="542FF159">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0.0618</w:t>
            </w:r>
          </w:p>
        </w:tc>
        <w:tc>
          <w:tcPr>
            <w:tcW w:w="766" w:type="pct"/>
            <w:vAlign w:val="center"/>
          </w:tcPr>
          <w:p w14:paraId="1ABDA557">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0.62</w:t>
            </w:r>
          </w:p>
        </w:tc>
        <w:tc>
          <w:tcPr>
            <w:tcW w:w="587" w:type="pct"/>
            <w:vAlign w:val="center"/>
          </w:tcPr>
          <w:p w14:paraId="76843E22">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211</w:t>
            </w:r>
          </w:p>
        </w:tc>
        <w:tc>
          <w:tcPr>
            <w:tcW w:w="476" w:type="pct"/>
            <w:vAlign w:val="center"/>
          </w:tcPr>
          <w:p w14:paraId="0DDE7455">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bl>
    <w:p w14:paraId="4CFDFFE1">
      <w:pPr>
        <w:spacing w:line="480" w:lineRule="exact"/>
        <w:ind w:firstLine="482"/>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由上表5.</w:t>
      </w:r>
      <w:r>
        <w:rPr>
          <w:rFonts w:hint="eastAsia" w:ascii="Times New Roman" w:hAnsi="Times New Roman" w:eastAsia="宋体" w:cs="Times New Roman"/>
          <w:color w:val="000000" w:themeColor="text1"/>
          <w:szCs w:val="24"/>
          <w14:textFill>
            <w14:solidFill>
              <w14:schemeClr w14:val="tx1"/>
            </w14:solidFill>
          </w14:textFill>
        </w:rPr>
        <w:t>2</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9</w:t>
      </w:r>
      <w:r>
        <w:rPr>
          <w:rFonts w:ascii="Times New Roman" w:hAnsi="Times New Roman" w:eastAsia="宋体" w:cs="Times New Roman"/>
          <w:color w:val="000000" w:themeColor="text1"/>
          <w:szCs w:val="24"/>
          <w14:textFill>
            <w14:solidFill>
              <w14:schemeClr w14:val="tx1"/>
            </w14:solidFill>
          </w14:textFill>
        </w:rPr>
        <w:t>可知，项目大气污染物正常排放、环保设施均运转良好情况下，污染物达标排放，其对环境质量的影响较小。DA001号排气筒有组织</w:t>
      </w:r>
      <w:r>
        <w:rPr>
          <w:rFonts w:hint="eastAsia" w:ascii="Times New Roman" w:hAnsi="Times New Roman" w:eastAsia="宋体" w:cs="Times New Roman"/>
          <w:color w:val="000000" w:themeColor="text1"/>
          <w:szCs w:val="24"/>
          <w14:textFill>
            <w14:solidFill>
              <w14:schemeClr w14:val="tx1"/>
            </w14:solidFill>
          </w14:textFill>
        </w:rPr>
        <w:t>氨</w:t>
      </w:r>
      <w:r>
        <w:rPr>
          <w:rFonts w:ascii="Times New Roman" w:hAnsi="Times New Roman" w:eastAsia="宋体" w:cs="Times New Roman"/>
          <w:color w:val="000000" w:themeColor="text1"/>
          <w:szCs w:val="24"/>
          <w14:textFill>
            <w14:solidFill>
              <w14:schemeClr w14:val="tx1"/>
            </w14:solidFill>
          </w14:textFill>
        </w:rPr>
        <w:t>最大落地浓度占标率为</w:t>
      </w:r>
      <w:r>
        <w:rPr>
          <w:rFonts w:hint="eastAsia" w:ascii="Times New Roman" w:hAnsi="Times New Roman" w:eastAsia="宋体" w:cs="Times New Roman"/>
          <w:color w:val="000000" w:themeColor="text1"/>
          <w:szCs w:val="24"/>
          <w14:textFill>
            <w14:solidFill>
              <w14:schemeClr w14:val="tx1"/>
            </w14:solidFill>
          </w14:textFill>
        </w:rPr>
        <w:t>0.13</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，有组织硫化氢</w:t>
      </w:r>
      <w:r>
        <w:rPr>
          <w:rFonts w:ascii="Times New Roman" w:hAnsi="Times New Roman" w:eastAsia="宋体" w:cs="Times New Roman"/>
          <w:color w:val="000000" w:themeColor="text1"/>
          <w:szCs w:val="24"/>
          <w14:textFill>
            <w14:solidFill>
              <w14:schemeClr w14:val="tx1"/>
            </w14:solidFill>
          </w14:textFill>
        </w:rPr>
        <w:t>最大落地浓度占标率为</w:t>
      </w:r>
      <w:r>
        <w:rPr>
          <w:rFonts w:hint="eastAsia" w:ascii="Times New Roman" w:hAnsi="Times New Roman" w:eastAsia="宋体" w:cs="Times New Roman"/>
          <w:color w:val="000000" w:themeColor="text1"/>
          <w:szCs w:val="24"/>
          <w14:textFill>
            <w14:solidFill>
              <w14:schemeClr w14:val="tx1"/>
            </w14:solidFill>
          </w14:textFill>
        </w:rPr>
        <w:t>0.25</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t>本项目有组织源排放的污染物对周边环境影响较小。项目无组织废气中，</w:t>
      </w:r>
      <w:r>
        <w:rPr>
          <w:rFonts w:hint="eastAsia" w:ascii="Times New Roman" w:hAnsi="Times New Roman" w:eastAsia="宋体" w:cs="Times New Roman"/>
          <w:color w:val="000000" w:themeColor="text1"/>
          <w:szCs w:val="24"/>
          <w14:textFill>
            <w14:solidFill>
              <w14:schemeClr w14:val="tx1"/>
            </w14:solidFill>
          </w14:textFill>
        </w:rPr>
        <w:t>鸡舍区</w:t>
      </w:r>
      <w:r>
        <w:rPr>
          <w:rFonts w:ascii="Times New Roman" w:hAnsi="Times New Roman" w:eastAsia="宋体" w:cs="Times New Roman"/>
          <w:color w:val="000000" w:themeColor="text1"/>
          <w:szCs w:val="24"/>
          <w14:textFill>
            <w14:solidFill>
              <w14:schemeClr w14:val="tx1"/>
            </w14:solidFill>
          </w14:textFill>
        </w:rPr>
        <w:t>排放的</w:t>
      </w:r>
      <w:r>
        <w:rPr>
          <w:rFonts w:hint="eastAsia" w:ascii="Times New Roman" w:hAnsi="Times New Roman" w:eastAsia="宋体" w:cs="Times New Roman"/>
          <w:color w:val="000000" w:themeColor="text1"/>
          <w:szCs w:val="24"/>
          <w14:textFill>
            <w14:solidFill>
              <w14:schemeClr w14:val="tx1"/>
            </w14:solidFill>
          </w14:textFill>
        </w:rPr>
        <w:t>氨</w:t>
      </w:r>
      <w:r>
        <w:rPr>
          <w:rFonts w:ascii="Times New Roman" w:hAnsi="Times New Roman" w:eastAsia="宋体" w:cs="Times New Roman"/>
          <w:color w:val="000000" w:themeColor="text1"/>
          <w:szCs w:val="24"/>
          <w14:textFill>
            <w14:solidFill>
              <w14:schemeClr w14:val="tx1"/>
            </w14:solidFill>
          </w14:textFill>
        </w:rPr>
        <w:t>下风向最大落地浓度</w:t>
      </w:r>
      <w:r>
        <w:rPr>
          <w:rFonts w:hint="eastAsia" w:ascii="Times New Roman" w:hAnsi="Times New Roman" w:eastAsia="宋体" w:cs="Times New Roman"/>
          <w:color w:val="000000" w:themeColor="text1"/>
          <w:szCs w:val="24"/>
          <w14:textFill>
            <w14:solidFill>
              <w14:schemeClr w14:val="tx1"/>
            </w14:solidFill>
          </w14:textFill>
        </w:rPr>
        <w:t>2.78</w:t>
      </w:r>
      <w:r>
        <w:rPr>
          <w:rFonts w:ascii="Times New Roman" w:hAnsi="Times New Roman" w:eastAsia="宋体" w:cs="Times New Roman"/>
          <w:color w:val="000000" w:themeColor="text1"/>
          <w:szCs w:val="24"/>
          <w14:textFill>
            <w14:solidFill>
              <w14:schemeClr w14:val="tx1"/>
            </w14:solidFill>
          </w14:textFill>
        </w:rPr>
        <w:t>ug/m</w:t>
      </w:r>
      <w:r>
        <w:rPr>
          <w:rFonts w:ascii="Times New Roman" w:hAnsi="Times New Roman" w:eastAsia="宋体" w:cs="Times New Roman"/>
          <w:color w:val="000000" w:themeColor="text1"/>
          <w:szCs w:val="24"/>
          <w:vertAlign w:val="superscript"/>
          <w14:textFill>
            <w14:solidFill>
              <w14:schemeClr w14:val="tx1"/>
            </w14:solidFill>
          </w14:textFill>
        </w:rPr>
        <w:t>3</w:t>
      </w:r>
      <w:r>
        <w:rPr>
          <w:rFonts w:ascii="Times New Roman" w:hAnsi="Times New Roman" w:eastAsia="宋体" w:cs="Times New Roman"/>
          <w:color w:val="000000" w:themeColor="text1"/>
          <w:szCs w:val="24"/>
          <w14:textFill>
            <w14:solidFill>
              <w14:schemeClr w14:val="tx1"/>
            </w14:solidFill>
          </w14:textFill>
        </w:rPr>
        <w:t>，最大占标率为</w:t>
      </w:r>
      <w:r>
        <w:rPr>
          <w:rFonts w:hint="eastAsia" w:ascii="Times New Roman" w:hAnsi="Times New Roman" w:eastAsia="宋体" w:cs="Times New Roman"/>
          <w:color w:val="000000" w:themeColor="text1"/>
          <w:szCs w:val="24"/>
          <w14:textFill>
            <w14:solidFill>
              <w14:schemeClr w14:val="tx1"/>
            </w14:solidFill>
          </w14:textFill>
        </w:rPr>
        <w:t>1.39</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，硫化氢</w:t>
      </w:r>
      <w:r>
        <w:rPr>
          <w:rFonts w:ascii="Times New Roman" w:hAnsi="Times New Roman" w:eastAsia="宋体" w:cs="Times New Roman"/>
          <w:color w:val="000000" w:themeColor="text1"/>
          <w:szCs w:val="24"/>
          <w14:textFill>
            <w14:solidFill>
              <w14:schemeClr w14:val="tx1"/>
            </w14:solidFill>
          </w14:textFill>
        </w:rPr>
        <w:t>下风向最大落地浓度</w:t>
      </w:r>
      <w:r>
        <w:rPr>
          <w:rFonts w:hint="eastAsia" w:ascii="Times New Roman" w:hAnsi="Times New Roman" w:eastAsia="宋体" w:cs="Times New Roman"/>
          <w:color w:val="000000" w:themeColor="text1"/>
          <w:szCs w:val="24"/>
          <w14:textFill>
            <w14:solidFill>
              <w14:schemeClr w14:val="tx1"/>
            </w14:solidFill>
          </w14:textFill>
        </w:rPr>
        <w:t>0.278</w:t>
      </w:r>
      <w:r>
        <w:rPr>
          <w:rFonts w:ascii="Times New Roman" w:hAnsi="Times New Roman" w:eastAsia="宋体" w:cs="Times New Roman"/>
          <w:color w:val="000000" w:themeColor="text1"/>
          <w:szCs w:val="24"/>
          <w14:textFill>
            <w14:solidFill>
              <w14:schemeClr w14:val="tx1"/>
            </w14:solidFill>
          </w14:textFill>
        </w:rPr>
        <w:t>ug/m</w:t>
      </w:r>
      <w:r>
        <w:rPr>
          <w:rFonts w:ascii="Times New Roman" w:hAnsi="Times New Roman" w:eastAsia="宋体" w:cs="Times New Roman"/>
          <w:color w:val="000000" w:themeColor="text1"/>
          <w:szCs w:val="24"/>
          <w:vertAlign w:val="superscript"/>
          <w14:textFill>
            <w14:solidFill>
              <w14:schemeClr w14:val="tx1"/>
            </w14:solidFill>
          </w14:textFill>
        </w:rPr>
        <w:t>3</w:t>
      </w:r>
      <w:r>
        <w:rPr>
          <w:rFonts w:ascii="Times New Roman" w:hAnsi="Times New Roman" w:eastAsia="宋体" w:cs="Times New Roman"/>
          <w:color w:val="000000" w:themeColor="text1"/>
          <w:szCs w:val="24"/>
          <w14:textFill>
            <w14:solidFill>
              <w14:schemeClr w14:val="tx1"/>
            </w14:solidFill>
          </w14:textFill>
        </w:rPr>
        <w:t>，最大占标率为</w:t>
      </w:r>
      <w:r>
        <w:rPr>
          <w:rFonts w:hint="eastAsia" w:ascii="Times New Roman" w:hAnsi="Times New Roman" w:eastAsia="宋体" w:cs="Times New Roman"/>
          <w:color w:val="000000" w:themeColor="text1"/>
          <w:szCs w:val="24"/>
          <w14:textFill>
            <w14:solidFill>
              <w14:schemeClr w14:val="tx1"/>
            </w14:solidFill>
          </w14:textFill>
        </w:rPr>
        <w:t>2.78</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鸡粪暂存库</w:t>
      </w:r>
      <w:r>
        <w:rPr>
          <w:rFonts w:ascii="Times New Roman" w:hAnsi="Times New Roman" w:eastAsia="宋体" w:cs="Times New Roman"/>
          <w:color w:val="000000" w:themeColor="text1"/>
          <w:szCs w:val="24"/>
          <w14:textFill>
            <w14:solidFill>
              <w14:schemeClr w14:val="tx1"/>
            </w14:solidFill>
          </w14:textFill>
        </w:rPr>
        <w:t>排放的</w:t>
      </w:r>
      <w:r>
        <w:rPr>
          <w:rFonts w:hint="eastAsia" w:ascii="Times New Roman" w:hAnsi="Times New Roman" w:eastAsia="宋体" w:cs="Times New Roman"/>
          <w:color w:val="000000" w:themeColor="text1"/>
          <w:szCs w:val="24"/>
          <w14:textFill>
            <w14:solidFill>
              <w14:schemeClr w14:val="tx1"/>
            </w14:solidFill>
          </w14:textFill>
        </w:rPr>
        <w:t>氨</w:t>
      </w:r>
      <w:r>
        <w:rPr>
          <w:rFonts w:ascii="Times New Roman" w:hAnsi="Times New Roman" w:eastAsia="宋体" w:cs="Times New Roman"/>
          <w:color w:val="000000" w:themeColor="text1"/>
          <w:szCs w:val="24"/>
          <w14:textFill>
            <w14:solidFill>
              <w14:schemeClr w14:val="tx1"/>
            </w14:solidFill>
          </w14:textFill>
        </w:rPr>
        <w:t>下风向最大落地浓度</w:t>
      </w:r>
      <w:r>
        <w:rPr>
          <w:rFonts w:hint="eastAsia" w:ascii="Times New Roman" w:hAnsi="Times New Roman" w:eastAsia="宋体" w:cs="Times New Roman"/>
          <w:color w:val="000000" w:themeColor="text1"/>
          <w:szCs w:val="24"/>
          <w14:textFill>
            <w14:solidFill>
              <w14:schemeClr w14:val="tx1"/>
            </w14:solidFill>
          </w14:textFill>
        </w:rPr>
        <w:t>1.19</w:t>
      </w:r>
      <w:r>
        <w:rPr>
          <w:rFonts w:ascii="Times New Roman" w:hAnsi="Times New Roman" w:eastAsia="宋体" w:cs="Times New Roman"/>
          <w:color w:val="000000" w:themeColor="text1"/>
          <w:szCs w:val="24"/>
          <w14:textFill>
            <w14:solidFill>
              <w14:schemeClr w14:val="tx1"/>
            </w14:solidFill>
          </w14:textFill>
        </w:rPr>
        <w:t>ug/m</w:t>
      </w:r>
      <w:r>
        <w:rPr>
          <w:rFonts w:ascii="Times New Roman" w:hAnsi="Times New Roman" w:eastAsia="宋体" w:cs="Times New Roman"/>
          <w:color w:val="000000" w:themeColor="text1"/>
          <w:szCs w:val="24"/>
          <w:vertAlign w:val="superscript"/>
          <w14:textFill>
            <w14:solidFill>
              <w14:schemeClr w14:val="tx1"/>
            </w14:solidFill>
          </w14:textFill>
        </w:rPr>
        <w:t>3</w:t>
      </w:r>
      <w:r>
        <w:rPr>
          <w:rFonts w:ascii="Times New Roman" w:hAnsi="Times New Roman" w:eastAsia="宋体" w:cs="Times New Roman"/>
          <w:color w:val="000000" w:themeColor="text1"/>
          <w:szCs w:val="24"/>
          <w14:textFill>
            <w14:solidFill>
              <w14:schemeClr w14:val="tx1"/>
            </w14:solidFill>
          </w14:textFill>
        </w:rPr>
        <w:t>，最大占标率为0.5</w:t>
      </w:r>
      <w:r>
        <w:rPr>
          <w:rFonts w:hint="eastAsia" w:ascii="Times New Roman" w:hAnsi="Times New Roman" w:eastAsia="宋体" w:cs="Times New Roman"/>
          <w:color w:val="000000" w:themeColor="text1"/>
          <w:szCs w:val="24"/>
          <w14:textFill>
            <w14:solidFill>
              <w14:schemeClr w14:val="tx1"/>
            </w14:solidFill>
          </w14:textFill>
        </w:rPr>
        <w:t>9</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，硫化氢</w:t>
      </w:r>
      <w:r>
        <w:rPr>
          <w:rFonts w:ascii="Times New Roman" w:hAnsi="Times New Roman" w:eastAsia="宋体" w:cs="Times New Roman"/>
          <w:color w:val="000000" w:themeColor="text1"/>
          <w:szCs w:val="24"/>
          <w14:textFill>
            <w14:solidFill>
              <w14:schemeClr w14:val="tx1"/>
            </w14:solidFill>
          </w14:textFill>
        </w:rPr>
        <w:t>下风向最大落地浓度</w:t>
      </w:r>
      <w:r>
        <w:rPr>
          <w:rFonts w:hint="eastAsia" w:ascii="Times New Roman" w:hAnsi="Times New Roman" w:eastAsia="宋体" w:cs="Times New Roman"/>
          <w:color w:val="000000" w:themeColor="text1"/>
          <w:szCs w:val="24"/>
          <w14:textFill>
            <w14:solidFill>
              <w14:schemeClr w14:val="tx1"/>
            </w14:solidFill>
          </w14:textFill>
        </w:rPr>
        <w:t>0.119</w:t>
      </w:r>
      <w:r>
        <w:rPr>
          <w:rFonts w:ascii="Times New Roman" w:hAnsi="Times New Roman" w:eastAsia="宋体" w:cs="Times New Roman"/>
          <w:color w:val="000000" w:themeColor="text1"/>
          <w:szCs w:val="24"/>
          <w14:textFill>
            <w14:solidFill>
              <w14:schemeClr w14:val="tx1"/>
            </w14:solidFill>
          </w14:textFill>
        </w:rPr>
        <w:t>ug/m</w:t>
      </w:r>
      <w:r>
        <w:rPr>
          <w:rFonts w:ascii="Times New Roman" w:hAnsi="Times New Roman" w:eastAsia="宋体" w:cs="Times New Roman"/>
          <w:color w:val="000000" w:themeColor="text1"/>
          <w:szCs w:val="24"/>
          <w:vertAlign w:val="superscript"/>
          <w14:textFill>
            <w14:solidFill>
              <w14:schemeClr w14:val="tx1"/>
            </w14:solidFill>
          </w14:textFill>
        </w:rPr>
        <w:t>3</w:t>
      </w:r>
      <w:r>
        <w:rPr>
          <w:rFonts w:ascii="Times New Roman" w:hAnsi="Times New Roman" w:eastAsia="宋体" w:cs="Times New Roman"/>
          <w:color w:val="000000" w:themeColor="text1"/>
          <w:szCs w:val="24"/>
          <w14:textFill>
            <w14:solidFill>
              <w14:schemeClr w14:val="tx1"/>
            </w14:solidFill>
          </w14:textFill>
        </w:rPr>
        <w:t>，最大占标率为</w:t>
      </w:r>
      <w:r>
        <w:rPr>
          <w:rFonts w:hint="eastAsia" w:ascii="Times New Roman" w:hAnsi="Times New Roman" w:eastAsia="宋体" w:cs="Times New Roman"/>
          <w:color w:val="000000" w:themeColor="text1"/>
          <w:szCs w:val="24"/>
          <w14:textFill>
            <w14:solidFill>
              <w14:schemeClr w14:val="tx1"/>
            </w14:solidFill>
          </w14:textFill>
        </w:rPr>
        <w:t>1.19</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污水处理站</w:t>
      </w:r>
      <w:r>
        <w:rPr>
          <w:rFonts w:ascii="Times New Roman" w:hAnsi="Times New Roman" w:eastAsia="宋体" w:cs="Times New Roman"/>
          <w:color w:val="000000" w:themeColor="text1"/>
          <w:szCs w:val="24"/>
          <w14:textFill>
            <w14:solidFill>
              <w14:schemeClr w14:val="tx1"/>
            </w14:solidFill>
          </w14:textFill>
        </w:rPr>
        <w:t>排放的</w:t>
      </w:r>
      <w:r>
        <w:rPr>
          <w:rFonts w:hint="eastAsia" w:ascii="Times New Roman" w:hAnsi="Times New Roman" w:eastAsia="宋体" w:cs="Times New Roman"/>
          <w:color w:val="000000" w:themeColor="text1"/>
          <w:szCs w:val="24"/>
          <w14:textFill>
            <w14:solidFill>
              <w14:schemeClr w14:val="tx1"/>
            </w14:solidFill>
          </w14:textFill>
        </w:rPr>
        <w:t>氨</w:t>
      </w:r>
      <w:r>
        <w:rPr>
          <w:rFonts w:ascii="Times New Roman" w:hAnsi="Times New Roman" w:eastAsia="宋体" w:cs="Times New Roman"/>
          <w:color w:val="000000" w:themeColor="text1"/>
          <w:szCs w:val="24"/>
          <w14:textFill>
            <w14:solidFill>
              <w14:schemeClr w14:val="tx1"/>
            </w14:solidFill>
          </w14:textFill>
        </w:rPr>
        <w:t>下风向最大落地浓度</w:t>
      </w:r>
      <w:r>
        <w:rPr>
          <w:rFonts w:hint="eastAsia" w:ascii="Times New Roman" w:hAnsi="Times New Roman" w:eastAsia="宋体" w:cs="Times New Roman"/>
          <w:color w:val="000000" w:themeColor="text1"/>
          <w:szCs w:val="24"/>
          <w14:textFill>
            <w14:solidFill>
              <w14:schemeClr w14:val="tx1"/>
            </w14:solidFill>
          </w14:textFill>
        </w:rPr>
        <w:t>0.073</w:t>
      </w:r>
      <w:r>
        <w:rPr>
          <w:rFonts w:ascii="Times New Roman" w:hAnsi="Times New Roman" w:eastAsia="宋体" w:cs="Times New Roman"/>
          <w:color w:val="000000" w:themeColor="text1"/>
          <w:szCs w:val="24"/>
          <w14:textFill>
            <w14:solidFill>
              <w14:schemeClr w14:val="tx1"/>
            </w14:solidFill>
          </w14:textFill>
        </w:rPr>
        <w:t>ug/m</w:t>
      </w:r>
      <w:r>
        <w:rPr>
          <w:rFonts w:ascii="Times New Roman" w:hAnsi="Times New Roman" w:eastAsia="宋体" w:cs="Times New Roman"/>
          <w:color w:val="000000" w:themeColor="text1"/>
          <w:szCs w:val="24"/>
          <w:vertAlign w:val="superscript"/>
          <w14:textFill>
            <w14:solidFill>
              <w14:schemeClr w14:val="tx1"/>
            </w14:solidFill>
          </w14:textFill>
        </w:rPr>
        <w:t>3</w:t>
      </w:r>
      <w:r>
        <w:rPr>
          <w:rFonts w:ascii="Times New Roman" w:hAnsi="Times New Roman" w:eastAsia="宋体" w:cs="Times New Roman"/>
          <w:color w:val="000000" w:themeColor="text1"/>
          <w:szCs w:val="24"/>
          <w14:textFill>
            <w14:solidFill>
              <w14:schemeClr w14:val="tx1"/>
            </w14:solidFill>
          </w14:textFill>
        </w:rPr>
        <w:t>，最大占标率为0.</w:t>
      </w:r>
      <w:r>
        <w:rPr>
          <w:rFonts w:hint="eastAsia" w:ascii="Times New Roman" w:hAnsi="Times New Roman" w:eastAsia="宋体" w:cs="Times New Roman"/>
          <w:color w:val="000000" w:themeColor="text1"/>
          <w:szCs w:val="24"/>
          <w14:textFill>
            <w14:solidFill>
              <w14:schemeClr w14:val="tx1"/>
            </w14:solidFill>
          </w14:textFill>
        </w:rPr>
        <w:t>04</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，硫化氢</w:t>
      </w:r>
      <w:r>
        <w:rPr>
          <w:rFonts w:ascii="Times New Roman" w:hAnsi="Times New Roman" w:eastAsia="宋体" w:cs="Times New Roman"/>
          <w:color w:val="000000" w:themeColor="text1"/>
          <w:szCs w:val="24"/>
          <w14:textFill>
            <w14:solidFill>
              <w14:schemeClr w14:val="tx1"/>
            </w14:solidFill>
          </w14:textFill>
        </w:rPr>
        <w:t>下风向最大落地浓度</w:t>
      </w:r>
      <w:r>
        <w:rPr>
          <w:rFonts w:hint="eastAsia" w:ascii="Times New Roman" w:hAnsi="Times New Roman" w:eastAsia="宋体" w:cs="Times New Roman"/>
          <w:color w:val="000000" w:themeColor="text1"/>
          <w:szCs w:val="24"/>
          <w14:textFill>
            <w14:solidFill>
              <w14:schemeClr w14:val="tx1"/>
            </w14:solidFill>
          </w14:textFill>
        </w:rPr>
        <w:t>0.00365</w:t>
      </w:r>
      <w:r>
        <w:rPr>
          <w:rFonts w:ascii="Times New Roman" w:hAnsi="Times New Roman" w:eastAsia="宋体" w:cs="Times New Roman"/>
          <w:color w:val="000000" w:themeColor="text1"/>
          <w:szCs w:val="24"/>
          <w14:textFill>
            <w14:solidFill>
              <w14:schemeClr w14:val="tx1"/>
            </w14:solidFill>
          </w14:textFill>
        </w:rPr>
        <w:t>ug/m</w:t>
      </w:r>
      <w:r>
        <w:rPr>
          <w:rFonts w:ascii="Times New Roman" w:hAnsi="Times New Roman" w:eastAsia="宋体" w:cs="Times New Roman"/>
          <w:color w:val="000000" w:themeColor="text1"/>
          <w:szCs w:val="24"/>
          <w:vertAlign w:val="superscript"/>
          <w14:textFill>
            <w14:solidFill>
              <w14:schemeClr w14:val="tx1"/>
            </w14:solidFill>
          </w14:textFill>
        </w:rPr>
        <w:t>3</w:t>
      </w:r>
      <w:r>
        <w:rPr>
          <w:rFonts w:ascii="Times New Roman" w:hAnsi="Times New Roman" w:eastAsia="宋体" w:cs="Times New Roman"/>
          <w:color w:val="000000" w:themeColor="text1"/>
          <w:szCs w:val="24"/>
          <w14:textFill>
            <w14:solidFill>
              <w14:schemeClr w14:val="tx1"/>
            </w14:solidFill>
          </w14:textFill>
        </w:rPr>
        <w:t>，最大占标率为0.</w:t>
      </w:r>
      <w:r>
        <w:rPr>
          <w:rFonts w:hint="eastAsia" w:ascii="Times New Roman" w:hAnsi="Times New Roman" w:eastAsia="宋体" w:cs="Times New Roman"/>
          <w:color w:val="000000" w:themeColor="text1"/>
          <w:szCs w:val="24"/>
          <w14:textFill>
            <w14:solidFill>
              <w14:schemeClr w14:val="tx1"/>
            </w14:solidFill>
          </w14:textFill>
        </w:rPr>
        <w:t>04</w:t>
      </w:r>
      <w:r>
        <w:rPr>
          <w:rFonts w:ascii="Times New Roman" w:hAnsi="Times New Roman" w:eastAsia="宋体" w:cs="Times New Roman"/>
          <w:color w:val="000000" w:themeColor="text1"/>
          <w:szCs w:val="24"/>
          <w14:textFill>
            <w14:solidFill>
              <w14:schemeClr w14:val="tx1"/>
            </w14:solidFill>
          </w14:textFill>
        </w:rPr>
        <w:t>%。项目无组织排放的污染物对周边环境影响可接受。</w:t>
      </w:r>
    </w:p>
    <w:p w14:paraId="216906AC">
      <w:pPr>
        <w:spacing w:line="480" w:lineRule="exact"/>
        <w:ind w:firstLine="48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由上表5.</w:t>
      </w:r>
      <w:r>
        <w:rPr>
          <w:rFonts w:hint="eastAsia" w:ascii="Times New Roman" w:hAnsi="Times New Roman" w:eastAsia="宋体" w:cs="Times New Roman"/>
          <w:color w:val="000000" w:themeColor="text1"/>
          <w:szCs w:val="24"/>
          <w14:textFill>
            <w14:solidFill>
              <w14:schemeClr w14:val="tx1"/>
            </w14:solidFill>
          </w14:textFill>
        </w:rPr>
        <w:t>2-10</w:t>
      </w:r>
      <w:r>
        <w:rPr>
          <w:rFonts w:ascii="Times New Roman" w:hAnsi="Times New Roman" w:eastAsia="宋体" w:cs="Times New Roman"/>
          <w:color w:val="000000" w:themeColor="text1"/>
          <w:szCs w:val="24"/>
          <w14:textFill>
            <w14:solidFill>
              <w14:schemeClr w14:val="tx1"/>
            </w14:solidFill>
          </w14:textFill>
        </w:rPr>
        <w:t>可知，由于废气治理设施发生故障停车，导致废气非正常排放的情况下，</w:t>
      </w:r>
      <w:r>
        <w:rPr>
          <w:rFonts w:hint="eastAsia" w:ascii="Times New Roman" w:hAnsi="Times New Roman" w:eastAsia="宋体" w:cs="Times New Roman"/>
          <w:color w:val="000000" w:themeColor="text1"/>
          <w:szCs w:val="24"/>
          <w14:textFill>
            <w14:solidFill>
              <w14:schemeClr w14:val="tx1"/>
            </w14:solidFill>
          </w14:textFill>
        </w:rPr>
        <w:t>硫化氢</w:t>
      </w:r>
      <w:r>
        <w:rPr>
          <w:rFonts w:ascii="Times New Roman" w:hAnsi="Times New Roman" w:eastAsia="宋体" w:cs="Times New Roman"/>
          <w:color w:val="000000" w:themeColor="text1"/>
          <w:szCs w:val="24"/>
          <w14:textFill>
            <w14:solidFill>
              <w14:schemeClr w14:val="tx1"/>
            </w14:solidFill>
          </w14:textFill>
        </w:rPr>
        <w:t>及氨的最大浓度占标率均增大，为了减少对环境污染，建设方应加强环保设备的运行监督管理和做好日常维护管理，杜绝非正常排放。</w:t>
      </w:r>
    </w:p>
    <w:p w14:paraId="47B5B0F0">
      <w:pPr>
        <w:pStyle w:val="7"/>
        <w:spacing w:line="480" w:lineRule="exact"/>
      </w:pPr>
      <w:r>
        <w:rPr>
          <w:rFonts w:hint="eastAsia"/>
        </w:rPr>
        <w:t>5</w:t>
      </w:r>
      <w:r>
        <w:t>.2.</w:t>
      </w:r>
      <w:r>
        <w:rPr>
          <w:rFonts w:hint="eastAsia"/>
        </w:rPr>
        <w:t>5</w:t>
      </w:r>
      <w:r>
        <w:t xml:space="preserve"> </w:t>
      </w:r>
      <w:r>
        <w:rPr>
          <w:rFonts w:hint="eastAsia"/>
        </w:rPr>
        <w:t>恶臭气体影响分析</w:t>
      </w:r>
    </w:p>
    <w:p w14:paraId="43FAC345">
      <w:pPr>
        <w:adjustRightInd w:val="0"/>
        <w:spacing w:line="480" w:lineRule="exact"/>
        <w:ind w:firstLine="480" w:firstLineChars="200"/>
        <w:rPr>
          <w:rFonts w:ascii="Times New Roman" w:hAnsi="Times New Roman" w:eastAsia="宋体" w:cs="Times New Roman"/>
          <w:color w:val="000000"/>
        </w:rPr>
      </w:pPr>
      <w:r>
        <w:rPr>
          <w:rFonts w:ascii="Times New Roman" w:hAnsi="Times New Roman" w:eastAsia="宋体" w:cs="Times New Roman"/>
          <w:color w:val="000000"/>
        </w:rPr>
        <w:t>（1）恶臭的产生</w:t>
      </w:r>
    </w:p>
    <w:p w14:paraId="766BD3E4">
      <w:pPr>
        <w:adjustRightInd w:val="0"/>
        <w:snapToGrid w:val="0"/>
        <w:spacing w:line="480" w:lineRule="exact"/>
        <w:ind w:firstLine="480" w:firstLineChars="200"/>
        <w:rPr>
          <w:rFonts w:ascii="Times New Roman" w:hAnsi="Times New Roman" w:eastAsia="宋体" w:cs="Times New Roman"/>
          <w:color w:val="000000"/>
        </w:rPr>
      </w:pPr>
      <w:r>
        <w:rPr>
          <w:rFonts w:ascii="Times New Roman" w:hAnsi="Times New Roman" w:eastAsia="宋体" w:cs="Times New Roman"/>
          <w:color w:val="000000"/>
        </w:rPr>
        <w:t>随着畜牧业生产集约化程度的不断提高，养殖场的恶臭对大气污染已构成了社会公害，使人类生存环境下降，使畜禽生产力下降，对疫病的易感性提高或直接引起某些疾病，从而引起普遍关注。</w:t>
      </w:r>
    </w:p>
    <w:p w14:paraId="596F663F">
      <w:pPr>
        <w:adjustRightInd w:val="0"/>
        <w:snapToGrid w:val="0"/>
        <w:spacing w:line="480" w:lineRule="exact"/>
        <w:ind w:firstLine="480" w:firstLineChars="200"/>
        <w:rPr>
          <w:rFonts w:ascii="Times New Roman" w:hAnsi="Times New Roman" w:eastAsia="宋体" w:cs="Times New Roman"/>
          <w:color w:val="000000"/>
        </w:rPr>
      </w:pPr>
      <w:r>
        <w:rPr>
          <w:rFonts w:ascii="Times New Roman" w:hAnsi="Times New Roman" w:eastAsia="宋体" w:cs="Times New Roman"/>
          <w:color w:val="000000"/>
        </w:rPr>
        <w:t>养殖场恶臭来自粪便、污水、垫料、饲料等腐败分解，动物的新鲜粪便、消化道排出的气体，皮脂腺和汗腺的分泌物，粘附在体表的污物等，呼出气等也会散发出</w:t>
      </w:r>
      <w:r>
        <w:rPr>
          <w:rFonts w:hint="eastAsia" w:ascii="Times New Roman" w:hAnsi="Times New Roman" w:eastAsia="宋体" w:cs="Times New Roman"/>
          <w:color w:val="000000"/>
        </w:rPr>
        <w:t>鸡</w:t>
      </w:r>
      <w:r>
        <w:rPr>
          <w:rFonts w:ascii="Times New Roman" w:hAnsi="Times New Roman" w:eastAsia="宋体" w:cs="Times New Roman"/>
          <w:color w:val="000000"/>
        </w:rPr>
        <w:t>特有的难闻气味。但养</w:t>
      </w:r>
      <w:r>
        <w:rPr>
          <w:rFonts w:hint="eastAsia" w:ascii="Times New Roman" w:hAnsi="Times New Roman" w:eastAsia="宋体" w:cs="Times New Roman"/>
          <w:color w:val="000000"/>
        </w:rPr>
        <w:t>鸡</w:t>
      </w:r>
      <w:r>
        <w:rPr>
          <w:rFonts w:ascii="Times New Roman" w:hAnsi="Times New Roman" w:eastAsia="宋体" w:cs="Times New Roman"/>
          <w:color w:val="000000"/>
        </w:rPr>
        <w:t>场恶臭主要来源是粪便排出体外之后的腐败分解。影响</w:t>
      </w:r>
      <w:r>
        <w:rPr>
          <w:rFonts w:hint="eastAsia" w:ascii="Times New Roman" w:hAnsi="Times New Roman" w:eastAsia="宋体" w:cs="Times New Roman"/>
          <w:color w:val="000000"/>
        </w:rPr>
        <w:t>养鸡</w:t>
      </w:r>
      <w:r>
        <w:rPr>
          <w:rFonts w:ascii="Times New Roman" w:hAnsi="Times New Roman" w:eastAsia="宋体" w:cs="Times New Roman"/>
          <w:color w:val="000000"/>
        </w:rPr>
        <w:t>场恶臭产生的主要因素是清粪方式、管理水平、粪便和污水的无害化处理程度。同时，也与场址规划和布局、畜舍设计、畜舍通风等有关。</w:t>
      </w:r>
    </w:p>
    <w:p w14:paraId="75000F63">
      <w:pPr>
        <w:adjustRightInd w:val="0"/>
        <w:snapToGrid w:val="0"/>
        <w:spacing w:line="480" w:lineRule="exact"/>
        <w:ind w:firstLine="480" w:firstLineChars="200"/>
        <w:rPr>
          <w:rFonts w:ascii="Times New Roman" w:hAnsi="Times New Roman" w:eastAsia="宋体" w:cs="Times New Roman"/>
          <w:color w:val="000000"/>
        </w:rPr>
      </w:pPr>
      <w:r>
        <w:rPr>
          <w:rFonts w:ascii="Times New Roman" w:hAnsi="Times New Roman" w:eastAsia="宋体" w:cs="Times New Roman"/>
          <w:color w:val="000000"/>
        </w:rPr>
        <w:t>根据有关文献，引起养殖场恶臭的物质经鉴定有160 种以上化合物。其中主要有三大类化合物：挥发性脂肪酸、酚类化合物，吲哚。养</w:t>
      </w:r>
      <w:r>
        <w:rPr>
          <w:rFonts w:hint="eastAsia" w:ascii="Times New Roman" w:hAnsi="Times New Roman" w:eastAsia="宋体" w:cs="Times New Roman"/>
          <w:color w:val="000000"/>
        </w:rPr>
        <w:t>鸡</w:t>
      </w:r>
      <w:r>
        <w:rPr>
          <w:rFonts w:ascii="Times New Roman" w:hAnsi="Times New Roman" w:eastAsia="宋体" w:cs="Times New Roman"/>
          <w:color w:val="000000"/>
        </w:rPr>
        <w:t>场中的恶臭是由许多单一的臭气物质复合作用生成的。其中对环境危害最大的恶臭物质是NH</w:t>
      </w:r>
      <w:r>
        <w:rPr>
          <w:rFonts w:ascii="Times New Roman" w:hAnsi="Times New Roman" w:eastAsia="宋体" w:cs="Times New Roman"/>
          <w:color w:val="000000"/>
          <w:vertAlign w:val="subscript"/>
        </w:rPr>
        <w:t>3</w:t>
      </w:r>
      <w:r>
        <w:rPr>
          <w:rFonts w:ascii="Times New Roman" w:hAnsi="Times New Roman" w:eastAsia="宋体" w:cs="Times New Roman"/>
          <w:color w:val="000000"/>
        </w:rPr>
        <w:t>和H</w:t>
      </w:r>
      <w:r>
        <w:rPr>
          <w:rFonts w:ascii="Times New Roman" w:hAnsi="Times New Roman" w:eastAsia="宋体" w:cs="Times New Roman"/>
          <w:color w:val="000000"/>
          <w:vertAlign w:val="subscript"/>
        </w:rPr>
        <w:t>2</w:t>
      </w:r>
      <w:r>
        <w:rPr>
          <w:rFonts w:ascii="Times New Roman" w:hAnsi="Times New Roman" w:eastAsia="宋体" w:cs="Times New Roman"/>
          <w:color w:val="000000"/>
        </w:rPr>
        <w:t>S。</w:t>
      </w:r>
    </w:p>
    <w:p w14:paraId="2566F450">
      <w:pPr>
        <w:adjustRightInd w:val="0"/>
        <w:snapToGrid w:val="0"/>
        <w:spacing w:line="480" w:lineRule="exact"/>
        <w:ind w:firstLine="480" w:firstLineChars="200"/>
        <w:rPr>
          <w:rFonts w:ascii="Times New Roman" w:hAnsi="Times New Roman" w:eastAsia="宋体" w:cs="Times New Roman"/>
          <w:color w:val="000000"/>
        </w:rPr>
      </w:pPr>
      <w:r>
        <w:rPr>
          <w:rFonts w:ascii="Times New Roman" w:hAnsi="Times New Roman" w:eastAsia="宋体" w:cs="Times New Roman"/>
          <w:color w:val="000000"/>
        </w:rPr>
        <w:t>氨为无色气体，具有刺激性臭气，比空气轻，易溶于水。氨能刺激黏膜，引起黏膜充血，喉头水肿，氨吸入呼吸系统后，可引起上部呼吸道黏膜充血、支气管炎，空气中如含有47.5mg/m</w:t>
      </w:r>
      <w:r>
        <w:rPr>
          <w:rFonts w:ascii="Times New Roman" w:hAnsi="Times New Roman" w:eastAsia="宋体" w:cs="Times New Roman"/>
          <w:color w:val="000000"/>
          <w:vertAlign w:val="superscript"/>
        </w:rPr>
        <w:t xml:space="preserve">3 </w:t>
      </w:r>
      <w:r>
        <w:rPr>
          <w:rFonts w:ascii="Times New Roman" w:hAnsi="Times New Roman" w:eastAsia="宋体" w:cs="Times New Roman"/>
          <w:color w:val="000000"/>
        </w:rPr>
        <w:t>的氨，可使</w:t>
      </w:r>
      <w:r>
        <w:rPr>
          <w:rFonts w:hint="eastAsia" w:ascii="Times New Roman" w:hAnsi="Times New Roman" w:eastAsia="宋体" w:cs="Times New Roman"/>
          <w:color w:val="000000"/>
        </w:rPr>
        <w:t>鸡</w:t>
      </w:r>
      <w:r>
        <w:rPr>
          <w:rFonts w:ascii="Times New Roman" w:hAnsi="Times New Roman" w:eastAsia="宋体" w:cs="Times New Roman"/>
          <w:color w:val="000000"/>
        </w:rPr>
        <w:t>的增重滞缓；75-150mg/m</w:t>
      </w:r>
      <w:r>
        <w:rPr>
          <w:rFonts w:ascii="Times New Roman" w:hAnsi="Times New Roman" w:eastAsia="宋体" w:cs="Times New Roman"/>
          <w:color w:val="000000"/>
          <w:vertAlign w:val="superscript"/>
        </w:rPr>
        <w:t>3</w:t>
      </w:r>
      <w:r>
        <w:rPr>
          <w:rFonts w:ascii="Times New Roman" w:hAnsi="Times New Roman" w:eastAsia="宋体" w:cs="Times New Roman"/>
          <w:color w:val="000000"/>
        </w:rPr>
        <w:t xml:space="preserve"> 时可引起</w:t>
      </w:r>
      <w:r>
        <w:rPr>
          <w:rFonts w:hint="eastAsia" w:ascii="Times New Roman" w:hAnsi="Times New Roman" w:eastAsia="宋体" w:cs="Times New Roman"/>
          <w:color w:val="000000"/>
        </w:rPr>
        <w:t>鸡</w:t>
      </w:r>
      <w:r>
        <w:rPr>
          <w:rFonts w:ascii="Times New Roman" w:hAnsi="Times New Roman" w:eastAsia="宋体" w:cs="Times New Roman"/>
          <w:color w:val="000000"/>
        </w:rPr>
        <w:t>只摇头、流涎、喷嚏、丧失食欲。</w:t>
      </w:r>
    </w:p>
    <w:p w14:paraId="0116E8FA">
      <w:pPr>
        <w:adjustRightInd w:val="0"/>
        <w:snapToGrid w:val="0"/>
        <w:spacing w:line="480" w:lineRule="exact"/>
        <w:ind w:firstLine="480" w:firstLineChars="200"/>
        <w:rPr>
          <w:rFonts w:ascii="Times New Roman" w:hAnsi="Times New Roman" w:eastAsia="宋体" w:cs="Times New Roman"/>
          <w:color w:val="000000"/>
        </w:rPr>
      </w:pPr>
      <w:r>
        <w:rPr>
          <w:rFonts w:ascii="Times New Roman" w:hAnsi="Times New Roman" w:eastAsia="宋体" w:cs="Times New Roman"/>
          <w:color w:val="000000"/>
        </w:rPr>
        <w:t>硫化氢是一种无色、易挥发的恶臭气体，比空气重，易溶于水。硫化氢的危害主要是刺激人的黏膜，当硫化氢接触到动物黏膜上的水分时，很快溶解并与黏液中的钠离子结合生成硫化钠，对黏膜产生刺激作用，硫化氢浓度为30mg/m</w:t>
      </w:r>
      <w:r>
        <w:rPr>
          <w:rFonts w:ascii="Times New Roman" w:hAnsi="Times New Roman" w:eastAsia="宋体" w:cs="Times New Roman"/>
          <w:color w:val="000000"/>
          <w:vertAlign w:val="superscript"/>
        </w:rPr>
        <w:t>3</w:t>
      </w:r>
      <w:r>
        <w:rPr>
          <w:rFonts w:ascii="Times New Roman" w:hAnsi="Times New Roman" w:eastAsia="宋体" w:cs="Times New Roman"/>
          <w:color w:val="000000"/>
        </w:rPr>
        <w:t>时，</w:t>
      </w:r>
      <w:r>
        <w:rPr>
          <w:rFonts w:hint="eastAsia" w:ascii="Times New Roman" w:hAnsi="Times New Roman" w:eastAsia="宋体" w:cs="Times New Roman"/>
          <w:color w:val="000000"/>
        </w:rPr>
        <w:t>鸡</w:t>
      </w:r>
      <w:r>
        <w:rPr>
          <w:rFonts w:ascii="Times New Roman" w:hAnsi="Times New Roman" w:eastAsia="宋体" w:cs="Times New Roman"/>
          <w:color w:val="000000"/>
        </w:rPr>
        <w:t>只变得畏光、丧失食欲、神经质；75-300mg/m</w:t>
      </w:r>
      <w:r>
        <w:rPr>
          <w:rFonts w:ascii="Times New Roman" w:hAnsi="Times New Roman" w:eastAsia="宋体" w:cs="Times New Roman"/>
          <w:color w:val="000000"/>
          <w:vertAlign w:val="superscript"/>
        </w:rPr>
        <w:t xml:space="preserve">3 </w:t>
      </w:r>
      <w:r>
        <w:rPr>
          <w:rFonts w:ascii="Times New Roman" w:hAnsi="Times New Roman" w:eastAsia="宋体" w:cs="Times New Roman"/>
          <w:color w:val="000000"/>
        </w:rPr>
        <w:t>时，</w:t>
      </w:r>
      <w:r>
        <w:rPr>
          <w:rFonts w:hint="eastAsia" w:ascii="Times New Roman" w:hAnsi="Times New Roman" w:eastAsia="宋体" w:cs="Times New Roman"/>
          <w:color w:val="000000"/>
        </w:rPr>
        <w:t>鸡</w:t>
      </w:r>
      <w:r>
        <w:rPr>
          <w:rFonts w:ascii="Times New Roman" w:hAnsi="Times New Roman" w:eastAsia="宋体" w:cs="Times New Roman"/>
          <w:color w:val="000000"/>
        </w:rPr>
        <w:t>只会突然呕吐，失去知觉，最后因呼吸中枢和血管运动中枢麻痹而死亡。硫化氢对人类的危害也相当大，低浓度时即可引起慢性中毒，高浓度（大于900mg/m</w:t>
      </w:r>
      <w:r>
        <w:rPr>
          <w:rFonts w:ascii="Times New Roman" w:hAnsi="Times New Roman" w:eastAsia="宋体" w:cs="Times New Roman"/>
          <w:color w:val="000000"/>
          <w:vertAlign w:val="superscript"/>
        </w:rPr>
        <w:t>3</w:t>
      </w:r>
      <w:r>
        <w:rPr>
          <w:rFonts w:ascii="Times New Roman" w:hAnsi="Times New Roman" w:eastAsia="宋体" w:cs="Times New Roman"/>
          <w:color w:val="000000"/>
        </w:rPr>
        <w:t>）时，可直接抵制呼吸中枢，引起窒息死亡。恶臭气体的性质见表5.2-1</w:t>
      </w:r>
      <w:r>
        <w:rPr>
          <w:rFonts w:hint="eastAsia" w:ascii="Times New Roman" w:hAnsi="Times New Roman" w:eastAsia="宋体" w:cs="Times New Roman"/>
          <w:color w:val="000000"/>
        </w:rPr>
        <w:t>1</w:t>
      </w:r>
      <w:r>
        <w:rPr>
          <w:rFonts w:ascii="Times New Roman" w:hAnsi="Times New Roman" w:eastAsia="宋体" w:cs="Times New Roman"/>
          <w:color w:val="000000"/>
        </w:rPr>
        <w:t>。</w:t>
      </w:r>
    </w:p>
    <w:p w14:paraId="10770D0B">
      <w:pPr>
        <w:pStyle w:val="11"/>
        <w:snapToGrid w:val="0"/>
        <w:spacing w:line="480" w:lineRule="exact"/>
        <w:ind w:firstLine="482"/>
        <w:jc w:val="center"/>
        <w:rPr>
          <w:rFonts w:eastAsia="宋体" w:cs="Times New Roman"/>
          <w:b/>
          <w:color w:val="000000"/>
          <w:sz w:val="24"/>
        </w:rPr>
      </w:pPr>
      <w:r>
        <w:rPr>
          <w:rFonts w:eastAsia="宋体" w:cs="Times New Roman"/>
          <w:b/>
          <w:color w:val="000000"/>
          <w:sz w:val="24"/>
        </w:rPr>
        <w:t>表5.2-1</w:t>
      </w:r>
      <w:r>
        <w:rPr>
          <w:rFonts w:hint="eastAsia" w:eastAsia="宋体" w:cs="Times New Roman"/>
          <w:b/>
          <w:color w:val="000000"/>
          <w:sz w:val="24"/>
        </w:rPr>
        <w:t>1</w:t>
      </w:r>
      <w:r>
        <w:rPr>
          <w:rFonts w:eastAsia="宋体" w:cs="Times New Roman"/>
          <w:b/>
          <w:color w:val="000000"/>
          <w:sz w:val="24"/>
        </w:rPr>
        <w:t>恶臭物资理化特征</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8"/>
        <w:gridCol w:w="1678"/>
        <w:gridCol w:w="2912"/>
        <w:gridCol w:w="2342"/>
      </w:tblGrid>
      <w:tr w14:paraId="7F0DB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5" w:type="pct"/>
            <w:vAlign w:val="center"/>
          </w:tcPr>
          <w:p w14:paraId="32C30A64">
            <w:pPr>
              <w:adjustRightInd w:val="0"/>
              <w:snapToGrid w:val="0"/>
              <w:spacing w:line="280" w:lineRule="exact"/>
              <w:contextualSpacing/>
              <w:jc w:val="center"/>
              <w:rPr>
                <w:color w:val="000000"/>
                <w:sz w:val="21"/>
                <w:szCs w:val="21"/>
              </w:rPr>
            </w:pPr>
            <w:r>
              <w:rPr>
                <w:rFonts w:hAnsi="宋体"/>
                <w:color w:val="000000"/>
                <w:sz w:val="21"/>
                <w:szCs w:val="21"/>
              </w:rPr>
              <w:t>恶臭物质</w:t>
            </w:r>
          </w:p>
        </w:tc>
        <w:tc>
          <w:tcPr>
            <w:tcW w:w="962" w:type="pct"/>
            <w:vAlign w:val="center"/>
          </w:tcPr>
          <w:p w14:paraId="1A2C041A">
            <w:pPr>
              <w:adjustRightInd w:val="0"/>
              <w:snapToGrid w:val="0"/>
              <w:spacing w:line="280" w:lineRule="exact"/>
              <w:contextualSpacing/>
              <w:jc w:val="center"/>
              <w:rPr>
                <w:color w:val="000000"/>
                <w:sz w:val="21"/>
                <w:szCs w:val="21"/>
              </w:rPr>
            </w:pPr>
            <w:r>
              <w:rPr>
                <w:rFonts w:hAnsi="宋体"/>
                <w:color w:val="000000"/>
                <w:kern w:val="0"/>
                <w:sz w:val="21"/>
                <w:szCs w:val="21"/>
              </w:rPr>
              <w:t>嗅阈值（</w:t>
            </w:r>
            <w:r>
              <w:rPr>
                <w:color w:val="000000"/>
                <w:kern w:val="0"/>
                <w:sz w:val="21"/>
                <w:szCs w:val="21"/>
              </w:rPr>
              <w:t>ppm</w:t>
            </w:r>
            <w:r>
              <w:rPr>
                <w:rFonts w:hAnsi="宋体"/>
                <w:color w:val="000000"/>
                <w:kern w:val="0"/>
                <w:sz w:val="21"/>
                <w:szCs w:val="21"/>
              </w:rPr>
              <w:t>）</w:t>
            </w:r>
          </w:p>
        </w:tc>
        <w:tc>
          <w:tcPr>
            <w:tcW w:w="1669" w:type="pct"/>
            <w:vAlign w:val="center"/>
          </w:tcPr>
          <w:p w14:paraId="1F5C5882">
            <w:pPr>
              <w:adjustRightInd w:val="0"/>
              <w:snapToGrid w:val="0"/>
              <w:spacing w:line="280" w:lineRule="exact"/>
              <w:contextualSpacing/>
              <w:jc w:val="center"/>
              <w:rPr>
                <w:color w:val="000000"/>
                <w:sz w:val="21"/>
                <w:szCs w:val="21"/>
              </w:rPr>
            </w:pPr>
            <w:r>
              <w:rPr>
                <w:rFonts w:hAnsi="宋体"/>
                <w:color w:val="000000"/>
                <w:sz w:val="21"/>
                <w:szCs w:val="21"/>
              </w:rPr>
              <w:t>嗅阈值（</w:t>
            </w:r>
            <w:r>
              <w:rPr>
                <w:color w:val="000000"/>
                <w:sz w:val="21"/>
                <w:szCs w:val="21"/>
              </w:rPr>
              <w:t>mg/m</w:t>
            </w:r>
            <w:r>
              <w:rPr>
                <w:color w:val="000000"/>
                <w:sz w:val="21"/>
                <w:szCs w:val="21"/>
                <w:vertAlign w:val="superscript"/>
              </w:rPr>
              <w:t>3</w:t>
            </w:r>
            <w:r>
              <w:rPr>
                <w:rFonts w:hAnsi="宋体"/>
                <w:color w:val="000000"/>
                <w:sz w:val="21"/>
                <w:szCs w:val="21"/>
              </w:rPr>
              <w:t>）</w:t>
            </w:r>
          </w:p>
        </w:tc>
        <w:tc>
          <w:tcPr>
            <w:tcW w:w="1342" w:type="pct"/>
            <w:vAlign w:val="center"/>
          </w:tcPr>
          <w:p w14:paraId="7B96223A">
            <w:pPr>
              <w:adjustRightInd w:val="0"/>
              <w:snapToGrid w:val="0"/>
              <w:spacing w:line="280" w:lineRule="exact"/>
              <w:contextualSpacing/>
              <w:jc w:val="center"/>
              <w:rPr>
                <w:color w:val="000000"/>
                <w:sz w:val="21"/>
                <w:szCs w:val="21"/>
              </w:rPr>
            </w:pPr>
            <w:r>
              <w:rPr>
                <w:rFonts w:hAnsi="宋体"/>
                <w:color w:val="000000"/>
                <w:sz w:val="21"/>
                <w:szCs w:val="21"/>
              </w:rPr>
              <w:t>臭气特征</w:t>
            </w:r>
          </w:p>
        </w:tc>
      </w:tr>
      <w:tr w14:paraId="371506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5" w:type="pct"/>
            <w:vAlign w:val="center"/>
          </w:tcPr>
          <w:p w14:paraId="6BB2A231">
            <w:pPr>
              <w:adjustRightInd w:val="0"/>
              <w:snapToGrid w:val="0"/>
              <w:spacing w:line="280" w:lineRule="exact"/>
              <w:contextualSpacing/>
              <w:jc w:val="center"/>
              <w:rPr>
                <w:color w:val="000000"/>
                <w:sz w:val="21"/>
                <w:szCs w:val="21"/>
              </w:rPr>
            </w:pPr>
            <w:r>
              <w:rPr>
                <w:rFonts w:hAnsi="宋体"/>
                <w:color w:val="000000"/>
                <w:sz w:val="21"/>
                <w:szCs w:val="21"/>
              </w:rPr>
              <w:t>氨</w:t>
            </w:r>
          </w:p>
        </w:tc>
        <w:tc>
          <w:tcPr>
            <w:tcW w:w="962" w:type="pct"/>
            <w:vAlign w:val="center"/>
          </w:tcPr>
          <w:p w14:paraId="294C59FE">
            <w:pPr>
              <w:adjustRightInd w:val="0"/>
              <w:snapToGrid w:val="0"/>
              <w:spacing w:line="280" w:lineRule="exact"/>
              <w:contextualSpacing/>
              <w:jc w:val="center"/>
              <w:rPr>
                <w:color w:val="000000"/>
                <w:sz w:val="21"/>
                <w:szCs w:val="21"/>
              </w:rPr>
            </w:pPr>
            <w:r>
              <w:rPr>
                <w:color w:val="000000"/>
                <w:sz w:val="21"/>
                <w:szCs w:val="21"/>
              </w:rPr>
              <w:t>0.1</w:t>
            </w:r>
          </w:p>
        </w:tc>
        <w:tc>
          <w:tcPr>
            <w:tcW w:w="1669" w:type="pct"/>
            <w:vAlign w:val="center"/>
          </w:tcPr>
          <w:p w14:paraId="02904345">
            <w:pPr>
              <w:adjustRightInd w:val="0"/>
              <w:snapToGrid w:val="0"/>
              <w:spacing w:line="280" w:lineRule="exact"/>
              <w:contextualSpacing/>
              <w:jc w:val="center"/>
              <w:rPr>
                <w:color w:val="000000"/>
                <w:sz w:val="21"/>
                <w:szCs w:val="21"/>
              </w:rPr>
            </w:pPr>
            <w:r>
              <w:rPr>
                <w:color w:val="000000"/>
                <w:sz w:val="21"/>
                <w:szCs w:val="21"/>
              </w:rPr>
              <w:t>0.15</w:t>
            </w:r>
          </w:p>
        </w:tc>
        <w:tc>
          <w:tcPr>
            <w:tcW w:w="1342" w:type="pct"/>
            <w:vAlign w:val="center"/>
          </w:tcPr>
          <w:p w14:paraId="7F40555A">
            <w:pPr>
              <w:adjustRightInd w:val="0"/>
              <w:snapToGrid w:val="0"/>
              <w:spacing w:line="280" w:lineRule="exact"/>
              <w:contextualSpacing/>
              <w:jc w:val="center"/>
              <w:rPr>
                <w:color w:val="000000"/>
                <w:sz w:val="21"/>
                <w:szCs w:val="21"/>
              </w:rPr>
            </w:pPr>
            <w:r>
              <w:rPr>
                <w:rFonts w:hAnsi="宋体"/>
                <w:color w:val="000000"/>
                <w:sz w:val="21"/>
                <w:szCs w:val="21"/>
              </w:rPr>
              <w:t>刺激味</w:t>
            </w:r>
          </w:p>
        </w:tc>
      </w:tr>
      <w:tr w14:paraId="4C733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5" w:type="pct"/>
            <w:vAlign w:val="center"/>
          </w:tcPr>
          <w:p w14:paraId="6F276CEE">
            <w:pPr>
              <w:adjustRightInd w:val="0"/>
              <w:snapToGrid w:val="0"/>
              <w:spacing w:line="280" w:lineRule="exact"/>
              <w:contextualSpacing/>
              <w:jc w:val="center"/>
              <w:rPr>
                <w:color w:val="000000"/>
                <w:sz w:val="21"/>
                <w:szCs w:val="21"/>
              </w:rPr>
            </w:pPr>
            <w:r>
              <w:rPr>
                <w:rFonts w:hAnsi="宋体"/>
                <w:color w:val="000000"/>
                <w:sz w:val="21"/>
                <w:szCs w:val="21"/>
              </w:rPr>
              <w:t>硫化氢</w:t>
            </w:r>
          </w:p>
        </w:tc>
        <w:tc>
          <w:tcPr>
            <w:tcW w:w="962" w:type="pct"/>
            <w:vAlign w:val="center"/>
          </w:tcPr>
          <w:p w14:paraId="59876CE6">
            <w:pPr>
              <w:adjustRightInd w:val="0"/>
              <w:snapToGrid w:val="0"/>
              <w:spacing w:line="280" w:lineRule="exact"/>
              <w:contextualSpacing/>
              <w:jc w:val="center"/>
              <w:rPr>
                <w:color w:val="000000"/>
                <w:sz w:val="21"/>
                <w:szCs w:val="21"/>
              </w:rPr>
            </w:pPr>
            <w:r>
              <w:rPr>
                <w:color w:val="000000"/>
                <w:sz w:val="21"/>
                <w:szCs w:val="21"/>
              </w:rPr>
              <w:t>0.0005</w:t>
            </w:r>
          </w:p>
        </w:tc>
        <w:tc>
          <w:tcPr>
            <w:tcW w:w="1669" w:type="pct"/>
            <w:vAlign w:val="center"/>
          </w:tcPr>
          <w:p w14:paraId="1DE9B311">
            <w:pPr>
              <w:adjustRightInd w:val="0"/>
              <w:snapToGrid w:val="0"/>
              <w:spacing w:line="280" w:lineRule="exact"/>
              <w:contextualSpacing/>
              <w:jc w:val="center"/>
              <w:rPr>
                <w:color w:val="000000"/>
                <w:sz w:val="21"/>
                <w:szCs w:val="21"/>
              </w:rPr>
            </w:pPr>
            <w:r>
              <w:rPr>
                <w:color w:val="000000"/>
                <w:sz w:val="21"/>
                <w:szCs w:val="21"/>
              </w:rPr>
              <w:t>0.00076</w:t>
            </w:r>
          </w:p>
        </w:tc>
        <w:tc>
          <w:tcPr>
            <w:tcW w:w="1342" w:type="pct"/>
            <w:vAlign w:val="center"/>
          </w:tcPr>
          <w:p w14:paraId="0E56E2AB">
            <w:pPr>
              <w:adjustRightInd w:val="0"/>
              <w:snapToGrid w:val="0"/>
              <w:spacing w:line="280" w:lineRule="exact"/>
              <w:contextualSpacing/>
              <w:jc w:val="center"/>
              <w:rPr>
                <w:color w:val="000000"/>
                <w:sz w:val="21"/>
                <w:szCs w:val="21"/>
              </w:rPr>
            </w:pPr>
            <w:r>
              <w:rPr>
                <w:rFonts w:hAnsi="宋体"/>
                <w:color w:val="000000"/>
                <w:sz w:val="21"/>
                <w:szCs w:val="21"/>
              </w:rPr>
              <w:t>臭蛋味</w:t>
            </w:r>
          </w:p>
        </w:tc>
      </w:tr>
    </w:tbl>
    <w:p w14:paraId="72632897">
      <w:pPr>
        <w:adjustRightInd w:val="0"/>
        <w:snapToGrid w:val="0"/>
        <w:spacing w:line="500" w:lineRule="exact"/>
        <w:ind w:firstLine="480" w:firstLineChars="200"/>
        <w:rPr>
          <w:color w:val="000000"/>
        </w:rPr>
      </w:pPr>
      <w:r>
        <w:rPr>
          <w:rFonts w:hAnsi="宋体"/>
          <w:color w:val="000000"/>
        </w:rPr>
        <w:t>（</w:t>
      </w:r>
      <w:r>
        <w:rPr>
          <w:color w:val="000000"/>
        </w:rPr>
        <w:t>2</w:t>
      </w:r>
      <w:r>
        <w:rPr>
          <w:rFonts w:hAnsi="宋体"/>
          <w:color w:val="000000"/>
        </w:rPr>
        <w:t>）恶臭影响分析</w:t>
      </w:r>
    </w:p>
    <w:p w14:paraId="4FC9B550">
      <w:pPr>
        <w:adjustRightInd w:val="0"/>
        <w:snapToGrid w:val="0"/>
        <w:spacing w:line="500" w:lineRule="exact"/>
        <w:ind w:firstLine="480" w:firstLineChars="200"/>
        <w:rPr>
          <w:color w:val="000000"/>
        </w:rPr>
      </w:pPr>
      <w:r>
        <w:rPr>
          <w:rFonts w:hAnsi="宋体"/>
          <w:color w:val="000000"/>
        </w:rPr>
        <w:t>本项目排放的氨气、硫化氢均为恶臭污染物，本评价采用嗅阈值</w:t>
      </w:r>
      <w:r>
        <w:rPr>
          <w:color w:val="000000"/>
        </w:rPr>
        <w:t xml:space="preserve">6 </w:t>
      </w:r>
      <w:r>
        <w:rPr>
          <w:rFonts w:hAnsi="宋体"/>
          <w:color w:val="000000"/>
        </w:rPr>
        <w:t>级强度法（表</w:t>
      </w:r>
      <w:r>
        <w:rPr>
          <w:color w:val="000000"/>
        </w:rPr>
        <w:t>5.2</w:t>
      </w:r>
      <w:r>
        <w:rPr>
          <w:rFonts w:hint="eastAsia"/>
          <w:color w:val="000000"/>
        </w:rPr>
        <w:t>-12</w:t>
      </w:r>
      <w:r>
        <w:rPr>
          <w:rFonts w:hAnsi="宋体"/>
          <w:color w:val="000000"/>
        </w:rPr>
        <w:t>、表</w:t>
      </w:r>
      <w:r>
        <w:rPr>
          <w:color w:val="000000"/>
        </w:rPr>
        <w:t>5.2</w:t>
      </w:r>
      <w:r>
        <w:rPr>
          <w:rFonts w:hint="eastAsia"/>
          <w:color w:val="000000"/>
        </w:rPr>
        <w:t>-13</w:t>
      </w:r>
      <w:r>
        <w:rPr>
          <w:rFonts w:hAnsi="宋体"/>
          <w:color w:val="000000"/>
        </w:rPr>
        <w:t>）对项目臭气影响进行分析。</w:t>
      </w:r>
    </w:p>
    <w:p w14:paraId="38FC32FB">
      <w:pPr>
        <w:pStyle w:val="11"/>
        <w:snapToGrid w:val="0"/>
        <w:spacing w:line="480" w:lineRule="exact"/>
        <w:ind w:firstLine="482"/>
        <w:jc w:val="center"/>
        <w:rPr>
          <w:b/>
          <w:color w:val="000000"/>
          <w:sz w:val="24"/>
        </w:rPr>
      </w:pPr>
      <w:r>
        <w:rPr>
          <w:rFonts w:hAnsi="宋体"/>
          <w:b/>
          <w:color w:val="000000"/>
          <w:sz w:val="24"/>
        </w:rPr>
        <w:t>表</w:t>
      </w:r>
      <w:r>
        <w:rPr>
          <w:b/>
          <w:color w:val="000000"/>
          <w:sz w:val="24"/>
        </w:rPr>
        <w:t>5.2</w:t>
      </w:r>
      <w:r>
        <w:rPr>
          <w:rFonts w:hint="eastAsia"/>
          <w:b/>
          <w:color w:val="000000"/>
          <w:sz w:val="24"/>
        </w:rPr>
        <w:t>-12</w:t>
      </w:r>
      <w:r>
        <w:rPr>
          <w:b/>
          <w:color w:val="000000"/>
          <w:sz w:val="24"/>
        </w:rPr>
        <w:t xml:space="preserve"> </w:t>
      </w:r>
      <w:r>
        <w:rPr>
          <w:rFonts w:hAnsi="宋体"/>
          <w:b/>
          <w:color w:val="000000"/>
          <w:sz w:val="24"/>
        </w:rPr>
        <w:t>恶臭强度分级法</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721"/>
        <w:gridCol w:w="1701"/>
        <w:gridCol w:w="761"/>
        <w:gridCol w:w="789"/>
        <w:gridCol w:w="600"/>
        <w:gridCol w:w="651"/>
        <w:gridCol w:w="1160"/>
        <w:gridCol w:w="1211"/>
      </w:tblGrid>
      <w:tr w14:paraId="44E24D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45" w:type="pct"/>
            <w:vAlign w:val="center"/>
          </w:tcPr>
          <w:p w14:paraId="51C0BA7E">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臭气强度（级）</w:t>
            </w:r>
          </w:p>
        </w:tc>
        <w:tc>
          <w:tcPr>
            <w:tcW w:w="413" w:type="pct"/>
            <w:vAlign w:val="center"/>
          </w:tcPr>
          <w:p w14:paraId="63CAFABE">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w:t>
            </w:r>
          </w:p>
        </w:tc>
        <w:tc>
          <w:tcPr>
            <w:tcW w:w="975" w:type="pct"/>
            <w:vAlign w:val="center"/>
          </w:tcPr>
          <w:p w14:paraId="480BDA53">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p>
        </w:tc>
        <w:tc>
          <w:tcPr>
            <w:tcW w:w="436" w:type="pct"/>
            <w:vAlign w:val="center"/>
          </w:tcPr>
          <w:p w14:paraId="2A238D90">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p>
        </w:tc>
        <w:tc>
          <w:tcPr>
            <w:tcW w:w="452" w:type="pct"/>
            <w:vAlign w:val="center"/>
          </w:tcPr>
          <w:p w14:paraId="77D371EC">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2.5</w:t>
            </w:r>
          </w:p>
        </w:tc>
        <w:tc>
          <w:tcPr>
            <w:tcW w:w="344" w:type="pct"/>
            <w:vAlign w:val="center"/>
          </w:tcPr>
          <w:p w14:paraId="73398903">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p>
        </w:tc>
        <w:tc>
          <w:tcPr>
            <w:tcW w:w="373" w:type="pct"/>
            <w:vAlign w:val="center"/>
          </w:tcPr>
          <w:p w14:paraId="02DD4A20">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3.5</w:t>
            </w:r>
          </w:p>
        </w:tc>
        <w:tc>
          <w:tcPr>
            <w:tcW w:w="665" w:type="pct"/>
            <w:vAlign w:val="center"/>
          </w:tcPr>
          <w:p w14:paraId="1D4B74C6">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w:t>
            </w:r>
          </w:p>
        </w:tc>
        <w:tc>
          <w:tcPr>
            <w:tcW w:w="694" w:type="pct"/>
            <w:vAlign w:val="center"/>
          </w:tcPr>
          <w:p w14:paraId="17C88C44">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r>
      <w:tr w14:paraId="02A418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Align w:val="center"/>
          </w:tcPr>
          <w:p w14:paraId="00021FB3">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表示方法</w:t>
            </w:r>
          </w:p>
        </w:tc>
        <w:tc>
          <w:tcPr>
            <w:tcW w:w="413" w:type="pct"/>
            <w:vAlign w:val="center"/>
          </w:tcPr>
          <w:p w14:paraId="6CD5AF9B">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无臭</w:t>
            </w:r>
          </w:p>
        </w:tc>
        <w:tc>
          <w:tcPr>
            <w:tcW w:w="975" w:type="pct"/>
            <w:vAlign w:val="center"/>
          </w:tcPr>
          <w:p w14:paraId="7334C8FF">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勉强可感觉气味（检测阈值）</w:t>
            </w:r>
          </w:p>
        </w:tc>
        <w:tc>
          <w:tcPr>
            <w:tcW w:w="888" w:type="pct"/>
            <w:gridSpan w:val="2"/>
            <w:vAlign w:val="center"/>
          </w:tcPr>
          <w:p w14:paraId="5146B7AD">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稍可感觉气味（认定阈值）</w:t>
            </w:r>
          </w:p>
        </w:tc>
        <w:tc>
          <w:tcPr>
            <w:tcW w:w="717" w:type="pct"/>
            <w:gridSpan w:val="2"/>
            <w:vAlign w:val="center"/>
          </w:tcPr>
          <w:p w14:paraId="4885527C">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易感觉气味</w:t>
            </w:r>
          </w:p>
        </w:tc>
        <w:tc>
          <w:tcPr>
            <w:tcW w:w="665" w:type="pct"/>
            <w:vAlign w:val="center"/>
          </w:tcPr>
          <w:p w14:paraId="1723C817">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较强气味（强臭）</w:t>
            </w:r>
          </w:p>
        </w:tc>
        <w:tc>
          <w:tcPr>
            <w:tcW w:w="694" w:type="pct"/>
            <w:vAlign w:val="center"/>
          </w:tcPr>
          <w:p w14:paraId="527E9AF2">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强烈气味（剧臭）</w:t>
            </w:r>
          </w:p>
        </w:tc>
      </w:tr>
    </w:tbl>
    <w:p w14:paraId="7D553E69">
      <w:pPr>
        <w:pStyle w:val="11"/>
        <w:spacing w:line="480" w:lineRule="exact"/>
        <w:ind w:firstLine="482"/>
        <w:jc w:val="center"/>
        <w:rPr>
          <w:b/>
          <w:color w:val="000000"/>
          <w:sz w:val="24"/>
        </w:rPr>
      </w:pPr>
      <w:r>
        <w:rPr>
          <w:rFonts w:hAnsi="宋体"/>
          <w:b/>
          <w:color w:val="000000"/>
          <w:sz w:val="24"/>
        </w:rPr>
        <w:t>表</w:t>
      </w:r>
      <w:r>
        <w:rPr>
          <w:b/>
          <w:color w:val="000000"/>
          <w:sz w:val="24"/>
        </w:rPr>
        <w:t>5.2</w:t>
      </w:r>
      <w:r>
        <w:rPr>
          <w:rFonts w:hint="eastAsia"/>
          <w:b/>
          <w:color w:val="000000"/>
          <w:sz w:val="24"/>
        </w:rPr>
        <w:t>-13</w:t>
      </w:r>
      <w:r>
        <w:rPr>
          <w:b/>
          <w:color w:val="000000"/>
          <w:sz w:val="24"/>
        </w:rPr>
        <w:t xml:space="preserve"> </w:t>
      </w:r>
      <w:r>
        <w:rPr>
          <w:rFonts w:hAnsi="宋体"/>
          <w:b/>
          <w:color w:val="000000"/>
          <w:sz w:val="24"/>
        </w:rPr>
        <w:t>恶臭污染物浓度（</w:t>
      </w:r>
      <w:r>
        <w:rPr>
          <w:b/>
          <w:color w:val="000000"/>
          <w:sz w:val="24"/>
        </w:rPr>
        <w:t>mg/m</w:t>
      </w:r>
      <w:r>
        <w:rPr>
          <w:b/>
          <w:color w:val="000000"/>
          <w:sz w:val="24"/>
          <w:vertAlign w:val="superscript"/>
        </w:rPr>
        <w:t>3</w:t>
      </w:r>
      <w:r>
        <w:rPr>
          <w:rFonts w:hAnsi="宋体"/>
          <w:b/>
          <w:color w:val="000000"/>
          <w:sz w:val="24"/>
        </w:rPr>
        <w:t>）与恶臭强度的关系</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1093"/>
        <w:gridCol w:w="1090"/>
        <w:gridCol w:w="1090"/>
        <w:gridCol w:w="1090"/>
        <w:gridCol w:w="1090"/>
        <w:gridCol w:w="1090"/>
        <w:gridCol w:w="1082"/>
      </w:tblGrid>
      <w:tr w14:paraId="52238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8" w:type="pct"/>
            <w:vMerge w:val="restart"/>
            <w:vAlign w:val="center"/>
          </w:tcPr>
          <w:p w14:paraId="18675C8D">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恶臭污染物</w:t>
            </w:r>
          </w:p>
        </w:tc>
        <w:tc>
          <w:tcPr>
            <w:tcW w:w="4372" w:type="pct"/>
            <w:gridSpan w:val="7"/>
            <w:vAlign w:val="center"/>
          </w:tcPr>
          <w:p w14:paraId="525C42A7">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恶臭强度分级</w:t>
            </w:r>
          </w:p>
        </w:tc>
      </w:tr>
      <w:tr w14:paraId="42E88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8" w:type="pct"/>
            <w:vMerge w:val="continue"/>
            <w:vAlign w:val="center"/>
          </w:tcPr>
          <w:p w14:paraId="5A58DFB8">
            <w:pPr>
              <w:snapToGrid w:val="0"/>
              <w:spacing w:line="300" w:lineRule="exact"/>
              <w:contextualSpacing/>
              <w:jc w:val="center"/>
              <w:rPr>
                <w:rFonts w:ascii="Times New Roman" w:hAnsi="Times New Roman" w:eastAsia="宋体" w:cs="Times New Roman"/>
                <w:color w:val="000000"/>
                <w:sz w:val="21"/>
                <w:szCs w:val="21"/>
              </w:rPr>
            </w:pPr>
          </w:p>
        </w:tc>
        <w:tc>
          <w:tcPr>
            <w:tcW w:w="627" w:type="pct"/>
            <w:vAlign w:val="center"/>
          </w:tcPr>
          <w:p w14:paraId="5156CB2A">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p>
        </w:tc>
        <w:tc>
          <w:tcPr>
            <w:tcW w:w="625" w:type="pct"/>
            <w:vAlign w:val="center"/>
          </w:tcPr>
          <w:p w14:paraId="50AA79C0">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p>
        </w:tc>
        <w:tc>
          <w:tcPr>
            <w:tcW w:w="625" w:type="pct"/>
            <w:vAlign w:val="center"/>
          </w:tcPr>
          <w:p w14:paraId="0F506026">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2.5</w:t>
            </w:r>
          </w:p>
        </w:tc>
        <w:tc>
          <w:tcPr>
            <w:tcW w:w="625" w:type="pct"/>
            <w:vAlign w:val="center"/>
          </w:tcPr>
          <w:p w14:paraId="22F364DC">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p>
        </w:tc>
        <w:tc>
          <w:tcPr>
            <w:tcW w:w="625" w:type="pct"/>
            <w:vAlign w:val="center"/>
          </w:tcPr>
          <w:p w14:paraId="37FD4E87">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3.5</w:t>
            </w:r>
          </w:p>
        </w:tc>
        <w:tc>
          <w:tcPr>
            <w:tcW w:w="625" w:type="pct"/>
            <w:vAlign w:val="center"/>
          </w:tcPr>
          <w:p w14:paraId="59E5652C">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w:t>
            </w:r>
          </w:p>
        </w:tc>
        <w:tc>
          <w:tcPr>
            <w:tcW w:w="620" w:type="pct"/>
            <w:vAlign w:val="center"/>
          </w:tcPr>
          <w:p w14:paraId="7D620A00">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5.0</w:t>
            </w:r>
          </w:p>
        </w:tc>
      </w:tr>
      <w:tr w14:paraId="69EDE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8" w:type="pct"/>
            <w:vAlign w:val="center"/>
          </w:tcPr>
          <w:p w14:paraId="56C97464">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NH</w:t>
            </w:r>
            <w:r>
              <w:rPr>
                <w:rFonts w:ascii="Times New Roman" w:hAnsi="Times New Roman" w:eastAsia="宋体" w:cs="Times New Roman"/>
                <w:color w:val="000000"/>
                <w:sz w:val="21"/>
                <w:szCs w:val="21"/>
                <w:vertAlign w:val="subscript"/>
              </w:rPr>
              <w:t>3</w:t>
            </w:r>
          </w:p>
        </w:tc>
        <w:tc>
          <w:tcPr>
            <w:tcW w:w="627" w:type="pct"/>
            <w:vAlign w:val="center"/>
          </w:tcPr>
          <w:p w14:paraId="0702A55C">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0.0760</w:t>
            </w:r>
          </w:p>
        </w:tc>
        <w:tc>
          <w:tcPr>
            <w:tcW w:w="625" w:type="pct"/>
            <w:vAlign w:val="center"/>
          </w:tcPr>
          <w:p w14:paraId="02727817">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0.4562</w:t>
            </w:r>
          </w:p>
        </w:tc>
        <w:tc>
          <w:tcPr>
            <w:tcW w:w="625" w:type="pct"/>
            <w:vAlign w:val="center"/>
          </w:tcPr>
          <w:p w14:paraId="590797D9">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0.7603</w:t>
            </w:r>
          </w:p>
        </w:tc>
        <w:tc>
          <w:tcPr>
            <w:tcW w:w="625" w:type="pct"/>
            <w:vAlign w:val="center"/>
          </w:tcPr>
          <w:p w14:paraId="1F72D01F">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1.5206</w:t>
            </w:r>
          </w:p>
        </w:tc>
        <w:tc>
          <w:tcPr>
            <w:tcW w:w="625" w:type="pct"/>
            <w:vAlign w:val="center"/>
          </w:tcPr>
          <w:p w14:paraId="0FF068C8">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3.8014</w:t>
            </w:r>
          </w:p>
        </w:tc>
        <w:tc>
          <w:tcPr>
            <w:tcW w:w="625" w:type="pct"/>
            <w:vAlign w:val="center"/>
          </w:tcPr>
          <w:p w14:paraId="676FF70A">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7.6029</w:t>
            </w:r>
          </w:p>
        </w:tc>
        <w:tc>
          <w:tcPr>
            <w:tcW w:w="620" w:type="pct"/>
            <w:vAlign w:val="center"/>
          </w:tcPr>
          <w:p w14:paraId="0EB0997D">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30.4114</w:t>
            </w:r>
          </w:p>
        </w:tc>
      </w:tr>
      <w:tr w14:paraId="26011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8" w:type="pct"/>
            <w:vAlign w:val="center"/>
          </w:tcPr>
          <w:p w14:paraId="0B311404">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H</w:t>
            </w:r>
            <w:r>
              <w:rPr>
                <w:rFonts w:ascii="Times New Roman" w:hAnsi="Times New Roman" w:eastAsia="宋体" w:cs="Times New Roman"/>
                <w:color w:val="000000"/>
                <w:sz w:val="21"/>
                <w:szCs w:val="21"/>
                <w:vertAlign w:val="subscript"/>
              </w:rPr>
              <w:t>2</w:t>
            </w:r>
            <w:r>
              <w:rPr>
                <w:rFonts w:ascii="Times New Roman" w:hAnsi="Times New Roman" w:eastAsia="宋体" w:cs="Times New Roman"/>
                <w:color w:val="000000"/>
                <w:sz w:val="21"/>
                <w:szCs w:val="21"/>
              </w:rPr>
              <w:t>S</w:t>
            </w:r>
          </w:p>
        </w:tc>
        <w:tc>
          <w:tcPr>
            <w:tcW w:w="627" w:type="pct"/>
            <w:vAlign w:val="center"/>
          </w:tcPr>
          <w:p w14:paraId="3B2A14BE">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0.00076</w:t>
            </w:r>
          </w:p>
        </w:tc>
        <w:tc>
          <w:tcPr>
            <w:tcW w:w="625" w:type="pct"/>
            <w:vAlign w:val="center"/>
          </w:tcPr>
          <w:p w14:paraId="0C0A5A35">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0.00912</w:t>
            </w:r>
          </w:p>
        </w:tc>
        <w:tc>
          <w:tcPr>
            <w:tcW w:w="625" w:type="pct"/>
            <w:vAlign w:val="center"/>
          </w:tcPr>
          <w:p w14:paraId="6EDAD9C4">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0.03042</w:t>
            </w:r>
          </w:p>
        </w:tc>
        <w:tc>
          <w:tcPr>
            <w:tcW w:w="625" w:type="pct"/>
            <w:vAlign w:val="center"/>
          </w:tcPr>
          <w:p w14:paraId="1F7591E4">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0.09127</w:t>
            </w:r>
          </w:p>
        </w:tc>
        <w:tc>
          <w:tcPr>
            <w:tcW w:w="625" w:type="pct"/>
            <w:vAlign w:val="center"/>
          </w:tcPr>
          <w:p w14:paraId="14CEDBB1">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0.30424</w:t>
            </w:r>
          </w:p>
        </w:tc>
        <w:tc>
          <w:tcPr>
            <w:tcW w:w="625" w:type="pct"/>
            <w:vAlign w:val="center"/>
          </w:tcPr>
          <w:p w14:paraId="24237A59">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1.06487</w:t>
            </w:r>
          </w:p>
        </w:tc>
        <w:tc>
          <w:tcPr>
            <w:tcW w:w="620" w:type="pct"/>
            <w:vAlign w:val="center"/>
          </w:tcPr>
          <w:p w14:paraId="4F1CD499">
            <w:pPr>
              <w:snapToGrid w:val="0"/>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12.16993</w:t>
            </w:r>
          </w:p>
        </w:tc>
      </w:tr>
    </w:tbl>
    <w:p w14:paraId="58BC94EE">
      <w:pPr>
        <w:adjustRightInd w:val="0"/>
        <w:snapToGrid w:val="0"/>
        <w:spacing w:line="500" w:lineRule="exact"/>
        <w:ind w:firstLine="480" w:firstLineChars="200"/>
        <w:rPr>
          <w:color w:val="000000"/>
          <w:kern w:val="0"/>
          <w:szCs w:val="24"/>
        </w:rPr>
      </w:pPr>
      <w:r>
        <w:rPr>
          <w:rFonts w:hAnsi="宋体"/>
          <w:color w:val="000000"/>
          <w:kern w:val="0"/>
          <w:szCs w:val="24"/>
        </w:rPr>
        <w:t>综合预测结果，分析本项目臭气强度如</w:t>
      </w:r>
      <w:r>
        <w:rPr>
          <w:rFonts w:hAnsi="宋体"/>
          <w:color w:val="000000"/>
        </w:rPr>
        <w:t>表</w:t>
      </w:r>
      <w:r>
        <w:rPr>
          <w:color w:val="000000"/>
        </w:rPr>
        <w:t>5.2</w:t>
      </w:r>
      <w:r>
        <w:rPr>
          <w:rFonts w:hint="eastAsia"/>
          <w:color w:val="000000"/>
        </w:rPr>
        <w:t>-14</w:t>
      </w:r>
      <w:r>
        <w:rPr>
          <w:rFonts w:hAnsi="宋体"/>
          <w:color w:val="000000"/>
        </w:rPr>
        <w:t>。</w:t>
      </w:r>
    </w:p>
    <w:p w14:paraId="30C30464">
      <w:pPr>
        <w:pStyle w:val="11"/>
        <w:snapToGrid w:val="0"/>
        <w:spacing w:line="480" w:lineRule="exact"/>
        <w:ind w:firstLine="482"/>
        <w:jc w:val="center"/>
        <w:rPr>
          <w:b/>
          <w:color w:val="000000"/>
          <w:sz w:val="24"/>
        </w:rPr>
      </w:pPr>
      <w:r>
        <w:rPr>
          <w:rFonts w:hAnsi="宋体"/>
          <w:b/>
          <w:color w:val="000000"/>
          <w:sz w:val="24"/>
        </w:rPr>
        <w:t>表</w:t>
      </w:r>
      <w:r>
        <w:rPr>
          <w:b/>
          <w:color w:val="000000"/>
          <w:sz w:val="24"/>
        </w:rPr>
        <w:t>5.2</w:t>
      </w:r>
      <w:r>
        <w:rPr>
          <w:rFonts w:hint="eastAsia"/>
          <w:b/>
          <w:color w:val="000000"/>
          <w:sz w:val="24"/>
        </w:rPr>
        <w:t>-14</w:t>
      </w:r>
      <w:r>
        <w:rPr>
          <w:rFonts w:hAnsi="宋体"/>
          <w:b/>
          <w:color w:val="000000"/>
          <w:sz w:val="24"/>
        </w:rPr>
        <w:t>项目臭气强度分析</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4"/>
        <w:gridCol w:w="1369"/>
        <w:gridCol w:w="3806"/>
        <w:gridCol w:w="2181"/>
      </w:tblGrid>
      <w:tr w14:paraId="5057FA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7" w:type="pct"/>
            <w:gridSpan w:val="2"/>
            <w:vMerge w:val="restart"/>
            <w:vAlign w:val="center"/>
          </w:tcPr>
          <w:p w14:paraId="05769F39">
            <w:pPr>
              <w:snapToGrid w:val="0"/>
              <w:spacing w:line="300" w:lineRule="exact"/>
              <w:contextualSpacing/>
              <w:jc w:val="center"/>
              <w:rPr>
                <w:color w:val="000000"/>
                <w:sz w:val="21"/>
                <w:szCs w:val="21"/>
              </w:rPr>
            </w:pPr>
            <w:r>
              <w:rPr>
                <w:rFonts w:hAnsi="宋体"/>
                <w:color w:val="000000"/>
                <w:sz w:val="21"/>
                <w:szCs w:val="21"/>
              </w:rPr>
              <w:t>排放方式</w:t>
            </w:r>
          </w:p>
        </w:tc>
        <w:tc>
          <w:tcPr>
            <w:tcW w:w="3432" w:type="pct"/>
            <w:gridSpan w:val="2"/>
            <w:vAlign w:val="center"/>
          </w:tcPr>
          <w:p w14:paraId="6F1A0BB0">
            <w:pPr>
              <w:snapToGrid w:val="0"/>
              <w:spacing w:line="300" w:lineRule="exact"/>
              <w:contextualSpacing/>
              <w:jc w:val="center"/>
              <w:rPr>
                <w:color w:val="000000"/>
                <w:sz w:val="21"/>
                <w:szCs w:val="21"/>
              </w:rPr>
            </w:pPr>
            <w:r>
              <w:rPr>
                <w:rFonts w:hAnsi="宋体"/>
                <w:color w:val="000000"/>
                <w:sz w:val="21"/>
                <w:szCs w:val="21"/>
              </w:rPr>
              <w:t>污染物排放情况</w:t>
            </w:r>
          </w:p>
        </w:tc>
      </w:tr>
      <w:tr w14:paraId="5AA07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7" w:type="pct"/>
            <w:gridSpan w:val="2"/>
            <w:vMerge w:val="continue"/>
            <w:vAlign w:val="center"/>
          </w:tcPr>
          <w:p w14:paraId="02BBB96E">
            <w:pPr>
              <w:snapToGrid w:val="0"/>
              <w:spacing w:line="300" w:lineRule="exact"/>
              <w:contextualSpacing/>
              <w:jc w:val="center"/>
              <w:rPr>
                <w:color w:val="000000"/>
                <w:sz w:val="21"/>
                <w:szCs w:val="21"/>
              </w:rPr>
            </w:pPr>
          </w:p>
        </w:tc>
        <w:tc>
          <w:tcPr>
            <w:tcW w:w="2182" w:type="pct"/>
            <w:vAlign w:val="center"/>
          </w:tcPr>
          <w:p w14:paraId="4C3541EC">
            <w:pPr>
              <w:snapToGrid w:val="0"/>
              <w:spacing w:line="300" w:lineRule="exact"/>
              <w:contextualSpacing/>
              <w:jc w:val="center"/>
              <w:rPr>
                <w:color w:val="000000"/>
                <w:sz w:val="21"/>
                <w:szCs w:val="21"/>
              </w:rPr>
            </w:pPr>
            <w:r>
              <w:rPr>
                <w:rFonts w:hAnsi="宋体"/>
                <w:color w:val="000000"/>
                <w:sz w:val="21"/>
                <w:szCs w:val="21"/>
              </w:rPr>
              <w:t>恶臭污染物最大落地浓度</w:t>
            </w:r>
            <w:r>
              <w:rPr>
                <w:color w:val="000000"/>
                <w:sz w:val="21"/>
                <w:szCs w:val="21"/>
              </w:rPr>
              <w:t>(</w:t>
            </w:r>
            <w:r>
              <w:rPr>
                <w:rFonts w:ascii="Times New Roman" w:hAnsi="Times New Roman" w:eastAsia="宋体" w:cs="Times New Roman"/>
                <w:color w:val="000000" w:themeColor="text1"/>
                <w:sz w:val="21"/>
                <w:szCs w:val="21"/>
                <w14:textFill>
                  <w14:solidFill>
                    <w14:schemeClr w14:val="tx1"/>
                  </w14:solidFill>
                </w14:textFill>
              </w:rPr>
              <w:t>μ</w:t>
            </w:r>
            <w:r>
              <w:rPr>
                <w:color w:val="000000"/>
                <w:sz w:val="21"/>
                <w:szCs w:val="21"/>
              </w:rPr>
              <w:t>g/m</w:t>
            </w:r>
            <w:r>
              <w:rPr>
                <w:color w:val="000000"/>
                <w:sz w:val="21"/>
                <w:szCs w:val="21"/>
                <w:vertAlign w:val="superscript"/>
              </w:rPr>
              <w:t>3</w:t>
            </w:r>
            <w:r>
              <w:rPr>
                <w:color w:val="000000"/>
                <w:sz w:val="21"/>
                <w:szCs w:val="21"/>
              </w:rPr>
              <w:t>)</w:t>
            </w:r>
          </w:p>
        </w:tc>
        <w:tc>
          <w:tcPr>
            <w:tcW w:w="1250" w:type="pct"/>
            <w:vAlign w:val="center"/>
          </w:tcPr>
          <w:p w14:paraId="37FBDB63">
            <w:pPr>
              <w:snapToGrid w:val="0"/>
              <w:spacing w:line="300" w:lineRule="exact"/>
              <w:contextualSpacing/>
              <w:jc w:val="center"/>
              <w:rPr>
                <w:color w:val="000000"/>
                <w:sz w:val="21"/>
                <w:szCs w:val="21"/>
              </w:rPr>
            </w:pPr>
            <w:r>
              <w:rPr>
                <w:rFonts w:hAnsi="宋体"/>
                <w:color w:val="000000"/>
                <w:sz w:val="21"/>
                <w:szCs w:val="21"/>
              </w:rPr>
              <w:t>对应的臭气强度</w:t>
            </w:r>
            <w:r>
              <w:rPr>
                <w:color w:val="000000"/>
                <w:sz w:val="21"/>
                <w:szCs w:val="21"/>
              </w:rPr>
              <w:t>(</w:t>
            </w:r>
            <w:r>
              <w:rPr>
                <w:rFonts w:hAnsi="宋体"/>
                <w:color w:val="000000"/>
                <w:sz w:val="21"/>
                <w:szCs w:val="21"/>
              </w:rPr>
              <w:t>级</w:t>
            </w:r>
            <w:r>
              <w:rPr>
                <w:color w:val="000000"/>
                <w:sz w:val="21"/>
                <w:szCs w:val="21"/>
              </w:rPr>
              <w:t>)</w:t>
            </w:r>
          </w:p>
        </w:tc>
      </w:tr>
      <w:tr w14:paraId="2EA6F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pct"/>
            <w:vMerge w:val="restart"/>
            <w:vAlign w:val="center"/>
          </w:tcPr>
          <w:p w14:paraId="6F0974AD">
            <w:pPr>
              <w:snapToGrid w:val="0"/>
              <w:spacing w:line="300" w:lineRule="exact"/>
              <w:contextualSpacing/>
              <w:jc w:val="center"/>
              <w:rPr>
                <w:color w:val="000000"/>
                <w:sz w:val="21"/>
                <w:szCs w:val="21"/>
              </w:rPr>
            </w:pPr>
            <w:r>
              <w:rPr>
                <w:rFonts w:hint="eastAsia" w:hAnsi="宋体"/>
                <w:color w:val="000000"/>
                <w:sz w:val="21"/>
                <w:szCs w:val="21"/>
              </w:rPr>
              <w:t>鸡舍区</w:t>
            </w:r>
          </w:p>
        </w:tc>
        <w:tc>
          <w:tcPr>
            <w:tcW w:w="784" w:type="pct"/>
            <w:vAlign w:val="center"/>
          </w:tcPr>
          <w:p w14:paraId="13E0C39D">
            <w:pPr>
              <w:snapToGrid w:val="0"/>
              <w:spacing w:line="300" w:lineRule="exact"/>
              <w:contextualSpacing/>
              <w:jc w:val="center"/>
              <w:rPr>
                <w:color w:val="000000"/>
                <w:sz w:val="21"/>
                <w:szCs w:val="21"/>
              </w:rPr>
            </w:pPr>
            <w:r>
              <w:rPr>
                <w:color w:val="000000"/>
                <w:sz w:val="21"/>
                <w:szCs w:val="21"/>
              </w:rPr>
              <w:t>NH</w:t>
            </w:r>
            <w:r>
              <w:rPr>
                <w:color w:val="000000"/>
                <w:sz w:val="21"/>
                <w:szCs w:val="21"/>
                <w:vertAlign w:val="subscript"/>
              </w:rPr>
              <w:t>3</w:t>
            </w:r>
          </w:p>
        </w:tc>
        <w:tc>
          <w:tcPr>
            <w:tcW w:w="2182" w:type="pct"/>
            <w:vAlign w:val="center"/>
          </w:tcPr>
          <w:p w14:paraId="4B11D387">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2.78</w:t>
            </w:r>
          </w:p>
        </w:tc>
        <w:tc>
          <w:tcPr>
            <w:tcW w:w="1250" w:type="pct"/>
            <w:vAlign w:val="center"/>
          </w:tcPr>
          <w:p w14:paraId="481296DA">
            <w:pPr>
              <w:snapToGrid w:val="0"/>
              <w:spacing w:line="300" w:lineRule="exact"/>
              <w:contextualSpacing/>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w:t>
            </w:r>
          </w:p>
        </w:tc>
      </w:tr>
      <w:tr w14:paraId="072D3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pct"/>
            <w:vMerge w:val="continue"/>
            <w:vAlign w:val="center"/>
          </w:tcPr>
          <w:p w14:paraId="460AE5CF">
            <w:pPr>
              <w:snapToGrid w:val="0"/>
              <w:spacing w:line="300" w:lineRule="exact"/>
              <w:contextualSpacing/>
              <w:jc w:val="center"/>
              <w:rPr>
                <w:color w:val="000000"/>
                <w:sz w:val="21"/>
                <w:szCs w:val="21"/>
              </w:rPr>
            </w:pPr>
          </w:p>
        </w:tc>
        <w:tc>
          <w:tcPr>
            <w:tcW w:w="784" w:type="pct"/>
            <w:vAlign w:val="center"/>
          </w:tcPr>
          <w:p w14:paraId="4DBA6C49">
            <w:pPr>
              <w:snapToGrid w:val="0"/>
              <w:spacing w:line="300" w:lineRule="exact"/>
              <w:contextualSpacing/>
              <w:jc w:val="center"/>
              <w:rPr>
                <w:color w:val="000000"/>
                <w:sz w:val="21"/>
                <w:szCs w:val="21"/>
              </w:rPr>
            </w:pPr>
            <w:r>
              <w:rPr>
                <w:color w:val="000000"/>
                <w:sz w:val="21"/>
                <w:szCs w:val="21"/>
              </w:rPr>
              <w:t>H</w:t>
            </w:r>
            <w:r>
              <w:rPr>
                <w:color w:val="000000"/>
                <w:sz w:val="21"/>
                <w:szCs w:val="21"/>
                <w:vertAlign w:val="subscript"/>
              </w:rPr>
              <w:t>2</w:t>
            </w:r>
            <w:r>
              <w:rPr>
                <w:color w:val="000000"/>
                <w:sz w:val="21"/>
                <w:szCs w:val="21"/>
              </w:rPr>
              <w:t>S</w:t>
            </w:r>
          </w:p>
        </w:tc>
        <w:tc>
          <w:tcPr>
            <w:tcW w:w="2182" w:type="pct"/>
            <w:vAlign w:val="center"/>
          </w:tcPr>
          <w:p w14:paraId="76B1BC44">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0.278</w:t>
            </w:r>
          </w:p>
        </w:tc>
        <w:tc>
          <w:tcPr>
            <w:tcW w:w="1250" w:type="pct"/>
            <w:vAlign w:val="center"/>
          </w:tcPr>
          <w:p w14:paraId="7E130286">
            <w:pPr>
              <w:snapToGrid w:val="0"/>
              <w:spacing w:line="300" w:lineRule="exact"/>
              <w:contextualSpacing/>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w:t>
            </w:r>
          </w:p>
        </w:tc>
      </w:tr>
      <w:tr w14:paraId="3E07BE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pct"/>
            <w:vMerge w:val="restart"/>
            <w:vAlign w:val="center"/>
          </w:tcPr>
          <w:p w14:paraId="65AEA779">
            <w:pPr>
              <w:snapToGrid w:val="0"/>
              <w:spacing w:line="300" w:lineRule="exact"/>
              <w:contextualSpacing/>
              <w:jc w:val="center"/>
              <w:rPr>
                <w:color w:val="000000"/>
                <w:sz w:val="21"/>
                <w:szCs w:val="21"/>
              </w:rPr>
            </w:pPr>
            <w:r>
              <w:rPr>
                <w:rFonts w:hint="eastAsia"/>
                <w:color w:val="000000"/>
                <w:sz w:val="21"/>
                <w:szCs w:val="21"/>
              </w:rPr>
              <w:t>鸡粪暂存区</w:t>
            </w:r>
          </w:p>
        </w:tc>
        <w:tc>
          <w:tcPr>
            <w:tcW w:w="784" w:type="pct"/>
            <w:vAlign w:val="center"/>
          </w:tcPr>
          <w:p w14:paraId="4C903C8B">
            <w:pPr>
              <w:snapToGrid w:val="0"/>
              <w:spacing w:line="300" w:lineRule="exact"/>
              <w:contextualSpacing/>
              <w:jc w:val="center"/>
              <w:rPr>
                <w:color w:val="000000"/>
                <w:sz w:val="21"/>
                <w:szCs w:val="21"/>
              </w:rPr>
            </w:pPr>
            <w:r>
              <w:rPr>
                <w:color w:val="000000"/>
                <w:sz w:val="21"/>
                <w:szCs w:val="21"/>
              </w:rPr>
              <w:t>NH</w:t>
            </w:r>
            <w:r>
              <w:rPr>
                <w:color w:val="000000"/>
                <w:sz w:val="21"/>
                <w:szCs w:val="21"/>
                <w:vertAlign w:val="subscript"/>
              </w:rPr>
              <w:t>3</w:t>
            </w:r>
          </w:p>
        </w:tc>
        <w:tc>
          <w:tcPr>
            <w:tcW w:w="2182" w:type="pct"/>
            <w:vAlign w:val="center"/>
          </w:tcPr>
          <w:p w14:paraId="5E1922D0">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1.19</w:t>
            </w:r>
          </w:p>
        </w:tc>
        <w:tc>
          <w:tcPr>
            <w:tcW w:w="1250" w:type="pct"/>
            <w:vAlign w:val="center"/>
          </w:tcPr>
          <w:p w14:paraId="1707D804">
            <w:pPr>
              <w:snapToGrid w:val="0"/>
              <w:spacing w:line="300" w:lineRule="exact"/>
              <w:contextualSpacing/>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w:t>
            </w:r>
          </w:p>
        </w:tc>
      </w:tr>
      <w:tr w14:paraId="3F8B10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pct"/>
            <w:vMerge w:val="continue"/>
            <w:vAlign w:val="center"/>
          </w:tcPr>
          <w:p w14:paraId="06473300">
            <w:pPr>
              <w:snapToGrid w:val="0"/>
              <w:spacing w:line="300" w:lineRule="exact"/>
              <w:contextualSpacing/>
              <w:jc w:val="center"/>
              <w:rPr>
                <w:color w:val="000000"/>
                <w:sz w:val="21"/>
                <w:szCs w:val="21"/>
              </w:rPr>
            </w:pPr>
          </w:p>
        </w:tc>
        <w:tc>
          <w:tcPr>
            <w:tcW w:w="784" w:type="pct"/>
            <w:vAlign w:val="center"/>
          </w:tcPr>
          <w:p w14:paraId="7304C583">
            <w:pPr>
              <w:snapToGrid w:val="0"/>
              <w:spacing w:line="300" w:lineRule="exact"/>
              <w:contextualSpacing/>
              <w:jc w:val="center"/>
              <w:rPr>
                <w:color w:val="000000"/>
                <w:sz w:val="21"/>
                <w:szCs w:val="21"/>
              </w:rPr>
            </w:pPr>
            <w:r>
              <w:rPr>
                <w:color w:val="000000"/>
                <w:sz w:val="21"/>
                <w:szCs w:val="21"/>
              </w:rPr>
              <w:t>H</w:t>
            </w:r>
            <w:r>
              <w:rPr>
                <w:color w:val="000000"/>
                <w:sz w:val="21"/>
                <w:szCs w:val="21"/>
                <w:vertAlign w:val="subscript"/>
              </w:rPr>
              <w:t>2</w:t>
            </w:r>
            <w:r>
              <w:rPr>
                <w:color w:val="000000"/>
                <w:sz w:val="21"/>
                <w:szCs w:val="21"/>
              </w:rPr>
              <w:t>S</w:t>
            </w:r>
          </w:p>
        </w:tc>
        <w:tc>
          <w:tcPr>
            <w:tcW w:w="2182" w:type="pct"/>
            <w:vAlign w:val="center"/>
          </w:tcPr>
          <w:p w14:paraId="1FB0058D">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0.119</w:t>
            </w:r>
          </w:p>
        </w:tc>
        <w:tc>
          <w:tcPr>
            <w:tcW w:w="1250" w:type="pct"/>
            <w:vAlign w:val="center"/>
          </w:tcPr>
          <w:p w14:paraId="391612A2">
            <w:pPr>
              <w:snapToGrid w:val="0"/>
              <w:spacing w:line="300" w:lineRule="exact"/>
              <w:contextualSpacing/>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w:t>
            </w:r>
          </w:p>
        </w:tc>
      </w:tr>
      <w:tr w14:paraId="35F5A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pct"/>
            <w:vMerge w:val="restart"/>
            <w:vAlign w:val="center"/>
          </w:tcPr>
          <w:p w14:paraId="5691B0CF">
            <w:pPr>
              <w:snapToGrid w:val="0"/>
              <w:spacing w:line="300" w:lineRule="exact"/>
              <w:contextualSpacing/>
              <w:jc w:val="center"/>
              <w:rPr>
                <w:color w:val="000000"/>
                <w:sz w:val="21"/>
                <w:szCs w:val="21"/>
              </w:rPr>
            </w:pPr>
            <w:r>
              <w:rPr>
                <w:rFonts w:hint="eastAsia" w:hAnsi="宋体"/>
                <w:color w:val="000000"/>
                <w:sz w:val="21"/>
                <w:szCs w:val="21"/>
              </w:rPr>
              <w:t>污水</w:t>
            </w:r>
            <w:r>
              <w:rPr>
                <w:rFonts w:hAnsi="宋体"/>
                <w:color w:val="000000"/>
                <w:sz w:val="21"/>
                <w:szCs w:val="21"/>
              </w:rPr>
              <w:t>处理</w:t>
            </w:r>
            <w:r>
              <w:rPr>
                <w:rFonts w:hint="eastAsia" w:hAnsi="宋体"/>
                <w:color w:val="000000"/>
                <w:sz w:val="21"/>
                <w:szCs w:val="21"/>
              </w:rPr>
              <w:t>站</w:t>
            </w:r>
          </w:p>
        </w:tc>
        <w:tc>
          <w:tcPr>
            <w:tcW w:w="784" w:type="pct"/>
            <w:vAlign w:val="center"/>
          </w:tcPr>
          <w:p w14:paraId="5A8D8E60">
            <w:pPr>
              <w:snapToGrid w:val="0"/>
              <w:spacing w:line="300" w:lineRule="exact"/>
              <w:contextualSpacing/>
              <w:jc w:val="center"/>
              <w:rPr>
                <w:color w:val="000000"/>
                <w:sz w:val="21"/>
                <w:szCs w:val="21"/>
              </w:rPr>
            </w:pPr>
            <w:r>
              <w:rPr>
                <w:color w:val="000000"/>
                <w:sz w:val="21"/>
                <w:szCs w:val="21"/>
              </w:rPr>
              <w:t>NH</w:t>
            </w:r>
            <w:r>
              <w:rPr>
                <w:color w:val="000000"/>
                <w:sz w:val="21"/>
                <w:szCs w:val="21"/>
                <w:vertAlign w:val="subscript"/>
              </w:rPr>
              <w:t>3</w:t>
            </w:r>
          </w:p>
        </w:tc>
        <w:tc>
          <w:tcPr>
            <w:tcW w:w="2182" w:type="pct"/>
            <w:vAlign w:val="center"/>
          </w:tcPr>
          <w:p w14:paraId="50B00B06">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0.073</w:t>
            </w:r>
          </w:p>
        </w:tc>
        <w:tc>
          <w:tcPr>
            <w:tcW w:w="1250" w:type="pct"/>
            <w:vAlign w:val="center"/>
          </w:tcPr>
          <w:p w14:paraId="623564B7">
            <w:pPr>
              <w:snapToGrid w:val="0"/>
              <w:spacing w:line="300" w:lineRule="exact"/>
              <w:contextualSpacing/>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w:t>
            </w:r>
          </w:p>
        </w:tc>
      </w:tr>
      <w:tr w14:paraId="0CB9D2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pct"/>
            <w:vMerge w:val="continue"/>
            <w:vAlign w:val="center"/>
          </w:tcPr>
          <w:p w14:paraId="0370C673">
            <w:pPr>
              <w:snapToGrid w:val="0"/>
              <w:spacing w:line="300" w:lineRule="exact"/>
              <w:contextualSpacing/>
              <w:jc w:val="center"/>
              <w:rPr>
                <w:color w:val="000000"/>
                <w:sz w:val="21"/>
                <w:szCs w:val="21"/>
              </w:rPr>
            </w:pPr>
          </w:p>
        </w:tc>
        <w:tc>
          <w:tcPr>
            <w:tcW w:w="784" w:type="pct"/>
            <w:vAlign w:val="center"/>
          </w:tcPr>
          <w:p w14:paraId="42F06BF2">
            <w:pPr>
              <w:snapToGrid w:val="0"/>
              <w:spacing w:line="300" w:lineRule="exact"/>
              <w:contextualSpacing/>
              <w:jc w:val="center"/>
              <w:rPr>
                <w:color w:val="000000"/>
                <w:sz w:val="21"/>
                <w:szCs w:val="21"/>
              </w:rPr>
            </w:pPr>
            <w:r>
              <w:rPr>
                <w:color w:val="000000"/>
                <w:sz w:val="21"/>
                <w:szCs w:val="21"/>
              </w:rPr>
              <w:t>H</w:t>
            </w:r>
            <w:r>
              <w:rPr>
                <w:color w:val="000000"/>
                <w:sz w:val="21"/>
                <w:szCs w:val="21"/>
                <w:vertAlign w:val="subscript"/>
              </w:rPr>
              <w:t>2</w:t>
            </w:r>
            <w:r>
              <w:rPr>
                <w:color w:val="000000"/>
                <w:sz w:val="21"/>
                <w:szCs w:val="21"/>
              </w:rPr>
              <w:t>S</w:t>
            </w:r>
          </w:p>
        </w:tc>
        <w:tc>
          <w:tcPr>
            <w:tcW w:w="2182" w:type="pct"/>
            <w:vAlign w:val="center"/>
          </w:tcPr>
          <w:p w14:paraId="3B37762F">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0.00365</w:t>
            </w:r>
          </w:p>
        </w:tc>
        <w:tc>
          <w:tcPr>
            <w:tcW w:w="1250" w:type="pct"/>
            <w:vAlign w:val="center"/>
          </w:tcPr>
          <w:p w14:paraId="1CE4BE1F">
            <w:pPr>
              <w:snapToGrid w:val="0"/>
              <w:spacing w:line="300" w:lineRule="exact"/>
              <w:contextualSpacing/>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w:t>
            </w:r>
          </w:p>
        </w:tc>
      </w:tr>
    </w:tbl>
    <w:p w14:paraId="7A55ADDC">
      <w:pPr>
        <w:spacing w:line="480" w:lineRule="exact"/>
        <w:ind w:firstLine="480" w:firstLineChars="200"/>
        <w:rPr>
          <w:color w:val="000000"/>
        </w:rPr>
      </w:pPr>
      <w:r>
        <w:rPr>
          <w:rFonts w:hAnsi="宋体"/>
          <w:color w:val="000000"/>
        </w:rPr>
        <w:t>在</w:t>
      </w:r>
      <w:r>
        <w:rPr>
          <w:color w:val="000000"/>
        </w:rPr>
        <w:t xml:space="preserve">6 </w:t>
      </w:r>
      <w:r>
        <w:rPr>
          <w:rFonts w:hAnsi="宋体"/>
          <w:color w:val="000000"/>
        </w:rPr>
        <w:t>级强度中，</w:t>
      </w:r>
      <w:r>
        <w:rPr>
          <w:color w:val="000000"/>
        </w:rPr>
        <w:t xml:space="preserve">2.5~3.5 </w:t>
      </w:r>
      <w:r>
        <w:rPr>
          <w:rFonts w:hAnsi="宋体"/>
          <w:color w:val="000000"/>
        </w:rPr>
        <w:t>为环境标准值。由表</w:t>
      </w:r>
      <w:r>
        <w:rPr>
          <w:color w:val="000000"/>
        </w:rPr>
        <w:t>5.2</w:t>
      </w:r>
      <w:r>
        <w:rPr>
          <w:rFonts w:hint="eastAsia"/>
          <w:color w:val="000000"/>
        </w:rPr>
        <w:t>-14</w:t>
      </w:r>
      <w:r>
        <w:rPr>
          <w:rFonts w:hAnsi="宋体"/>
          <w:color w:val="000000"/>
        </w:rPr>
        <w:t>可知，在不考虑恶臭物质叠加影响的前提下，本项目排放污染物臭气强度均不超过环境标准值，对周围环境影响较小。恶臭对周边敏感点的影响不明显。</w:t>
      </w:r>
    </w:p>
    <w:p w14:paraId="3CD0F698">
      <w:pPr>
        <w:pStyle w:val="7"/>
        <w:spacing w:line="480" w:lineRule="exact"/>
      </w:pPr>
      <w:r>
        <w:rPr>
          <w:rFonts w:hint="eastAsia"/>
        </w:rPr>
        <w:t>5</w:t>
      </w:r>
      <w:r>
        <w:t>.2.</w:t>
      </w:r>
      <w:r>
        <w:rPr>
          <w:rFonts w:hint="eastAsia"/>
        </w:rPr>
        <w:t>6大气环境防护距离</w:t>
      </w:r>
    </w:p>
    <w:p w14:paraId="0A2B94B2">
      <w:pPr>
        <w:adjustRightInd w:val="0"/>
        <w:spacing w:line="480" w:lineRule="exact"/>
        <w:ind w:firstLine="480" w:firstLineChars="200"/>
        <w:rPr>
          <w:rFonts w:ascii="Times New Roman"/>
          <w:color w:val="000000"/>
          <w:szCs w:val="24"/>
        </w:rPr>
      </w:pPr>
      <w:r>
        <w:rPr>
          <w:rFonts w:ascii="Times New Roman"/>
          <w:color w:val="000000"/>
          <w:szCs w:val="24"/>
        </w:rPr>
        <w:t>根据《环境影响评价技术导则  大气环境》（HJ 2.2-2018），对于项目厂界浓度满足大气污染物厂界浓度限值，但厂界外大气污染物短期贡献浓度超过环境质量浓度限值的，可以自厂界向外设置一定范围的大气环境防护区域，已确保大气环境防护区域外的污染物贡献浓度满足环境质量标准。本项目厂界浓度限值达标，厂界外大气污染物短期贡献浓度占标率未超过环境质量浓度限值，排放的污染物对周边大气环境的影响较小，因此，无需设置大气环境防护距离。</w:t>
      </w:r>
    </w:p>
    <w:p w14:paraId="252DB648">
      <w:pPr>
        <w:pStyle w:val="7"/>
        <w:spacing w:line="480" w:lineRule="exact"/>
      </w:pPr>
      <w:r>
        <w:rPr>
          <w:rFonts w:hint="eastAsia"/>
        </w:rPr>
        <w:t>5</w:t>
      </w:r>
      <w:r>
        <w:t>.2.</w:t>
      </w:r>
      <w:r>
        <w:rPr>
          <w:rFonts w:hint="eastAsia"/>
        </w:rPr>
        <w:t>7</w:t>
      </w:r>
      <w:r>
        <w:t xml:space="preserve"> </w:t>
      </w:r>
      <w:r>
        <w:rPr>
          <w:rFonts w:hint="eastAsia"/>
        </w:rPr>
        <w:t>卫生防护距离</w:t>
      </w:r>
    </w:p>
    <w:p w14:paraId="405C001E">
      <w:pPr>
        <w:widowControl/>
        <w:spacing w:line="480" w:lineRule="exact"/>
        <w:ind w:firstLine="480" w:firstLineChars="200"/>
      </w:pPr>
      <w:r>
        <w:rPr>
          <w:rFonts w:hint="eastAsia"/>
        </w:rPr>
        <w:t>根据《大气有害物质无组织排放卫生防护距离推导技术导则》（</w:t>
      </w:r>
      <w:r>
        <w:t>GB/T39499-2020</w:t>
      </w:r>
      <w:r>
        <w:rPr>
          <w:rFonts w:hint="eastAsia"/>
        </w:rPr>
        <w:t>）第4章，“在选取特征大气有害物质时，应首先考虑其对人体健康损害毒性特点，并根据目标行业企业的产品产量及其原辅材料、工艺特征、中间产物、产排污特点等情况，确定单个大气有害物质的无组织排放量及等标排放量（Qc/cm），最终确定卫生防护距离相关的主要特征大气有害物质1种～2种”。</w:t>
      </w:r>
    </w:p>
    <w:p w14:paraId="2588D806">
      <w:pPr>
        <w:widowControl/>
        <w:spacing w:line="480" w:lineRule="exact"/>
        <w:ind w:firstLine="480" w:firstLineChars="200"/>
      </w:pPr>
      <w:r>
        <w:rPr>
          <w:rFonts w:hint="eastAsia"/>
        </w:rPr>
        <w:t>本项目涉及的无组织废气排放主要为鸡舍区、鸡粪暂存库、污水处理站排放的N</w:t>
      </w:r>
      <w:r>
        <w:t>H</w:t>
      </w:r>
      <w:r>
        <w:rPr>
          <w:vertAlign w:val="subscript"/>
        </w:rPr>
        <w:t>3</w:t>
      </w:r>
      <w:r>
        <w:rPr>
          <w:rFonts w:hint="eastAsia"/>
        </w:rPr>
        <w:t>和H</w:t>
      </w:r>
      <w:r>
        <w:rPr>
          <w:vertAlign w:val="subscript"/>
        </w:rPr>
        <w:t>2</w:t>
      </w:r>
      <w:r>
        <w:t>S</w:t>
      </w:r>
      <w:r>
        <w:rPr>
          <w:rFonts w:hint="eastAsia"/>
        </w:rPr>
        <w:t>，等标排放量计算公式如下：</w:t>
      </w:r>
    </w:p>
    <w:p w14:paraId="751300BB">
      <w:pPr>
        <w:spacing w:line="480" w:lineRule="exact"/>
        <w:jc w:val="center"/>
      </w:pPr>
      <w:r>
        <w:rPr>
          <w:rFonts w:hint="eastAsia"/>
        </w:rPr>
        <w:t>等标排放量=</w:t>
      </w:r>
      <w:r>
        <w:rPr>
          <w:rFonts w:hint="eastAsia"/>
          <w:i/>
          <w:iCs/>
        </w:rPr>
        <w:t>Q</w:t>
      </w:r>
      <w:r>
        <w:rPr>
          <w:rFonts w:hint="eastAsia"/>
          <w:i/>
          <w:iCs/>
          <w:vertAlign w:val="subscript"/>
        </w:rPr>
        <w:t>c</w:t>
      </w:r>
      <w:r>
        <w:t>/</w:t>
      </w:r>
      <w:r>
        <w:rPr>
          <w:rFonts w:hint="eastAsia"/>
          <w:i/>
          <w:iCs/>
        </w:rPr>
        <w:t>c</w:t>
      </w:r>
      <w:r>
        <w:rPr>
          <w:i/>
          <w:iCs/>
          <w:vertAlign w:val="subscript"/>
        </w:rPr>
        <w:t>m</w:t>
      </w:r>
    </w:p>
    <w:p w14:paraId="57597D05">
      <w:pPr>
        <w:widowControl/>
        <w:spacing w:line="480" w:lineRule="exact"/>
        <w:ind w:firstLine="480" w:firstLineChars="200"/>
      </w:pPr>
      <w:r>
        <w:rPr>
          <w:rFonts w:hint="eastAsia"/>
        </w:rPr>
        <w:t>式中：</w:t>
      </w:r>
    </w:p>
    <w:p w14:paraId="5ED8478F">
      <w:pPr>
        <w:widowControl/>
        <w:spacing w:line="480" w:lineRule="exact"/>
        <w:ind w:firstLine="480" w:firstLineChars="200"/>
      </w:pPr>
      <w:r>
        <w:rPr>
          <w:rFonts w:hint="eastAsia"/>
          <w:i/>
          <w:iCs/>
        </w:rPr>
        <w:t>Q</w:t>
      </w:r>
      <w:r>
        <w:rPr>
          <w:rFonts w:hint="eastAsia"/>
          <w:i/>
          <w:iCs/>
          <w:vertAlign w:val="subscript"/>
        </w:rPr>
        <w:t>c</w:t>
      </w:r>
      <w:r>
        <w:rPr>
          <w:rFonts w:hint="eastAsia"/>
        </w:rPr>
        <w:t>——大气有害物质的无组织排放量，单位为千克每小时（kg/h）；</w:t>
      </w:r>
    </w:p>
    <w:p w14:paraId="68B546E0">
      <w:pPr>
        <w:widowControl/>
        <w:spacing w:line="480" w:lineRule="exact"/>
        <w:ind w:firstLine="480" w:firstLineChars="200"/>
      </w:pPr>
      <w:r>
        <w:rPr>
          <w:rFonts w:hint="eastAsia"/>
          <w:i/>
          <w:iCs/>
        </w:rPr>
        <w:t>c</w:t>
      </w:r>
      <w:r>
        <w:rPr>
          <w:i/>
          <w:iCs/>
          <w:vertAlign w:val="subscript"/>
        </w:rPr>
        <w:t>m</w:t>
      </w:r>
      <w:r>
        <w:rPr>
          <w:rFonts w:hint="eastAsia"/>
        </w:rPr>
        <w:t>——大气有害物质环境空气质量的标准限值，单位为毫克每立方米（mg/m</w:t>
      </w:r>
      <w:r>
        <w:rPr>
          <w:rFonts w:hint="eastAsia"/>
          <w:vertAlign w:val="superscript"/>
        </w:rPr>
        <w:t>3</w:t>
      </w:r>
      <w:r>
        <w:rPr>
          <w:rFonts w:hint="eastAsia"/>
        </w:rPr>
        <w:t>）。</w:t>
      </w:r>
    </w:p>
    <w:p w14:paraId="089CE542">
      <w:pPr>
        <w:widowControl/>
        <w:spacing w:line="480" w:lineRule="exact"/>
        <w:ind w:firstLine="480" w:firstLineChars="200"/>
      </w:pPr>
      <w:r>
        <w:rPr>
          <w:rFonts w:hint="eastAsia"/>
        </w:rPr>
        <w:t>根据上述公式计算，本项目无组织排放污染物的等标排放量数值见下表。</w:t>
      </w:r>
    </w:p>
    <w:p w14:paraId="1D1734BA">
      <w:pPr>
        <w:pStyle w:val="31"/>
        <w:spacing w:before="0" w:line="480" w:lineRule="exact"/>
      </w:pPr>
      <w:r>
        <w:rPr>
          <w:rFonts w:hint="eastAsia"/>
        </w:rPr>
        <w:t>表</w:t>
      </w:r>
      <w:r>
        <w:t>5.2-15</w:t>
      </w:r>
      <w:r>
        <w:rPr>
          <w:rFonts w:hint="eastAsia"/>
        </w:rPr>
        <w:t xml:space="preserve"> </w:t>
      </w:r>
      <w:r>
        <w:t xml:space="preserve"> </w:t>
      </w:r>
      <w:r>
        <w:rPr>
          <w:rFonts w:hint="eastAsia"/>
        </w:rPr>
        <w:t>各单元大气有害物质的无组织排放量及等标排放量结算结果</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1380"/>
        <w:gridCol w:w="1650"/>
        <w:gridCol w:w="2198"/>
        <w:gridCol w:w="1745"/>
      </w:tblGrid>
      <w:tr w14:paraId="1ADCDA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0" w:type="pct"/>
            <w:vAlign w:val="center"/>
          </w:tcPr>
          <w:p w14:paraId="0BA5F465">
            <w:pPr>
              <w:pStyle w:val="61"/>
              <w:spacing w:line="300" w:lineRule="exact"/>
              <w:rPr>
                <w:szCs w:val="21"/>
              </w:rPr>
            </w:pPr>
            <w:r>
              <w:rPr>
                <w:szCs w:val="21"/>
              </w:rPr>
              <w:t>污染源</w:t>
            </w:r>
          </w:p>
        </w:tc>
        <w:tc>
          <w:tcPr>
            <w:tcW w:w="791" w:type="pct"/>
            <w:vAlign w:val="center"/>
          </w:tcPr>
          <w:p w14:paraId="5FF06D7A">
            <w:pPr>
              <w:pStyle w:val="61"/>
              <w:spacing w:line="300" w:lineRule="exact"/>
              <w:rPr>
                <w:szCs w:val="21"/>
              </w:rPr>
            </w:pPr>
            <w:r>
              <w:rPr>
                <w:szCs w:val="21"/>
              </w:rPr>
              <w:t>污染物</w:t>
            </w:r>
          </w:p>
        </w:tc>
        <w:tc>
          <w:tcPr>
            <w:tcW w:w="946" w:type="pct"/>
            <w:vAlign w:val="center"/>
          </w:tcPr>
          <w:p w14:paraId="70CAAF96">
            <w:pPr>
              <w:pStyle w:val="61"/>
              <w:spacing w:line="300" w:lineRule="exact"/>
              <w:rPr>
                <w:szCs w:val="21"/>
              </w:rPr>
            </w:pPr>
            <w:r>
              <w:rPr>
                <w:szCs w:val="21"/>
              </w:rPr>
              <w:t>无组织排放量</w:t>
            </w:r>
          </w:p>
          <w:p w14:paraId="179B901C">
            <w:pPr>
              <w:pStyle w:val="61"/>
              <w:spacing w:line="300" w:lineRule="exact"/>
              <w:rPr>
                <w:szCs w:val="21"/>
              </w:rPr>
            </w:pPr>
            <w:r>
              <w:rPr>
                <w:szCs w:val="21"/>
              </w:rPr>
              <w:t>（kg/h）</w:t>
            </w:r>
          </w:p>
        </w:tc>
        <w:tc>
          <w:tcPr>
            <w:tcW w:w="1260" w:type="pct"/>
            <w:vAlign w:val="center"/>
          </w:tcPr>
          <w:p w14:paraId="4A750929">
            <w:pPr>
              <w:pStyle w:val="61"/>
              <w:spacing w:line="300" w:lineRule="exact"/>
              <w:rPr>
                <w:szCs w:val="21"/>
              </w:rPr>
            </w:pPr>
            <w:r>
              <w:rPr>
                <w:szCs w:val="21"/>
              </w:rPr>
              <w:t>环境空气质量标准限值（mg/m</w:t>
            </w:r>
            <w:r>
              <w:rPr>
                <w:szCs w:val="21"/>
                <w:vertAlign w:val="superscript"/>
              </w:rPr>
              <w:t>3</w:t>
            </w:r>
            <w:r>
              <w:rPr>
                <w:szCs w:val="21"/>
              </w:rPr>
              <w:t>）</w:t>
            </w:r>
          </w:p>
        </w:tc>
        <w:tc>
          <w:tcPr>
            <w:tcW w:w="1000" w:type="pct"/>
            <w:vAlign w:val="center"/>
          </w:tcPr>
          <w:p w14:paraId="222208A0">
            <w:pPr>
              <w:pStyle w:val="61"/>
              <w:spacing w:line="300" w:lineRule="exact"/>
              <w:rPr>
                <w:szCs w:val="21"/>
              </w:rPr>
            </w:pPr>
            <w:r>
              <w:rPr>
                <w:szCs w:val="21"/>
              </w:rPr>
              <w:t>等标排放量</w:t>
            </w:r>
          </w:p>
        </w:tc>
      </w:tr>
      <w:tr w14:paraId="69780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0" w:type="pct"/>
            <w:vMerge w:val="restart"/>
            <w:vAlign w:val="center"/>
          </w:tcPr>
          <w:p w14:paraId="28AB4DCD">
            <w:pPr>
              <w:pStyle w:val="61"/>
              <w:spacing w:line="300" w:lineRule="exact"/>
              <w:rPr>
                <w:szCs w:val="21"/>
              </w:rPr>
            </w:pPr>
            <w:r>
              <w:rPr>
                <w:szCs w:val="21"/>
              </w:rPr>
              <w:t>鸡舍区</w:t>
            </w:r>
          </w:p>
        </w:tc>
        <w:tc>
          <w:tcPr>
            <w:tcW w:w="791" w:type="pct"/>
            <w:vAlign w:val="center"/>
          </w:tcPr>
          <w:p w14:paraId="540E21BD">
            <w:pPr>
              <w:pStyle w:val="61"/>
              <w:spacing w:line="300" w:lineRule="exact"/>
              <w:rPr>
                <w:szCs w:val="21"/>
              </w:rPr>
            </w:pPr>
            <w:r>
              <w:rPr>
                <w:szCs w:val="21"/>
              </w:rPr>
              <w:t>NH</w:t>
            </w:r>
            <w:r>
              <w:rPr>
                <w:szCs w:val="21"/>
                <w:vertAlign w:val="subscript"/>
              </w:rPr>
              <w:t>3</w:t>
            </w:r>
          </w:p>
        </w:tc>
        <w:tc>
          <w:tcPr>
            <w:tcW w:w="946" w:type="pct"/>
            <w:vAlign w:val="center"/>
          </w:tcPr>
          <w:p w14:paraId="792738A5">
            <w:pPr>
              <w:pStyle w:val="61"/>
              <w:spacing w:line="300" w:lineRule="exact"/>
              <w:rPr>
                <w:szCs w:val="21"/>
              </w:rPr>
            </w:pPr>
            <w:r>
              <w:rPr>
                <w:szCs w:val="21"/>
              </w:rPr>
              <w:t>0.0</w:t>
            </w:r>
            <w:r>
              <w:rPr>
                <w:rFonts w:hint="eastAsia"/>
                <w:szCs w:val="21"/>
              </w:rPr>
              <w:t>025</w:t>
            </w:r>
          </w:p>
        </w:tc>
        <w:tc>
          <w:tcPr>
            <w:tcW w:w="1260" w:type="pct"/>
            <w:vAlign w:val="center"/>
          </w:tcPr>
          <w:p w14:paraId="0263C70A">
            <w:pPr>
              <w:pStyle w:val="61"/>
              <w:spacing w:line="300" w:lineRule="exact"/>
              <w:rPr>
                <w:szCs w:val="21"/>
              </w:rPr>
            </w:pPr>
            <w:r>
              <w:rPr>
                <w:szCs w:val="21"/>
              </w:rPr>
              <w:t>0.2</w:t>
            </w:r>
          </w:p>
        </w:tc>
        <w:tc>
          <w:tcPr>
            <w:tcW w:w="1000" w:type="pct"/>
            <w:vAlign w:val="center"/>
          </w:tcPr>
          <w:p w14:paraId="61F38020">
            <w:pPr>
              <w:pStyle w:val="61"/>
              <w:spacing w:line="300" w:lineRule="exact"/>
              <w:rPr>
                <w:szCs w:val="21"/>
              </w:rPr>
            </w:pPr>
            <w:r>
              <w:rPr>
                <w:szCs w:val="21"/>
              </w:rPr>
              <w:t>0.</w:t>
            </w:r>
            <w:r>
              <w:rPr>
                <w:rFonts w:hint="eastAsia"/>
                <w:szCs w:val="21"/>
              </w:rPr>
              <w:t>0125</w:t>
            </w:r>
          </w:p>
        </w:tc>
      </w:tr>
      <w:tr w14:paraId="07C58C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0" w:type="pct"/>
            <w:vMerge w:val="continue"/>
            <w:vAlign w:val="center"/>
          </w:tcPr>
          <w:p w14:paraId="50358D60">
            <w:pPr>
              <w:pStyle w:val="61"/>
              <w:spacing w:line="300" w:lineRule="exact"/>
              <w:rPr>
                <w:szCs w:val="21"/>
              </w:rPr>
            </w:pPr>
          </w:p>
        </w:tc>
        <w:tc>
          <w:tcPr>
            <w:tcW w:w="791" w:type="pct"/>
            <w:vAlign w:val="center"/>
          </w:tcPr>
          <w:p w14:paraId="22482107">
            <w:pPr>
              <w:pStyle w:val="61"/>
              <w:spacing w:line="300" w:lineRule="exact"/>
              <w:rPr>
                <w:szCs w:val="21"/>
              </w:rPr>
            </w:pPr>
            <w:r>
              <w:rPr>
                <w:szCs w:val="21"/>
              </w:rPr>
              <w:t>H</w:t>
            </w:r>
            <w:r>
              <w:rPr>
                <w:szCs w:val="21"/>
                <w:vertAlign w:val="subscript"/>
              </w:rPr>
              <w:t>2</w:t>
            </w:r>
            <w:r>
              <w:rPr>
                <w:szCs w:val="21"/>
              </w:rPr>
              <w:t>S</w:t>
            </w:r>
          </w:p>
        </w:tc>
        <w:tc>
          <w:tcPr>
            <w:tcW w:w="946" w:type="pct"/>
            <w:vAlign w:val="center"/>
          </w:tcPr>
          <w:p w14:paraId="0D460484">
            <w:pPr>
              <w:pStyle w:val="61"/>
              <w:spacing w:line="300" w:lineRule="exact"/>
              <w:rPr>
                <w:szCs w:val="21"/>
              </w:rPr>
            </w:pPr>
            <w:r>
              <w:rPr>
                <w:szCs w:val="21"/>
              </w:rPr>
              <w:t>0.00</w:t>
            </w:r>
            <w:r>
              <w:rPr>
                <w:rFonts w:hint="eastAsia"/>
                <w:szCs w:val="21"/>
              </w:rPr>
              <w:t>025</w:t>
            </w:r>
          </w:p>
        </w:tc>
        <w:tc>
          <w:tcPr>
            <w:tcW w:w="1260" w:type="pct"/>
            <w:vAlign w:val="center"/>
          </w:tcPr>
          <w:p w14:paraId="1C2DD210">
            <w:pPr>
              <w:pStyle w:val="61"/>
              <w:spacing w:line="300" w:lineRule="exact"/>
              <w:rPr>
                <w:szCs w:val="21"/>
              </w:rPr>
            </w:pPr>
            <w:r>
              <w:rPr>
                <w:szCs w:val="21"/>
              </w:rPr>
              <w:t>0.01</w:t>
            </w:r>
          </w:p>
        </w:tc>
        <w:tc>
          <w:tcPr>
            <w:tcW w:w="1000" w:type="pct"/>
            <w:vAlign w:val="center"/>
          </w:tcPr>
          <w:p w14:paraId="14574E34">
            <w:pPr>
              <w:pStyle w:val="61"/>
              <w:spacing w:line="300" w:lineRule="exact"/>
              <w:rPr>
                <w:szCs w:val="21"/>
              </w:rPr>
            </w:pPr>
            <w:r>
              <w:rPr>
                <w:rFonts w:hint="eastAsia"/>
                <w:szCs w:val="21"/>
              </w:rPr>
              <w:t>0.025</w:t>
            </w:r>
          </w:p>
        </w:tc>
      </w:tr>
      <w:tr w14:paraId="34D78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0" w:type="pct"/>
            <w:vMerge w:val="restart"/>
            <w:vAlign w:val="center"/>
          </w:tcPr>
          <w:p w14:paraId="580C335A">
            <w:pPr>
              <w:pStyle w:val="61"/>
              <w:spacing w:line="300" w:lineRule="exact"/>
              <w:rPr>
                <w:szCs w:val="21"/>
              </w:rPr>
            </w:pPr>
            <w:r>
              <w:rPr>
                <w:szCs w:val="21"/>
              </w:rPr>
              <w:t>鸡粪暂存库</w:t>
            </w:r>
          </w:p>
        </w:tc>
        <w:tc>
          <w:tcPr>
            <w:tcW w:w="791" w:type="pct"/>
            <w:vAlign w:val="center"/>
          </w:tcPr>
          <w:p w14:paraId="2EE7A3FD">
            <w:pPr>
              <w:pStyle w:val="61"/>
              <w:spacing w:line="300" w:lineRule="exact"/>
              <w:rPr>
                <w:szCs w:val="21"/>
              </w:rPr>
            </w:pPr>
            <w:r>
              <w:rPr>
                <w:szCs w:val="21"/>
              </w:rPr>
              <w:t>NH</w:t>
            </w:r>
            <w:r>
              <w:rPr>
                <w:szCs w:val="21"/>
                <w:vertAlign w:val="subscript"/>
              </w:rPr>
              <w:t>3</w:t>
            </w:r>
          </w:p>
        </w:tc>
        <w:tc>
          <w:tcPr>
            <w:tcW w:w="1650" w:type="dxa"/>
            <w:vAlign w:val="center"/>
          </w:tcPr>
          <w:p w14:paraId="5CEF9FC0">
            <w:pPr>
              <w:pStyle w:val="61"/>
              <w:rPr>
                <w:szCs w:val="21"/>
              </w:rPr>
            </w:pPr>
            <w:r>
              <w:rPr>
                <w:rFonts w:hint="eastAsia"/>
              </w:rPr>
              <w:t>0.00042</w:t>
            </w:r>
          </w:p>
        </w:tc>
        <w:tc>
          <w:tcPr>
            <w:tcW w:w="1260" w:type="pct"/>
            <w:vAlign w:val="center"/>
          </w:tcPr>
          <w:p w14:paraId="2319A43E">
            <w:pPr>
              <w:pStyle w:val="61"/>
              <w:spacing w:line="300" w:lineRule="exact"/>
              <w:rPr>
                <w:szCs w:val="21"/>
              </w:rPr>
            </w:pPr>
            <w:r>
              <w:rPr>
                <w:szCs w:val="21"/>
              </w:rPr>
              <w:t>0.2</w:t>
            </w:r>
          </w:p>
        </w:tc>
        <w:tc>
          <w:tcPr>
            <w:tcW w:w="1000" w:type="pct"/>
            <w:vAlign w:val="center"/>
          </w:tcPr>
          <w:p w14:paraId="3DC96963">
            <w:pPr>
              <w:pStyle w:val="61"/>
              <w:spacing w:line="300" w:lineRule="exact"/>
              <w:rPr>
                <w:szCs w:val="21"/>
              </w:rPr>
            </w:pPr>
            <w:r>
              <w:rPr>
                <w:rFonts w:hint="eastAsia"/>
                <w:szCs w:val="21"/>
              </w:rPr>
              <w:t>0.0021</w:t>
            </w:r>
          </w:p>
        </w:tc>
      </w:tr>
      <w:tr w14:paraId="675B30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0" w:type="pct"/>
            <w:vMerge w:val="continue"/>
            <w:vAlign w:val="center"/>
          </w:tcPr>
          <w:p w14:paraId="3EDD257E">
            <w:pPr>
              <w:pStyle w:val="61"/>
              <w:spacing w:line="300" w:lineRule="exact"/>
              <w:rPr>
                <w:szCs w:val="21"/>
              </w:rPr>
            </w:pPr>
          </w:p>
        </w:tc>
        <w:tc>
          <w:tcPr>
            <w:tcW w:w="791" w:type="pct"/>
            <w:vAlign w:val="center"/>
          </w:tcPr>
          <w:p w14:paraId="3C84AFBC">
            <w:pPr>
              <w:pStyle w:val="61"/>
              <w:spacing w:line="300" w:lineRule="exact"/>
              <w:rPr>
                <w:szCs w:val="21"/>
              </w:rPr>
            </w:pPr>
            <w:r>
              <w:rPr>
                <w:szCs w:val="21"/>
              </w:rPr>
              <w:t>H</w:t>
            </w:r>
            <w:r>
              <w:rPr>
                <w:szCs w:val="21"/>
                <w:vertAlign w:val="subscript"/>
              </w:rPr>
              <w:t>2</w:t>
            </w:r>
            <w:r>
              <w:rPr>
                <w:szCs w:val="21"/>
              </w:rPr>
              <w:t>S</w:t>
            </w:r>
          </w:p>
        </w:tc>
        <w:tc>
          <w:tcPr>
            <w:tcW w:w="1650" w:type="dxa"/>
            <w:vAlign w:val="center"/>
          </w:tcPr>
          <w:p w14:paraId="4CFE9D1F">
            <w:pPr>
              <w:pStyle w:val="61"/>
              <w:rPr>
                <w:szCs w:val="21"/>
              </w:rPr>
            </w:pPr>
            <w:r>
              <w:rPr>
                <w:rFonts w:hint="eastAsia"/>
              </w:rPr>
              <w:t>0.000042</w:t>
            </w:r>
          </w:p>
        </w:tc>
        <w:tc>
          <w:tcPr>
            <w:tcW w:w="1260" w:type="pct"/>
            <w:vAlign w:val="center"/>
          </w:tcPr>
          <w:p w14:paraId="752CB4F1">
            <w:pPr>
              <w:pStyle w:val="61"/>
              <w:spacing w:line="300" w:lineRule="exact"/>
              <w:rPr>
                <w:szCs w:val="21"/>
              </w:rPr>
            </w:pPr>
            <w:r>
              <w:rPr>
                <w:szCs w:val="21"/>
              </w:rPr>
              <w:t>0.01</w:t>
            </w:r>
          </w:p>
        </w:tc>
        <w:tc>
          <w:tcPr>
            <w:tcW w:w="1000" w:type="pct"/>
            <w:vAlign w:val="center"/>
          </w:tcPr>
          <w:p w14:paraId="386D4E28">
            <w:pPr>
              <w:pStyle w:val="61"/>
              <w:spacing w:line="300" w:lineRule="exact"/>
              <w:rPr>
                <w:szCs w:val="21"/>
              </w:rPr>
            </w:pPr>
            <w:r>
              <w:rPr>
                <w:rFonts w:hint="eastAsia"/>
                <w:szCs w:val="21"/>
              </w:rPr>
              <w:t>0.0042</w:t>
            </w:r>
          </w:p>
        </w:tc>
      </w:tr>
      <w:tr w14:paraId="3A9F4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0" w:type="pct"/>
            <w:vMerge w:val="restart"/>
            <w:vAlign w:val="center"/>
          </w:tcPr>
          <w:p w14:paraId="16AE38F5">
            <w:pPr>
              <w:pStyle w:val="61"/>
              <w:spacing w:line="300" w:lineRule="exact"/>
              <w:rPr>
                <w:szCs w:val="21"/>
              </w:rPr>
            </w:pPr>
            <w:r>
              <w:rPr>
                <w:szCs w:val="21"/>
              </w:rPr>
              <w:t>污水处理站</w:t>
            </w:r>
          </w:p>
        </w:tc>
        <w:tc>
          <w:tcPr>
            <w:tcW w:w="791" w:type="pct"/>
            <w:vAlign w:val="center"/>
          </w:tcPr>
          <w:p w14:paraId="132217F5">
            <w:pPr>
              <w:pStyle w:val="61"/>
              <w:spacing w:line="300" w:lineRule="exact"/>
              <w:rPr>
                <w:szCs w:val="21"/>
              </w:rPr>
            </w:pPr>
            <w:r>
              <w:rPr>
                <w:szCs w:val="21"/>
              </w:rPr>
              <w:t>NH</w:t>
            </w:r>
            <w:r>
              <w:rPr>
                <w:szCs w:val="21"/>
                <w:vertAlign w:val="subscript"/>
              </w:rPr>
              <w:t>3</w:t>
            </w:r>
          </w:p>
        </w:tc>
        <w:tc>
          <w:tcPr>
            <w:tcW w:w="1650" w:type="dxa"/>
            <w:vAlign w:val="center"/>
          </w:tcPr>
          <w:p w14:paraId="1B9404CF">
            <w:pPr>
              <w:pStyle w:val="61"/>
              <w:rPr>
                <w:szCs w:val="21"/>
              </w:rPr>
            </w:pPr>
            <w:r>
              <w:rPr>
                <w:rFonts w:hint="eastAsia"/>
              </w:rPr>
              <w:t>0.000028</w:t>
            </w:r>
          </w:p>
        </w:tc>
        <w:tc>
          <w:tcPr>
            <w:tcW w:w="1260" w:type="pct"/>
            <w:vAlign w:val="center"/>
          </w:tcPr>
          <w:p w14:paraId="07392CC9">
            <w:pPr>
              <w:pStyle w:val="61"/>
              <w:spacing w:line="300" w:lineRule="exact"/>
              <w:rPr>
                <w:szCs w:val="21"/>
              </w:rPr>
            </w:pPr>
            <w:r>
              <w:rPr>
                <w:szCs w:val="21"/>
              </w:rPr>
              <w:t>0.2</w:t>
            </w:r>
          </w:p>
        </w:tc>
        <w:tc>
          <w:tcPr>
            <w:tcW w:w="1000" w:type="pct"/>
            <w:vAlign w:val="center"/>
          </w:tcPr>
          <w:p w14:paraId="24B8852D">
            <w:pPr>
              <w:pStyle w:val="61"/>
              <w:spacing w:line="300" w:lineRule="exact"/>
              <w:rPr>
                <w:szCs w:val="21"/>
              </w:rPr>
            </w:pPr>
            <w:r>
              <w:rPr>
                <w:rFonts w:hint="eastAsia"/>
                <w:szCs w:val="21"/>
              </w:rPr>
              <w:t>0.00014</w:t>
            </w:r>
          </w:p>
        </w:tc>
      </w:tr>
      <w:tr w14:paraId="2FD05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0" w:type="pct"/>
            <w:vMerge w:val="continue"/>
            <w:vAlign w:val="center"/>
          </w:tcPr>
          <w:p w14:paraId="168B3A91">
            <w:pPr>
              <w:pStyle w:val="61"/>
              <w:spacing w:line="300" w:lineRule="exact"/>
              <w:rPr>
                <w:szCs w:val="21"/>
              </w:rPr>
            </w:pPr>
          </w:p>
        </w:tc>
        <w:tc>
          <w:tcPr>
            <w:tcW w:w="791" w:type="pct"/>
            <w:vAlign w:val="center"/>
          </w:tcPr>
          <w:p w14:paraId="3E55E5B8">
            <w:pPr>
              <w:pStyle w:val="61"/>
              <w:spacing w:line="300" w:lineRule="exact"/>
              <w:rPr>
                <w:szCs w:val="21"/>
              </w:rPr>
            </w:pPr>
            <w:r>
              <w:rPr>
                <w:szCs w:val="21"/>
              </w:rPr>
              <w:t>H</w:t>
            </w:r>
            <w:r>
              <w:rPr>
                <w:szCs w:val="21"/>
                <w:vertAlign w:val="subscript"/>
              </w:rPr>
              <w:t>2</w:t>
            </w:r>
            <w:r>
              <w:rPr>
                <w:szCs w:val="21"/>
              </w:rPr>
              <w:t>S</w:t>
            </w:r>
          </w:p>
        </w:tc>
        <w:tc>
          <w:tcPr>
            <w:tcW w:w="1650" w:type="dxa"/>
            <w:vAlign w:val="center"/>
          </w:tcPr>
          <w:p w14:paraId="71816BCB">
            <w:pPr>
              <w:pStyle w:val="61"/>
              <w:rPr>
                <w:szCs w:val="21"/>
              </w:rPr>
            </w:pPr>
            <w:r>
              <w:rPr>
                <w:rFonts w:hint="eastAsia"/>
              </w:rPr>
              <w:t>0.0000014</w:t>
            </w:r>
          </w:p>
        </w:tc>
        <w:tc>
          <w:tcPr>
            <w:tcW w:w="1260" w:type="pct"/>
            <w:vAlign w:val="center"/>
          </w:tcPr>
          <w:p w14:paraId="3EDBEA51">
            <w:pPr>
              <w:pStyle w:val="61"/>
              <w:spacing w:line="300" w:lineRule="exact"/>
              <w:rPr>
                <w:szCs w:val="21"/>
              </w:rPr>
            </w:pPr>
            <w:r>
              <w:rPr>
                <w:szCs w:val="21"/>
              </w:rPr>
              <w:t>0.01</w:t>
            </w:r>
          </w:p>
        </w:tc>
        <w:tc>
          <w:tcPr>
            <w:tcW w:w="1000" w:type="pct"/>
            <w:vAlign w:val="center"/>
          </w:tcPr>
          <w:p w14:paraId="340C17B0">
            <w:pPr>
              <w:pStyle w:val="61"/>
              <w:spacing w:line="300" w:lineRule="exact"/>
              <w:rPr>
                <w:szCs w:val="21"/>
              </w:rPr>
            </w:pPr>
            <w:r>
              <w:rPr>
                <w:rFonts w:hint="eastAsia"/>
                <w:szCs w:val="21"/>
              </w:rPr>
              <w:t>0.00014</w:t>
            </w:r>
          </w:p>
        </w:tc>
      </w:tr>
    </w:tbl>
    <w:p w14:paraId="555B0B0B">
      <w:pPr>
        <w:widowControl/>
        <w:ind w:firstLine="480" w:firstLineChars="200"/>
      </w:pPr>
      <w:r>
        <w:rPr>
          <w:rFonts w:hint="eastAsia"/>
        </w:rPr>
        <w:t>根据《大气有害物质无组织排放卫生防护距离推导技术导则》（GB/T39499-2020）的规定，当目标企业无组织排放存在多种有毒有害污染物时，基于单个污染物的等标排放量计算结果，优先选择等标排放量最大的污染物为企业无组织排放的主要特征大气有害物质。当前两种污染物的等标排放量相差在10%以内时，要同时选择这两种特征大气有害物质分别计算卫生防护距离初值。</w:t>
      </w:r>
    </w:p>
    <w:p w14:paraId="5298172A">
      <w:pPr>
        <w:ind w:firstLine="480" w:firstLineChars="200"/>
        <w:rPr>
          <w:rStyle w:val="44"/>
          <w:rFonts w:ascii="Times New Roman" w:hAnsi="Times New Roman" w:eastAsia="宋体" w:cs="Times New Roman"/>
          <w:b w:val="0"/>
          <w:bCs w:val="0"/>
          <w:szCs w:val="24"/>
          <w:shd w:val="clear" w:color="auto" w:fill="FFFFFF"/>
        </w:rPr>
      </w:pPr>
      <w:r>
        <w:rPr>
          <w:rFonts w:hint="eastAsia"/>
        </w:rPr>
        <w:t>根据表</w:t>
      </w:r>
      <w:r>
        <w:t>5.2-15</w:t>
      </w:r>
      <w:r>
        <w:rPr>
          <w:rFonts w:hint="eastAsia"/>
        </w:rPr>
        <w:t>计算结果，</w:t>
      </w:r>
      <w:r>
        <w:rPr>
          <w:rFonts w:ascii="Times New Roman" w:hAnsi="Times New Roman" w:eastAsia="宋体" w:cs="Times New Roman"/>
          <w:szCs w:val="24"/>
        </w:rPr>
        <w:t>项目</w:t>
      </w:r>
      <w:r>
        <w:rPr>
          <w:rFonts w:hint="eastAsia" w:ascii="Times New Roman" w:hAnsi="Times New Roman" w:eastAsia="宋体" w:cs="Times New Roman"/>
          <w:szCs w:val="24"/>
        </w:rPr>
        <w:t>鸡舍</w:t>
      </w:r>
      <w:r>
        <w:rPr>
          <w:rFonts w:ascii="Times New Roman" w:hAnsi="Times New Roman" w:eastAsia="宋体" w:cs="Times New Roman"/>
          <w:szCs w:val="24"/>
        </w:rPr>
        <w:t>区</w:t>
      </w:r>
      <w:r>
        <w:rPr>
          <w:rFonts w:hint="eastAsia" w:ascii="Times New Roman" w:hAnsi="Times New Roman" w:eastAsia="宋体" w:cs="Times New Roman"/>
          <w:szCs w:val="24"/>
        </w:rPr>
        <w:t>选</w:t>
      </w:r>
      <w:r>
        <w:rPr>
          <w:rFonts w:ascii="Times New Roman" w:hAnsi="Times New Roman" w:eastAsia="宋体" w:cs="Times New Roman"/>
          <w:szCs w:val="24"/>
        </w:rPr>
        <w:t>取</w:t>
      </w:r>
      <w:r>
        <w:rPr>
          <w:rFonts w:hint="eastAsia" w:ascii="Times New Roman" w:hAnsi="Times New Roman" w:eastAsia="宋体" w:cs="Times New Roman"/>
          <w:szCs w:val="24"/>
        </w:rPr>
        <w:t>硫化氢</w:t>
      </w:r>
      <w:r>
        <w:rPr>
          <w:rFonts w:ascii="Times New Roman" w:hAnsi="Times New Roman" w:eastAsia="宋体" w:cs="Times New Roman"/>
          <w:szCs w:val="24"/>
        </w:rPr>
        <w:t>计算卫生防护距离初值</w:t>
      </w:r>
      <w:r>
        <w:rPr>
          <w:rFonts w:hint="eastAsia" w:ascii="Times New Roman" w:hAnsi="Times New Roman" w:eastAsia="宋体" w:cs="Times New Roman"/>
          <w:szCs w:val="24"/>
        </w:rPr>
        <w:t>，</w:t>
      </w:r>
      <w:r>
        <w:rPr>
          <w:rFonts w:ascii="Times New Roman" w:hAnsi="Times New Roman" w:eastAsia="宋体" w:cs="Times New Roman"/>
          <w:szCs w:val="24"/>
        </w:rPr>
        <w:t>鸡粪</w:t>
      </w:r>
      <w:r>
        <w:rPr>
          <w:rFonts w:hint="eastAsia" w:ascii="Times New Roman" w:hAnsi="Times New Roman" w:eastAsia="宋体" w:cs="Times New Roman"/>
          <w:szCs w:val="24"/>
        </w:rPr>
        <w:t>暂存库</w:t>
      </w:r>
      <w:r>
        <w:rPr>
          <w:rFonts w:ascii="Times New Roman" w:hAnsi="Times New Roman" w:eastAsia="宋体" w:cs="Times New Roman"/>
          <w:szCs w:val="24"/>
        </w:rPr>
        <w:t>选取硫化氢计算卫生防护距离初值，污水处理</w:t>
      </w:r>
      <w:r>
        <w:rPr>
          <w:rFonts w:hint="eastAsia" w:ascii="Times New Roman" w:hAnsi="Times New Roman" w:eastAsia="宋体" w:cs="Times New Roman"/>
          <w:szCs w:val="24"/>
        </w:rPr>
        <w:t>站</w:t>
      </w:r>
      <w:r>
        <w:rPr>
          <w:rFonts w:ascii="Times New Roman" w:hAnsi="Times New Roman" w:eastAsia="宋体" w:cs="Times New Roman"/>
          <w:szCs w:val="24"/>
        </w:rPr>
        <w:t>选取氨</w:t>
      </w:r>
      <w:r>
        <w:rPr>
          <w:rFonts w:hint="eastAsia" w:ascii="Times New Roman" w:hAnsi="Times New Roman" w:eastAsia="宋体" w:cs="Times New Roman"/>
          <w:szCs w:val="24"/>
        </w:rPr>
        <w:t>及硫化氢</w:t>
      </w:r>
      <w:r>
        <w:rPr>
          <w:rFonts w:ascii="Times New Roman" w:hAnsi="Times New Roman" w:eastAsia="宋体" w:cs="Times New Roman"/>
          <w:szCs w:val="24"/>
        </w:rPr>
        <w:t>计算卫生防护距离初值</w:t>
      </w:r>
      <w:r>
        <w:rPr>
          <w:rFonts w:hint="eastAsia" w:ascii="Times New Roman" w:hAnsi="Times New Roman" w:eastAsia="宋体" w:cs="Times New Roman"/>
          <w:szCs w:val="24"/>
        </w:rPr>
        <w:t>。</w:t>
      </w:r>
    </w:p>
    <w:p w14:paraId="410072D7">
      <w:pPr>
        <w:ind w:firstLine="480" w:firstLineChars="200"/>
        <w:rPr>
          <w:rFonts w:ascii="Times New Roman" w:hAnsi="Times New Roman" w:eastAsia="宋体" w:cs="Times New Roman"/>
          <w:szCs w:val="24"/>
        </w:rPr>
      </w:pPr>
      <w:r>
        <w:rPr>
          <w:rFonts w:ascii="Times New Roman" w:hAnsi="Times New Roman" w:eastAsia="宋体" w:cs="Times New Roman"/>
          <w:szCs w:val="24"/>
        </w:rPr>
        <w:t>卫生防护距离</w:t>
      </w:r>
      <w:r>
        <w:rPr>
          <w:rFonts w:hint="eastAsia" w:ascii="Times New Roman" w:hAnsi="Times New Roman" w:eastAsia="宋体" w:cs="Times New Roman"/>
          <w:szCs w:val="24"/>
        </w:rPr>
        <w:t>计算方法依据</w:t>
      </w:r>
      <w:r>
        <w:rPr>
          <w:rFonts w:ascii="Times New Roman" w:hAnsi="Times New Roman" w:eastAsia="宋体" w:cs="Times New Roman"/>
          <w:szCs w:val="24"/>
        </w:rPr>
        <w:t>《大气有害物质无组织排放卫生防护距离推导技术导则》</w:t>
      </w:r>
      <w:r>
        <w:rPr>
          <w:rFonts w:hint="eastAsia" w:ascii="Times New Roman" w:hAnsi="Times New Roman" w:eastAsia="宋体" w:cs="Times New Roman"/>
          <w:szCs w:val="24"/>
        </w:rPr>
        <w:t>（</w:t>
      </w:r>
      <w:r>
        <w:rPr>
          <w:rFonts w:ascii="Times New Roman" w:hAnsi="Times New Roman" w:eastAsia="宋体" w:cs="Times New Roman"/>
          <w:szCs w:val="24"/>
        </w:rPr>
        <w:t>GB/T39499-2020</w:t>
      </w:r>
      <w:r>
        <w:rPr>
          <w:rFonts w:hint="eastAsia" w:ascii="Times New Roman" w:hAnsi="Times New Roman" w:eastAsia="宋体" w:cs="Times New Roman"/>
          <w:szCs w:val="24"/>
        </w:rPr>
        <w:t>）规定，计算公式如下：</w:t>
      </w:r>
    </w:p>
    <w:p w14:paraId="076A1E67">
      <w:pPr>
        <w:spacing w:line="480" w:lineRule="exact"/>
        <w:ind w:firstLine="480" w:firstLineChars="200"/>
        <w:rPr>
          <w:szCs w:val="24"/>
        </w:rPr>
      </w:pPr>
      <w:r>
        <w:rPr>
          <w:szCs w:val="24"/>
        </w:rPr>
        <w:pict>
          <v:shape id="对象 296" o:spid="_x0000_s1026" o:spt="75" type="#_x0000_t75" style="position:absolute;left:0pt;margin-left:140.3pt;margin-top:0.45pt;height:36.8pt;width:148.25pt;mso-wrap-distance-bottom:0pt;mso-wrap-distance-top:0pt;z-index:251663360;mso-width-relative:page;mso-height-relative:page;" o:ole="t" filled="f" o:preferrelative="t" stroked="f" coordsize="21600,21600">
            <v:path/>
            <v:fill on="f" focussize="0,0"/>
            <v:stroke on="f"/>
            <v:imagedata r:id="rId43" o:title=""/>
            <o:lock v:ext="edit" aspectratio="t"/>
            <w10:wrap type="topAndBottom"/>
          </v:shape>
          <o:OLEObject Type="Embed" ProgID="Equation.3" ShapeID="对象 296" DrawAspect="Content" ObjectID="_1468075737" r:id="rId42">
            <o:LockedField>false</o:LockedField>
          </o:OLEObject>
        </w:pict>
      </w:r>
      <w:r>
        <w:rPr>
          <w:rFonts w:hint="eastAsia"/>
          <w:i/>
          <w:iCs/>
          <w:szCs w:val="24"/>
        </w:rPr>
        <w:t>式中：</w:t>
      </w:r>
      <w:r>
        <w:rPr>
          <w:i/>
          <w:szCs w:val="24"/>
        </w:rPr>
        <w:t>C</w:t>
      </w:r>
      <w:r>
        <w:rPr>
          <w:i/>
          <w:szCs w:val="24"/>
          <w:vertAlign w:val="subscript"/>
        </w:rPr>
        <w:t>m</w:t>
      </w:r>
      <w:r>
        <w:rPr>
          <w:szCs w:val="24"/>
        </w:rPr>
        <w:t>——环境一次浓度标准限值（mg/m</w:t>
      </w:r>
      <w:r>
        <w:rPr>
          <w:szCs w:val="24"/>
          <w:vertAlign w:val="superscript"/>
        </w:rPr>
        <w:t>3</w:t>
      </w:r>
      <w:r>
        <w:rPr>
          <w:szCs w:val="24"/>
        </w:rPr>
        <w:t>）；</w:t>
      </w:r>
    </w:p>
    <w:p w14:paraId="441F1BB2">
      <w:pPr>
        <w:keepNext w:val="0"/>
        <w:keepLines w:val="0"/>
        <w:pageBreakBefore w:val="0"/>
        <w:kinsoku/>
        <w:wordWrap/>
        <w:overflowPunct/>
        <w:topLinePunct w:val="0"/>
        <w:autoSpaceDE/>
        <w:autoSpaceDN/>
        <w:bidi w:val="0"/>
        <w:adjustRightInd/>
        <w:snapToGrid/>
        <w:spacing w:line="440" w:lineRule="exact"/>
        <w:ind w:firstLine="480" w:firstLineChars="200"/>
        <w:contextualSpacing/>
        <w:textAlignment w:val="auto"/>
        <w:rPr>
          <w:szCs w:val="24"/>
        </w:rPr>
      </w:pPr>
      <w:r>
        <w:rPr>
          <w:i/>
          <w:szCs w:val="24"/>
        </w:rPr>
        <w:t>L</w:t>
      </w:r>
      <w:r>
        <w:rPr>
          <w:szCs w:val="24"/>
        </w:rPr>
        <w:t>——工业企业所需的防护距离（m）；</w:t>
      </w:r>
    </w:p>
    <w:p w14:paraId="18E096FC">
      <w:pPr>
        <w:keepNext w:val="0"/>
        <w:keepLines w:val="0"/>
        <w:pageBreakBefore w:val="0"/>
        <w:kinsoku/>
        <w:wordWrap/>
        <w:overflowPunct/>
        <w:topLinePunct w:val="0"/>
        <w:autoSpaceDE/>
        <w:autoSpaceDN/>
        <w:bidi w:val="0"/>
        <w:adjustRightInd/>
        <w:snapToGrid/>
        <w:spacing w:line="440" w:lineRule="exact"/>
        <w:ind w:firstLine="480" w:firstLineChars="200"/>
        <w:contextualSpacing/>
        <w:textAlignment w:val="auto"/>
        <w:rPr>
          <w:szCs w:val="24"/>
        </w:rPr>
      </w:pPr>
      <w:r>
        <w:rPr>
          <w:i/>
          <w:szCs w:val="24"/>
        </w:rPr>
        <w:t>Q</w:t>
      </w:r>
      <w:r>
        <w:rPr>
          <w:i/>
          <w:szCs w:val="24"/>
          <w:vertAlign w:val="subscript"/>
        </w:rPr>
        <w:t>c</w:t>
      </w:r>
      <w:r>
        <w:rPr>
          <w:szCs w:val="24"/>
        </w:rPr>
        <w:t>——有害气体无组织排放量可以达到的控制水平（kg/h）；</w:t>
      </w:r>
    </w:p>
    <w:p w14:paraId="7748D0C2">
      <w:pPr>
        <w:keepNext w:val="0"/>
        <w:keepLines w:val="0"/>
        <w:pageBreakBefore w:val="0"/>
        <w:kinsoku/>
        <w:wordWrap/>
        <w:overflowPunct/>
        <w:topLinePunct w:val="0"/>
        <w:autoSpaceDE/>
        <w:autoSpaceDN/>
        <w:bidi w:val="0"/>
        <w:adjustRightInd/>
        <w:snapToGrid/>
        <w:spacing w:line="440" w:lineRule="exact"/>
        <w:ind w:firstLine="480" w:firstLineChars="200"/>
        <w:contextualSpacing/>
        <w:textAlignment w:val="auto"/>
        <w:rPr>
          <w:szCs w:val="24"/>
        </w:rPr>
      </w:pPr>
      <w:r>
        <w:rPr>
          <w:i/>
          <w:szCs w:val="24"/>
        </w:rPr>
        <w:t>r</w:t>
      </w:r>
      <w:r>
        <w:rPr>
          <w:szCs w:val="24"/>
        </w:rPr>
        <w:t>——有害气体无组织排放源所在生产单元的等效半径（m）；根据生产单元的占地面积S</w:t>
      </w:r>
      <w:r>
        <w:rPr>
          <w:rFonts w:hint="eastAsia"/>
          <w:szCs w:val="24"/>
        </w:rPr>
        <w:t>（</w:t>
      </w:r>
      <w:r>
        <w:rPr>
          <w:szCs w:val="24"/>
        </w:rPr>
        <w:t>m</w:t>
      </w:r>
      <w:r>
        <w:rPr>
          <w:szCs w:val="24"/>
          <w:vertAlign w:val="superscript"/>
        </w:rPr>
        <w:t>2</w:t>
      </w:r>
      <w:r>
        <w:rPr>
          <w:rFonts w:hint="eastAsia"/>
          <w:szCs w:val="24"/>
        </w:rPr>
        <w:t>）</w:t>
      </w:r>
      <w:r>
        <w:rPr>
          <w:szCs w:val="24"/>
        </w:rPr>
        <w:t>计算，r=</w:t>
      </w:r>
      <w:r>
        <w:rPr>
          <w:rFonts w:hint="eastAsia"/>
          <w:szCs w:val="24"/>
        </w:rPr>
        <w:t>（</w:t>
      </w:r>
      <w:r>
        <w:rPr>
          <w:szCs w:val="24"/>
        </w:rPr>
        <w:t>S/</w:t>
      </w:r>
      <w:r>
        <w:rPr>
          <w:szCs w:val="24"/>
        </w:rPr>
        <w:sym w:font="Symbol" w:char="F070"/>
      </w:r>
      <w:r>
        <w:rPr>
          <w:rFonts w:hint="eastAsia"/>
          <w:szCs w:val="24"/>
        </w:rPr>
        <w:t>）</w:t>
      </w:r>
      <w:r>
        <w:rPr>
          <w:szCs w:val="24"/>
          <w:vertAlign w:val="superscript"/>
        </w:rPr>
        <w:t>0.5</w:t>
      </w:r>
      <w:r>
        <w:rPr>
          <w:szCs w:val="24"/>
        </w:rPr>
        <w:t>；</w:t>
      </w:r>
    </w:p>
    <w:p w14:paraId="14A1717A">
      <w:pPr>
        <w:keepNext w:val="0"/>
        <w:keepLines w:val="0"/>
        <w:pageBreakBefore w:val="0"/>
        <w:numPr>
          <w:ilvl w:val="0"/>
          <w:numId w:val="8"/>
        </w:numPr>
        <w:kinsoku/>
        <w:wordWrap/>
        <w:overflowPunct/>
        <w:topLinePunct w:val="0"/>
        <w:autoSpaceDE/>
        <w:autoSpaceDN/>
        <w:bidi w:val="0"/>
        <w:adjustRightInd/>
        <w:snapToGrid/>
        <w:spacing w:line="440" w:lineRule="exact"/>
        <w:ind w:firstLine="720" w:firstLineChars="300"/>
        <w:textAlignment w:val="auto"/>
        <w:rPr>
          <w:szCs w:val="24"/>
        </w:rPr>
      </w:pPr>
      <w:r>
        <w:rPr>
          <w:szCs w:val="24"/>
        </w:rPr>
        <w:t>B、C、D——卫生防护距离计算系数，根据所在地区近5年来平均风速及工业企业大气污染源构成类别</w:t>
      </w:r>
      <w:r>
        <w:rPr>
          <w:rFonts w:hint="eastAsia"/>
          <w:szCs w:val="24"/>
        </w:rPr>
        <w:t>查询。</w:t>
      </w:r>
    </w:p>
    <w:p w14:paraId="43A0F21A">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pPr>
      <w:r>
        <w:rPr>
          <w:rFonts w:hint="eastAsia" w:ascii="Times New Roman" w:hAnsi="Times New Roman" w:cs="Times New Roman"/>
          <w:szCs w:val="24"/>
        </w:rPr>
        <w:t>泗阳</w:t>
      </w:r>
      <w:r>
        <w:rPr>
          <w:rFonts w:ascii="Times New Roman" w:hAnsi="Times New Roman" w:cs="Times New Roman"/>
          <w:szCs w:val="24"/>
        </w:rPr>
        <w:t>地区的平均风速为2.</w:t>
      </w:r>
      <w:r>
        <w:rPr>
          <w:rFonts w:hint="eastAsia" w:ascii="Times New Roman" w:hAnsi="Times New Roman" w:cs="Times New Roman"/>
          <w:szCs w:val="24"/>
        </w:rPr>
        <w:t>0</w:t>
      </w:r>
      <w:r>
        <w:rPr>
          <w:rFonts w:ascii="Times New Roman" w:hAnsi="Times New Roman" w:cs="Times New Roman"/>
          <w:szCs w:val="24"/>
        </w:rPr>
        <w:t>m/s，A、B、C、D值的选取见表5.</w:t>
      </w:r>
      <w:r>
        <w:rPr>
          <w:rFonts w:hint="eastAsia" w:ascii="Times New Roman" w:hAnsi="Times New Roman" w:cs="Times New Roman"/>
          <w:szCs w:val="24"/>
        </w:rPr>
        <w:t>2</w:t>
      </w:r>
      <w:r>
        <w:rPr>
          <w:rFonts w:ascii="Times New Roman" w:hAnsi="Times New Roman" w:cs="Times New Roman"/>
          <w:szCs w:val="24"/>
        </w:rPr>
        <w:t>-</w:t>
      </w:r>
      <w:r>
        <w:rPr>
          <w:rFonts w:hint="eastAsia" w:ascii="Times New Roman" w:hAnsi="Times New Roman" w:cs="Times New Roman"/>
          <w:szCs w:val="24"/>
        </w:rPr>
        <w:t>16</w:t>
      </w:r>
      <w:r>
        <w:rPr>
          <w:rFonts w:ascii="Times New Roman" w:hAnsi="Times New Roman" w:cs="Times New Roman"/>
          <w:szCs w:val="24"/>
        </w:rPr>
        <w:t>；</w:t>
      </w:r>
      <w:r>
        <w:rPr>
          <w:rFonts w:hint="eastAsia"/>
        </w:rPr>
        <w:t>卫生防护距离计算结果见表5.2-1</w:t>
      </w:r>
      <w:r>
        <w:t>7</w:t>
      </w:r>
      <w:r>
        <w:rPr>
          <w:rFonts w:hint="eastAsia"/>
        </w:rPr>
        <w:t>。</w:t>
      </w:r>
    </w:p>
    <w:p w14:paraId="3B8B265D">
      <w:pPr>
        <w:pStyle w:val="31"/>
        <w:keepNext w:val="0"/>
        <w:keepLines w:val="0"/>
        <w:pageBreakBefore w:val="0"/>
        <w:kinsoku/>
        <w:wordWrap/>
        <w:overflowPunct/>
        <w:topLinePunct w:val="0"/>
        <w:autoSpaceDE/>
        <w:autoSpaceDN/>
        <w:bidi w:val="0"/>
        <w:adjustRightInd/>
        <w:snapToGrid/>
        <w:spacing w:before="0" w:line="440" w:lineRule="exact"/>
        <w:textAlignment w:val="auto"/>
      </w:pPr>
      <w:r>
        <w:rPr>
          <w:rFonts w:hint="eastAsia"/>
        </w:rPr>
        <w:t>表</w:t>
      </w:r>
      <w:r>
        <w:t xml:space="preserve">5.2-16  </w:t>
      </w:r>
      <w:r>
        <w:rPr>
          <w:rFonts w:hint="eastAsia"/>
        </w:rPr>
        <w:t>卫生防护距离参数选取</w:t>
      </w:r>
    </w:p>
    <w:tbl>
      <w:tblPr>
        <w:tblStyle w:val="41"/>
        <w:tblW w:w="505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484"/>
        <w:gridCol w:w="684"/>
        <w:gridCol w:w="685"/>
        <w:gridCol w:w="691"/>
        <w:gridCol w:w="684"/>
        <w:gridCol w:w="685"/>
        <w:gridCol w:w="691"/>
        <w:gridCol w:w="685"/>
        <w:gridCol w:w="685"/>
        <w:gridCol w:w="796"/>
      </w:tblGrid>
      <w:tr w14:paraId="66469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pct"/>
            <w:vMerge w:val="restart"/>
            <w:vAlign w:val="center"/>
          </w:tcPr>
          <w:p w14:paraId="27F3A328">
            <w:pPr>
              <w:pStyle w:val="61"/>
              <w:rPr>
                <w:szCs w:val="21"/>
              </w:rPr>
            </w:pPr>
            <w:r>
              <w:rPr>
                <w:szCs w:val="21"/>
              </w:rPr>
              <w:t>卫生防护距离初值计算系数</w:t>
            </w:r>
          </w:p>
        </w:tc>
        <w:tc>
          <w:tcPr>
            <w:tcW w:w="842" w:type="pct"/>
            <w:vMerge w:val="restart"/>
            <w:vAlign w:val="center"/>
          </w:tcPr>
          <w:p w14:paraId="6BFC8A7C">
            <w:pPr>
              <w:pStyle w:val="61"/>
              <w:rPr>
                <w:szCs w:val="21"/>
              </w:rPr>
            </w:pPr>
            <w:r>
              <w:rPr>
                <w:szCs w:val="21"/>
              </w:rPr>
              <w:t>工业企业所在地区近5年平均风速/（m/s）</w:t>
            </w:r>
          </w:p>
        </w:tc>
        <w:tc>
          <w:tcPr>
            <w:tcW w:w="3565" w:type="pct"/>
            <w:gridSpan w:val="9"/>
            <w:vAlign w:val="center"/>
          </w:tcPr>
          <w:p w14:paraId="6E66332B">
            <w:pPr>
              <w:pStyle w:val="61"/>
              <w:rPr>
                <w:szCs w:val="21"/>
              </w:rPr>
            </w:pPr>
            <w:r>
              <w:rPr>
                <w:szCs w:val="21"/>
              </w:rPr>
              <w:t>卫生防护距离</w:t>
            </w:r>
            <w:r>
              <w:rPr>
                <w:i/>
                <w:iCs/>
                <w:szCs w:val="21"/>
              </w:rPr>
              <w:t>L</w:t>
            </w:r>
            <w:r>
              <w:rPr>
                <w:szCs w:val="21"/>
              </w:rPr>
              <w:t>/m</w:t>
            </w:r>
          </w:p>
        </w:tc>
      </w:tr>
      <w:tr w14:paraId="3E275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pct"/>
            <w:vMerge w:val="continue"/>
            <w:vAlign w:val="center"/>
          </w:tcPr>
          <w:p w14:paraId="459BC740">
            <w:pPr>
              <w:pStyle w:val="61"/>
              <w:rPr>
                <w:szCs w:val="21"/>
              </w:rPr>
            </w:pPr>
          </w:p>
        </w:tc>
        <w:tc>
          <w:tcPr>
            <w:tcW w:w="842" w:type="pct"/>
            <w:vMerge w:val="continue"/>
            <w:vAlign w:val="center"/>
          </w:tcPr>
          <w:p w14:paraId="56873510">
            <w:pPr>
              <w:pStyle w:val="61"/>
              <w:rPr>
                <w:szCs w:val="21"/>
              </w:rPr>
            </w:pPr>
          </w:p>
        </w:tc>
        <w:tc>
          <w:tcPr>
            <w:tcW w:w="1169" w:type="pct"/>
            <w:gridSpan w:val="3"/>
            <w:vAlign w:val="center"/>
          </w:tcPr>
          <w:p w14:paraId="37A4A8A8">
            <w:pPr>
              <w:pStyle w:val="61"/>
              <w:rPr>
                <w:szCs w:val="21"/>
              </w:rPr>
            </w:pPr>
            <w:r>
              <w:rPr>
                <w:i/>
                <w:iCs/>
                <w:szCs w:val="21"/>
              </w:rPr>
              <w:t>L</w:t>
            </w:r>
            <w:r>
              <w:rPr>
                <w:szCs w:val="21"/>
              </w:rPr>
              <w:t>≤1000</w:t>
            </w:r>
          </w:p>
        </w:tc>
        <w:tc>
          <w:tcPr>
            <w:tcW w:w="1169" w:type="pct"/>
            <w:gridSpan w:val="3"/>
            <w:vAlign w:val="center"/>
          </w:tcPr>
          <w:p w14:paraId="7189B908">
            <w:pPr>
              <w:pStyle w:val="61"/>
              <w:rPr>
                <w:szCs w:val="21"/>
              </w:rPr>
            </w:pPr>
            <w:r>
              <w:rPr>
                <w:szCs w:val="21"/>
              </w:rPr>
              <w:t>1000&lt;</w:t>
            </w:r>
            <w:r>
              <w:rPr>
                <w:i/>
                <w:iCs/>
                <w:szCs w:val="21"/>
              </w:rPr>
              <w:t>L</w:t>
            </w:r>
            <w:r>
              <w:rPr>
                <w:szCs w:val="21"/>
              </w:rPr>
              <w:t>≤2000</w:t>
            </w:r>
          </w:p>
        </w:tc>
        <w:tc>
          <w:tcPr>
            <w:tcW w:w="1226" w:type="pct"/>
            <w:gridSpan w:val="3"/>
            <w:vAlign w:val="center"/>
          </w:tcPr>
          <w:p w14:paraId="1CA92ACA">
            <w:pPr>
              <w:pStyle w:val="61"/>
              <w:rPr>
                <w:szCs w:val="21"/>
              </w:rPr>
            </w:pPr>
            <w:r>
              <w:rPr>
                <w:i/>
                <w:iCs/>
                <w:szCs w:val="21"/>
              </w:rPr>
              <w:t>L</w:t>
            </w:r>
            <w:r>
              <w:rPr>
                <w:szCs w:val="21"/>
              </w:rPr>
              <w:t xml:space="preserve"> &gt;2000</w:t>
            </w:r>
          </w:p>
        </w:tc>
      </w:tr>
      <w:tr w14:paraId="36F04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pct"/>
            <w:vMerge w:val="continue"/>
            <w:vAlign w:val="center"/>
          </w:tcPr>
          <w:p w14:paraId="76670713">
            <w:pPr>
              <w:pStyle w:val="61"/>
              <w:rPr>
                <w:szCs w:val="21"/>
              </w:rPr>
            </w:pPr>
          </w:p>
        </w:tc>
        <w:tc>
          <w:tcPr>
            <w:tcW w:w="842" w:type="pct"/>
            <w:vMerge w:val="continue"/>
            <w:vAlign w:val="center"/>
          </w:tcPr>
          <w:p w14:paraId="726CF5F9">
            <w:pPr>
              <w:pStyle w:val="61"/>
              <w:rPr>
                <w:szCs w:val="21"/>
              </w:rPr>
            </w:pPr>
          </w:p>
        </w:tc>
        <w:tc>
          <w:tcPr>
            <w:tcW w:w="3565" w:type="pct"/>
            <w:gridSpan w:val="9"/>
            <w:vAlign w:val="center"/>
          </w:tcPr>
          <w:p w14:paraId="6BF9F454">
            <w:pPr>
              <w:pStyle w:val="61"/>
              <w:rPr>
                <w:szCs w:val="21"/>
              </w:rPr>
            </w:pPr>
            <w:r>
              <w:rPr>
                <w:szCs w:val="21"/>
              </w:rPr>
              <w:t>工业企业大气污染源构成类型</w:t>
            </w:r>
          </w:p>
        </w:tc>
      </w:tr>
      <w:tr w14:paraId="73AB1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pct"/>
            <w:vMerge w:val="continue"/>
            <w:vAlign w:val="center"/>
          </w:tcPr>
          <w:p w14:paraId="31321C58">
            <w:pPr>
              <w:pStyle w:val="61"/>
              <w:rPr>
                <w:szCs w:val="21"/>
              </w:rPr>
            </w:pPr>
          </w:p>
        </w:tc>
        <w:tc>
          <w:tcPr>
            <w:tcW w:w="842" w:type="pct"/>
            <w:vMerge w:val="continue"/>
            <w:vAlign w:val="center"/>
          </w:tcPr>
          <w:p w14:paraId="514DD724">
            <w:pPr>
              <w:pStyle w:val="61"/>
              <w:rPr>
                <w:szCs w:val="21"/>
              </w:rPr>
            </w:pPr>
          </w:p>
        </w:tc>
        <w:tc>
          <w:tcPr>
            <w:tcW w:w="388" w:type="pct"/>
            <w:vAlign w:val="center"/>
          </w:tcPr>
          <w:p w14:paraId="02D31869">
            <w:pPr>
              <w:pStyle w:val="61"/>
              <w:rPr>
                <w:szCs w:val="21"/>
              </w:rPr>
            </w:pPr>
            <w:r>
              <w:rPr>
                <w:szCs w:val="21"/>
              </w:rPr>
              <w:t>Ⅰ</w:t>
            </w:r>
          </w:p>
        </w:tc>
        <w:tc>
          <w:tcPr>
            <w:tcW w:w="389" w:type="pct"/>
            <w:vAlign w:val="center"/>
          </w:tcPr>
          <w:p w14:paraId="24DAABC3">
            <w:pPr>
              <w:pStyle w:val="61"/>
              <w:rPr>
                <w:szCs w:val="21"/>
              </w:rPr>
            </w:pPr>
            <w:r>
              <w:rPr>
                <w:szCs w:val="21"/>
              </w:rPr>
              <w:t>Ⅱ</w:t>
            </w:r>
          </w:p>
        </w:tc>
        <w:tc>
          <w:tcPr>
            <w:tcW w:w="390" w:type="pct"/>
            <w:vAlign w:val="center"/>
          </w:tcPr>
          <w:p w14:paraId="4675F994">
            <w:pPr>
              <w:pStyle w:val="61"/>
              <w:rPr>
                <w:szCs w:val="21"/>
              </w:rPr>
            </w:pPr>
            <w:r>
              <w:rPr>
                <w:szCs w:val="21"/>
              </w:rPr>
              <w:t>Ⅲ</w:t>
            </w:r>
          </w:p>
        </w:tc>
        <w:tc>
          <w:tcPr>
            <w:tcW w:w="388" w:type="pct"/>
            <w:vAlign w:val="center"/>
          </w:tcPr>
          <w:p w14:paraId="04F2DFDB">
            <w:pPr>
              <w:pStyle w:val="61"/>
              <w:rPr>
                <w:szCs w:val="21"/>
              </w:rPr>
            </w:pPr>
            <w:r>
              <w:rPr>
                <w:szCs w:val="21"/>
              </w:rPr>
              <w:t>Ⅰ</w:t>
            </w:r>
          </w:p>
        </w:tc>
        <w:tc>
          <w:tcPr>
            <w:tcW w:w="389" w:type="pct"/>
            <w:vAlign w:val="center"/>
          </w:tcPr>
          <w:p w14:paraId="414DA0DC">
            <w:pPr>
              <w:pStyle w:val="61"/>
              <w:rPr>
                <w:szCs w:val="21"/>
              </w:rPr>
            </w:pPr>
            <w:r>
              <w:rPr>
                <w:szCs w:val="21"/>
              </w:rPr>
              <w:t>Ⅱ</w:t>
            </w:r>
          </w:p>
        </w:tc>
        <w:tc>
          <w:tcPr>
            <w:tcW w:w="390" w:type="pct"/>
            <w:vAlign w:val="center"/>
          </w:tcPr>
          <w:p w14:paraId="07F87F1B">
            <w:pPr>
              <w:pStyle w:val="61"/>
              <w:rPr>
                <w:szCs w:val="21"/>
              </w:rPr>
            </w:pPr>
            <w:r>
              <w:rPr>
                <w:szCs w:val="21"/>
              </w:rPr>
              <w:t>Ⅲ</w:t>
            </w:r>
          </w:p>
        </w:tc>
        <w:tc>
          <w:tcPr>
            <w:tcW w:w="389" w:type="pct"/>
            <w:vAlign w:val="center"/>
          </w:tcPr>
          <w:p w14:paraId="60850A41">
            <w:pPr>
              <w:pStyle w:val="61"/>
              <w:rPr>
                <w:szCs w:val="21"/>
              </w:rPr>
            </w:pPr>
            <w:r>
              <w:rPr>
                <w:szCs w:val="21"/>
              </w:rPr>
              <w:t>Ⅰ</w:t>
            </w:r>
          </w:p>
        </w:tc>
        <w:tc>
          <w:tcPr>
            <w:tcW w:w="389" w:type="pct"/>
            <w:vAlign w:val="center"/>
          </w:tcPr>
          <w:p w14:paraId="22C9F001">
            <w:pPr>
              <w:pStyle w:val="61"/>
              <w:rPr>
                <w:szCs w:val="21"/>
              </w:rPr>
            </w:pPr>
            <w:r>
              <w:rPr>
                <w:szCs w:val="21"/>
              </w:rPr>
              <w:t>Ⅱ</w:t>
            </w:r>
          </w:p>
        </w:tc>
        <w:tc>
          <w:tcPr>
            <w:tcW w:w="447" w:type="pct"/>
            <w:vAlign w:val="center"/>
          </w:tcPr>
          <w:p w14:paraId="59FF03A3">
            <w:pPr>
              <w:pStyle w:val="61"/>
              <w:rPr>
                <w:szCs w:val="21"/>
              </w:rPr>
            </w:pPr>
            <w:r>
              <w:rPr>
                <w:szCs w:val="21"/>
              </w:rPr>
              <w:t>Ⅲ</w:t>
            </w:r>
          </w:p>
        </w:tc>
      </w:tr>
      <w:tr w14:paraId="1ACFD1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pct"/>
            <w:vAlign w:val="center"/>
          </w:tcPr>
          <w:p w14:paraId="6C6C3954">
            <w:pPr>
              <w:pStyle w:val="61"/>
              <w:rPr>
                <w:szCs w:val="21"/>
              </w:rPr>
            </w:pPr>
            <w:r>
              <w:rPr>
                <w:szCs w:val="21"/>
              </w:rPr>
              <w:t>A</w:t>
            </w:r>
          </w:p>
        </w:tc>
        <w:tc>
          <w:tcPr>
            <w:tcW w:w="842" w:type="pct"/>
            <w:vAlign w:val="center"/>
          </w:tcPr>
          <w:p w14:paraId="2CBC75F4">
            <w:pPr>
              <w:pStyle w:val="61"/>
              <w:rPr>
                <w:szCs w:val="21"/>
              </w:rPr>
            </w:pPr>
            <w:r>
              <w:rPr>
                <w:szCs w:val="21"/>
              </w:rPr>
              <w:t>&lt;2</w:t>
            </w:r>
          </w:p>
          <w:p w14:paraId="5E5AEB48">
            <w:pPr>
              <w:pStyle w:val="61"/>
              <w:rPr>
                <w:szCs w:val="21"/>
              </w:rPr>
            </w:pPr>
            <w:r>
              <w:rPr>
                <w:szCs w:val="21"/>
              </w:rPr>
              <w:t>2~4</w:t>
            </w:r>
          </w:p>
          <w:p w14:paraId="6041C20F">
            <w:pPr>
              <w:pStyle w:val="61"/>
              <w:rPr>
                <w:szCs w:val="21"/>
              </w:rPr>
            </w:pPr>
            <w:r>
              <w:rPr>
                <w:szCs w:val="21"/>
              </w:rPr>
              <w:t>&gt;4</w:t>
            </w:r>
          </w:p>
        </w:tc>
        <w:tc>
          <w:tcPr>
            <w:tcW w:w="388" w:type="pct"/>
            <w:vAlign w:val="center"/>
          </w:tcPr>
          <w:p w14:paraId="244A7F72">
            <w:pPr>
              <w:pStyle w:val="61"/>
              <w:rPr>
                <w:szCs w:val="21"/>
              </w:rPr>
            </w:pPr>
            <w:r>
              <w:rPr>
                <w:szCs w:val="21"/>
              </w:rPr>
              <w:t>400</w:t>
            </w:r>
          </w:p>
          <w:p w14:paraId="5F0F88CF">
            <w:pPr>
              <w:pStyle w:val="61"/>
              <w:rPr>
                <w:szCs w:val="21"/>
              </w:rPr>
            </w:pPr>
            <w:r>
              <w:rPr>
                <w:szCs w:val="21"/>
              </w:rPr>
              <w:t>700</w:t>
            </w:r>
          </w:p>
          <w:p w14:paraId="7C49554C">
            <w:pPr>
              <w:pStyle w:val="61"/>
              <w:rPr>
                <w:szCs w:val="21"/>
              </w:rPr>
            </w:pPr>
            <w:r>
              <w:rPr>
                <w:szCs w:val="21"/>
              </w:rPr>
              <w:t>530</w:t>
            </w:r>
          </w:p>
        </w:tc>
        <w:tc>
          <w:tcPr>
            <w:tcW w:w="389" w:type="pct"/>
            <w:vAlign w:val="center"/>
          </w:tcPr>
          <w:p w14:paraId="0C4A5D9D">
            <w:pPr>
              <w:pStyle w:val="61"/>
              <w:rPr>
                <w:szCs w:val="21"/>
              </w:rPr>
            </w:pPr>
            <w:r>
              <w:rPr>
                <w:szCs w:val="21"/>
              </w:rPr>
              <w:t>400</w:t>
            </w:r>
          </w:p>
          <w:p w14:paraId="48491723">
            <w:pPr>
              <w:pStyle w:val="61"/>
              <w:rPr>
                <w:szCs w:val="21"/>
              </w:rPr>
            </w:pPr>
            <w:r>
              <w:rPr>
                <w:szCs w:val="21"/>
              </w:rPr>
              <w:t>470</w:t>
            </w:r>
          </w:p>
          <w:p w14:paraId="0547552F">
            <w:pPr>
              <w:pStyle w:val="61"/>
              <w:rPr>
                <w:szCs w:val="21"/>
              </w:rPr>
            </w:pPr>
            <w:r>
              <w:rPr>
                <w:szCs w:val="21"/>
              </w:rPr>
              <w:t>350</w:t>
            </w:r>
          </w:p>
        </w:tc>
        <w:tc>
          <w:tcPr>
            <w:tcW w:w="390" w:type="pct"/>
            <w:vAlign w:val="center"/>
          </w:tcPr>
          <w:p w14:paraId="3FE86A55">
            <w:pPr>
              <w:pStyle w:val="61"/>
              <w:rPr>
                <w:szCs w:val="21"/>
              </w:rPr>
            </w:pPr>
            <w:r>
              <w:rPr>
                <w:szCs w:val="21"/>
              </w:rPr>
              <w:t>400</w:t>
            </w:r>
          </w:p>
          <w:p w14:paraId="471F1E57">
            <w:pPr>
              <w:pStyle w:val="61"/>
              <w:rPr>
                <w:szCs w:val="21"/>
              </w:rPr>
            </w:pPr>
            <w:r>
              <w:rPr>
                <w:szCs w:val="21"/>
              </w:rPr>
              <w:t>350</w:t>
            </w:r>
          </w:p>
          <w:p w14:paraId="5DEB618C">
            <w:pPr>
              <w:pStyle w:val="61"/>
              <w:rPr>
                <w:szCs w:val="21"/>
              </w:rPr>
            </w:pPr>
            <w:r>
              <w:rPr>
                <w:szCs w:val="21"/>
              </w:rPr>
              <w:t>260</w:t>
            </w:r>
          </w:p>
        </w:tc>
        <w:tc>
          <w:tcPr>
            <w:tcW w:w="388" w:type="pct"/>
            <w:vAlign w:val="center"/>
          </w:tcPr>
          <w:p w14:paraId="29C14F64">
            <w:pPr>
              <w:pStyle w:val="61"/>
              <w:rPr>
                <w:szCs w:val="21"/>
              </w:rPr>
            </w:pPr>
            <w:r>
              <w:rPr>
                <w:szCs w:val="21"/>
              </w:rPr>
              <w:t>400</w:t>
            </w:r>
          </w:p>
          <w:p w14:paraId="1464C926">
            <w:pPr>
              <w:pStyle w:val="61"/>
              <w:rPr>
                <w:szCs w:val="21"/>
              </w:rPr>
            </w:pPr>
            <w:r>
              <w:rPr>
                <w:szCs w:val="21"/>
              </w:rPr>
              <w:t>700</w:t>
            </w:r>
          </w:p>
          <w:p w14:paraId="79103B98">
            <w:pPr>
              <w:pStyle w:val="61"/>
              <w:rPr>
                <w:szCs w:val="21"/>
              </w:rPr>
            </w:pPr>
            <w:r>
              <w:rPr>
                <w:szCs w:val="21"/>
              </w:rPr>
              <w:t>530</w:t>
            </w:r>
          </w:p>
        </w:tc>
        <w:tc>
          <w:tcPr>
            <w:tcW w:w="389" w:type="pct"/>
            <w:vAlign w:val="center"/>
          </w:tcPr>
          <w:p w14:paraId="34510041">
            <w:pPr>
              <w:pStyle w:val="61"/>
              <w:rPr>
                <w:szCs w:val="21"/>
              </w:rPr>
            </w:pPr>
            <w:r>
              <w:rPr>
                <w:szCs w:val="21"/>
              </w:rPr>
              <w:t>400</w:t>
            </w:r>
          </w:p>
          <w:p w14:paraId="366DD6A4">
            <w:pPr>
              <w:pStyle w:val="61"/>
              <w:rPr>
                <w:szCs w:val="21"/>
              </w:rPr>
            </w:pPr>
            <w:r>
              <w:rPr>
                <w:szCs w:val="21"/>
              </w:rPr>
              <w:t>470</w:t>
            </w:r>
          </w:p>
          <w:p w14:paraId="537727DF">
            <w:pPr>
              <w:pStyle w:val="61"/>
              <w:rPr>
                <w:szCs w:val="21"/>
              </w:rPr>
            </w:pPr>
            <w:r>
              <w:rPr>
                <w:szCs w:val="21"/>
              </w:rPr>
              <w:t>350</w:t>
            </w:r>
          </w:p>
        </w:tc>
        <w:tc>
          <w:tcPr>
            <w:tcW w:w="390" w:type="pct"/>
            <w:vAlign w:val="center"/>
          </w:tcPr>
          <w:p w14:paraId="549D1DA7">
            <w:pPr>
              <w:pStyle w:val="61"/>
              <w:rPr>
                <w:szCs w:val="21"/>
              </w:rPr>
            </w:pPr>
            <w:r>
              <w:rPr>
                <w:szCs w:val="21"/>
              </w:rPr>
              <w:t>400</w:t>
            </w:r>
          </w:p>
          <w:p w14:paraId="06D7352B">
            <w:pPr>
              <w:pStyle w:val="61"/>
              <w:rPr>
                <w:szCs w:val="21"/>
              </w:rPr>
            </w:pPr>
            <w:r>
              <w:rPr>
                <w:szCs w:val="21"/>
              </w:rPr>
              <w:t>350</w:t>
            </w:r>
          </w:p>
          <w:p w14:paraId="45D904F7">
            <w:pPr>
              <w:pStyle w:val="61"/>
              <w:rPr>
                <w:szCs w:val="21"/>
              </w:rPr>
            </w:pPr>
            <w:r>
              <w:rPr>
                <w:szCs w:val="21"/>
              </w:rPr>
              <w:t>260</w:t>
            </w:r>
          </w:p>
        </w:tc>
        <w:tc>
          <w:tcPr>
            <w:tcW w:w="389" w:type="pct"/>
            <w:vAlign w:val="center"/>
          </w:tcPr>
          <w:p w14:paraId="31823381">
            <w:pPr>
              <w:pStyle w:val="61"/>
              <w:rPr>
                <w:szCs w:val="21"/>
              </w:rPr>
            </w:pPr>
            <w:r>
              <w:rPr>
                <w:szCs w:val="21"/>
              </w:rPr>
              <w:t>80</w:t>
            </w:r>
          </w:p>
          <w:p w14:paraId="3B2FC9EE">
            <w:pPr>
              <w:pStyle w:val="61"/>
              <w:rPr>
                <w:szCs w:val="21"/>
              </w:rPr>
            </w:pPr>
            <w:r>
              <w:rPr>
                <w:szCs w:val="21"/>
              </w:rPr>
              <w:t>380</w:t>
            </w:r>
          </w:p>
          <w:p w14:paraId="3CE5F2C2">
            <w:pPr>
              <w:pStyle w:val="61"/>
              <w:rPr>
                <w:szCs w:val="21"/>
              </w:rPr>
            </w:pPr>
            <w:r>
              <w:rPr>
                <w:szCs w:val="21"/>
              </w:rPr>
              <w:t>290</w:t>
            </w:r>
          </w:p>
        </w:tc>
        <w:tc>
          <w:tcPr>
            <w:tcW w:w="389" w:type="pct"/>
            <w:vAlign w:val="center"/>
          </w:tcPr>
          <w:p w14:paraId="3E549611">
            <w:pPr>
              <w:pStyle w:val="61"/>
              <w:rPr>
                <w:szCs w:val="21"/>
              </w:rPr>
            </w:pPr>
            <w:r>
              <w:rPr>
                <w:szCs w:val="21"/>
              </w:rPr>
              <w:t>80</w:t>
            </w:r>
          </w:p>
          <w:p w14:paraId="72D6CCAF">
            <w:pPr>
              <w:pStyle w:val="61"/>
              <w:rPr>
                <w:szCs w:val="21"/>
              </w:rPr>
            </w:pPr>
            <w:r>
              <w:rPr>
                <w:szCs w:val="21"/>
              </w:rPr>
              <w:t>250</w:t>
            </w:r>
          </w:p>
          <w:p w14:paraId="45E77DAD">
            <w:pPr>
              <w:pStyle w:val="61"/>
              <w:rPr>
                <w:szCs w:val="21"/>
              </w:rPr>
            </w:pPr>
            <w:r>
              <w:rPr>
                <w:szCs w:val="21"/>
              </w:rPr>
              <w:t>190</w:t>
            </w:r>
          </w:p>
        </w:tc>
        <w:tc>
          <w:tcPr>
            <w:tcW w:w="447" w:type="pct"/>
            <w:vAlign w:val="center"/>
          </w:tcPr>
          <w:p w14:paraId="1B53CAC7">
            <w:pPr>
              <w:pStyle w:val="61"/>
              <w:rPr>
                <w:szCs w:val="21"/>
              </w:rPr>
            </w:pPr>
            <w:r>
              <w:rPr>
                <w:szCs w:val="21"/>
              </w:rPr>
              <w:t>80</w:t>
            </w:r>
          </w:p>
          <w:p w14:paraId="00444036">
            <w:pPr>
              <w:pStyle w:val="61"/>
              <w:rPr>
                <w:szCs w:val="21"/>
              </w:rPr>
            </w:pPr>
            <w:r>
              <w:rPr>
                <w:szCs w:val="21"/>
              </w:rPr>
              <w:t>190</w:t>
            </w:r>
          </w:p>
          <w:p w14:paraId="7B97203E">
            <w:pPr>
              <w:pStyle w:val="61"/>
              <w:rPr>
                <w:szCs w:val="21"/>
              </w:rPr>
            </w:pPr>
            <w:r>
              <w:rPr>
                <w:szCs w:val="21"/>
              </w:rPr>
              <w:t>110</w:t>
            </w:r>
          </w:p>
        </w:tc>
      </w:tr>
      <w:tr w14:paraId="1BAEB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pct"/>
            <w:vAlign w:val="center"/>
          </w:tcPr>
          <w:p w14:paraId="7A373A03">
            <w:pPr>
              <w:pStyle w:val="61"/>
              <w:rPr>
                <w:szCs w:val="21"/>
              </w:rPr>
            </w:pPr>
            <w:r>
              <w:rPr>
                <w:szCs w:val="21"/>
              </w:rPr>
              <w:t>B</w:t>
            </w:r>
          </w:p>
        </w:tc>
        <w:tc>
          <w:tcPr>
            <w:tcW w:w="842" w:type="pct"/>
            <w:vAlign w:val="center"/>
          </w:tcPr>
          <w:p w14:paraId="5AA2A6A6">
            <w:pPr>
              <w:pStyle w:val="61"/>
              <w:rPr>
                <w:szCs w:val="21"/>
              </w:rPr>
            </w:pPr>
            <w:r>
              <w:rPr>
                <w:szCs w:val="21"/>
              </w:rPr>
              <w:t>&lt;2</w:t>
            </w:r>
          </w:p>
          <w:p w14:paraId="57A77111">
            <w:pPr>
              <w:pStyle w:val="61"/>
              <w:rPr>
                <w:szCs w:val="21"/>
              </w:rPr>
            </w:pPr>
            <w:r>
              <w:rPr>
                <w:szCs w:val="21"/>
              </w:rPr>
              <w:t>&gt;2</w:t>
            </w:r>
          </w:p>
        </w:tc>
        <w:tc>
          <w:tcPr>
            <w:tcW w:w="1169" w:type="pct"/>
            <w:gridSpan w:val="3"/>
            <w:vAlign w:val="center"/>
          </w:tcPr>
          <w:p w14:paraId="18EECE04">
            <w:pPr>
              <w:pStyle w:val="61"/>
              <w:rPr>
                <w:szCs w:val="21"/>
              </w:rPr>
            </w:pPr>
            <w:r>
              <w:rPr>
                <w:szCs w:val="21"/>
              </w:rPr>
              <w:t>0.01</w:t>
            </w:r>
          </w:p>
          <w:p w14:paraId="43D25A6D">
            <w:pPr>
              <w:pStyle w:val="61"/>
              <w:rPr>
                <w:szCs w:val="21"/>
              </w:rPr>
            </w:pPr>
            <w:r>
              <w:rPr>
                <w:szCs w:val="21"/>
              </w:rPr>
              <w:t>0.021</w:t>
            </w:r>
          </w:p>
        </w:tc>
        <w:tc>
          <w:tcPr>
            <w:tcW w:w="1169" w:type="pct"/>
            <w:gridSpan w:val="3"/>
            <w:vAlign w:val="center"/>
          </w:tcPr>
          <w:p w14:paraId="5FF0E835">
            <w:pPr>
              <w:pStyle w:val="61"/>
              <w:rPr>
                <w:szCs w:val="21"/>
              </w:rPr>
            </w:pPr>
            <w:r>
              <w:rPr>
                <w:szCs w:val="21"/>
              </w:rPr>
              <w:t>0.015</w:t>
            </w:r>
          </w:p>
          <w:p w14:paraId="1A9B9C66">
            <w:pPr>
              <w:pStyle w:val="61"/>
              <w:rPr>
                <w:szCs w:val="21"/>
              </w:rPr>
            </w:pPr>
            <w:r>
              <w:rPr>
                <w:szCs w:val="21"/>
              </w:rPr>
              <w:t>0.036</w:t>
            </w:r>
          </w:p>
        </w:tc>
        <w:tc>
          <w:tcPr>
            <w:tcW w:w="1226" w:type="pct"/>
            <w:gridSpan w:val="3"/>
            <w:vAlign w:val="center"/>
          </w:tcPr>
          <w:p w14:paraId="082824AB">
            <w:pPr>
              <w:pStyle w:val="61"/>
              <w:rPr>
                <w:szCs w:val="21"/>
              </w:rPr>
            </w:pPr>
            <w:r>
              <w:rPr>
                <w:szCs w:val="21"/>
              </w:rPr>
              <w:t>0.015</w:t>
            </w:r>
          </w:p>
          <w:p w14:paraId="739D3853">
            <w:pPr>
              <w:pStyle w:val="61"/>
              <w:rPr>
                <w:szCs w:val="21"/>
              </w:rPr>
            </w:pPr>
            <w:r>
              <w:rPr>
                <w:szCs w:val="21"/>
              </w:rPr>
              <w:t>0.036</w:t>
            </w:r>
          </w:p>
        </w:tc>
      </w:tr>
      <w:tr w14:paraId="363ADA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pct"/>
            <w:vAlign w:val="center"/>
          </w:tcPr>
          <w:p w14:paraId="41D22720">
            <w:pPr>
              <w:pStyle w:val="61"/>
              <w:rPr>
                <w:szCs w:val="21"/>
              </w:rPr>
            </w:pPr>
            <w:r>
              <w:rPr>
                <w:szCs w:val="21"/>
              </w:rPr>
              <w:t>C</w:t>
            </w:r>
          </w:p>
        </w:tc>
        <w:tc>
          <w:tcPr>
            <w:tcW w:w="842" w:type="pct"/>
            <w:vAlign w:val="center"/>
          </w:tcPr>
          <w:p w14:paraId="09A53229">
            <w:pPr>
              <w:pStyle w:val="61"/>
              <w:rPr>
                <w:szCs w:val="21"/>
              </w:rPr>
            </w:pPr>
            <w:r>
              <w:rPr>
                <w:szCs w:val="21"/>
              </w:rPr>
              <w:t>&lt;2</w:t>
            </w:r>
          </w:p>
          <w:p w14:paraId="7C390A29">
            <w:pPr>
              <w:pStyle w:val="61"/>
              <w:rPr>
                <w:szCs w:val="21"/>
              </w:rPr>
            </w:pPr>
            <w:r>
              <w:rPr>
                <w:szCs w:val="21"/>
              </w:rPr>
              <w:t>&gt;2</w:t>
            </w:r>
          </w:p>
        </w:tc>
        <w:tc>
          <w:tcPr>
            <w:tcW w:w="1169" w:type="pct"/>
            <w:gridSpan w:val="3"/>
            <w:vAlign w:val="center"/>
          </w:tcPr>
          <w:p w14:paraId="0F00ADC0">
            <w:pPr>
              <w:pStyle w:val="61"/>
              <w:rPr>
                <w:szCs w:val="21"/>
              </w:rPr>
            </w:pPr>
            <w:r>
              <w:rPr>
                <w:szCs w:val="21"/>
              </w:rPr>
              <w:t>1.85</w:t>
            </w:r>
          </w:p>
          <w:p w14:paraId="59326DD9">
            <w:pPr>
              <w:pStyle w:val="61"/>
              <w:rPr>
                <w:szCs w:val="21"/>
              </w:rPr>
            </w:pPr>
            <w:r>
              <w:rPr>
                <w:szCs w:val="21"/>
              </w:rPr>
              <w:t>1.85</w:t>
            </w:r>
          </w:p>
        </w:tc>
        <w:tc>
          <w:tcPr>
            <w:tcW w:w="1169" w:type="pct"/>
            <w:gridSpan w:val="3"/>
            <w:vAlign w:val="center"/>
          </w:tcPr>
          <w:p w14:paraId="2B183C4F">
            <w:pPr>
              <w:pStyle w:val="61"/>
              <w:rPr>
                <w:szCs w:val="21"/>
              </w:rPr>
            </w:pPr>
            <w:r>
              <w:rPr>
                <w:szCs w:val="21"/>
              </w:rPr>
              <w:t>1.79</w:t>
            </w:r>
          </w:p>
          <w:p w14:paraId="03E3D0A9">
            <w:pPr>
              <w:pStyle w:val="61"/>
              <w:rPr>
                <w:szCs w:val="21"/>
              </w:rPr>
            </w:pPr>
            <w:r>
              <w:rPr>
                <w:szCs w:val="21"/>
              </w:rPr>
              <w:t>1.77</w:t>
            </w:r>
          </w:p>
        </w:tc>
        <w:tc>
          <w:tcPr>
            <w:tcW w:w="1226" w:type="pct"/>
            <w:gridSpan w:val="3"/>
            <w:vAlign w:val="center"/>
          </w:tcPr>
          <w:p w14:paraId="6D856227">
            <w:pPr>
              <w:pStyle w:val="61"/>
              <w:rPr>
                <w:szCs w:val="21"/>
              </w:rPr>
            </w:pPr>
            <w:r>
              <w:rPr>
                <w:szCs w:val="21"/>
              </w:rPr>
              <w:t>1.79</w:t>
            </w:r>
          </w:p>
          <w:p w14:paraId="4809DC61">
            <w:pPr>
              <w:pStyle w:val="61"/>
              <w:rPr>
                <w:szCs w:val="21"/>
              </w:rPr>
            </w:pPr>
            <w:r>
              <w:rPr>
                <w:szCs w:val="21"/>
              </w:rPr>
              <w:t>1.77</w:t>
            </w:r>
          </w:p>
        </w:tc>
      </w:tr>
      <w:tr w14:paraId="47762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pct"/>
            <w:vAlign w:val="center"/>
          </w:tcPr>
          <w:p w14:paraId="04CE5686">
            <w:pPr>
              <w:pStyle w:val="61"/>
              <w:rPr>
                <w:szCs w:val="21"/>
              </w:rPr>
            </w:pPr>
            <w:r>
              <w:rPr>
                <w:szCs w:val="21"/>
              </w:rPr>
              <w:t>D</w:t>
            </w:r>
          </w:p>
        </w:tc>
        <w:tc>
          <w:tcPr>
            <w:tcW w:w="842" w:type="pct"/>
            <w:vAlign w:val="center"/>
          </w:tcPr>
          <w:p w14:paraId="6F3C7B1D">
            <w:pPr>
              <w:pStyle w:val="61"/>
              <w:rPr>
                <w:szCs w:val="21"/>
              </w:rPr>
            </w:pPr>
            <w:r>
              <w:rPr>
                <w:szCs w:val="21"/>
              </w:rPr>
              <w:t>&lt;2</w:t>
            </w:r>
          </w:p>
          <w:p w14:paraId="0F99F566">
            <w:pPr>
              <w:pStyle w:val="61"/>
              <w:rPr>
                <w:szCs w:val="21"/>
              </w:rPr>
            </w:pPr>
            <w:r>
              <w:rPr>
                <w:szCs w:val="21"/>
              </w:rPr>
              <w:t>&gt;2</w:t>
            </w:r>
          </w:p>
        </w:tc>
        <w:tc>
          <w:tcPr>
            <w:tcW w:w="1169" w:type="pct"/>
            <w:gridSpan w:val="3"/>
            <w:vAlign w:val="center"/>
          </w:tcPr>
          <w:p w14:paraId="3E064EC3">
            <w:pPr>
              <w:pStyle w:val="61"/>
              <w:rPr>
                <w:szCs w:val="21"/>
              </w:rPr>
            </w:pPr>
            <w:r>
              <w:rPr>
                <w:szCs w:val="21"/>
              </w:rPr>
              <w:t>0.78</w:t>
            </w:r>
          </w:p>
          <w:p w14:paraId="147CD132">
            <w:pPr>
              <w:pStyle w:val="61"/>
              <w:rPr>
                <w:szCs w:val="21"/>
              </w:rPr>
            </w:pPr>
            <w:r>
              <w:rPr>
                <w:szCs w:val="21"/>
              </w:rPr>
              <w:t>0.84</w:t>
            </w:r>
          </w:p>
        </w:tc>
        <w:tc>
          <w:tcPr>
            <w:tcW w:w="1169" w:type="pct"/>
            <w:gridSpan w:val="3"/>
            <w:vAlign w:val="center"/>
          </w:tcPr>
          <w:p w14:paraId="47406E13">
            <w:pPr>
              <w:pStyle w:val="61"/>
              <w:rPr>
                <w:szCs w:val="21"/>
              </w:rPr>
            </w:pPr>
            <w:r>
              <w:rPr>
                <w:szCs w:val="21"/>
              </w:rPr>
              <w:t>0.78</w:t>
            </w:r>
          </w:p>
          <w:p w14:paraId="126C042F">
            <w:pPr>
              <w:pStyle w:val="61"/>
              <w:rPr>
                <w:szCs w:val="21"/>
              </w:rPr>
            </w:pPr>
            <w:r>
              <w:rPr>
                <w:szCs w:val="21"/>
              </w:rPr>
              <w:t>0.84</w:t>
            </w:r>
          </w:p>
        </w:tc>
        <w:tc>
          <w:tcPr>
            <w:tcW w:w="1226" w:type="pct"/>
            <w:gridSpan w:val="3"/>
            <w:vAlign w:val="center"/>
          </w:tcPr>
          <w:p w14:paraId="14BCBDB4">
            <w:pPr>
              <w:pStyle w:val="61"/>
              <w:rPr>
                <w:szCs w:val="21"/>
              </w:rPr>
            </w:pPr>
            <w:r>
              <w:rPr>
                <w:szCs w:val="21"/>
              </w:rPr>
              <w:t>0.57</w:t>
            </w:r>
          </w:p>
          <w:p w14:paraId="0965E606">
            <w:pPr>
              <w:pStyle w:val="61"/>
              <w:rPr>
                <w:szCs w:val="21"/>
              </w:rPr>
            </w:pPr>
            <w:r>
              <w:rPr>
                <w:szCs w:val="21"/>
              </w:rPr>
              <w:t>0.76</w:t>
            </w:r>
          </w:p>
        </w:tc>
      </w:tr>
      <w:tr w14:paraId="34B522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1"/>
            <w:vAlign w:val="center"/>
          </w:tcPr>
          <w:p w14:paraId="72273206">
            <w:pPr>
              <w:pStyle w:val="11"/>
              <w:spacing w:line="320" w:lineRule="exact"/>
              <w:ind w:firstLine="0" w:firstLineChars="0"/>
              <w:jc w:val="left"/>
              <w:rPr>
                <w:rFonts w:eastAsia="宋体" w:cs="Times New Roman"/>
                <w:sz w:val="18"/>
                <w:szCs w:val="18"/>
              </w:rPr>
            </w:pPr>
            <w:r>
              <w:rPr>
                <w:rFonts w:eastAsia="宋体" w:cs="Times New Roman"/>
                <w:sz w:val="18"/>
                <w:szCs w:val="18"/>
              </w:rPr>
              <w:t>注:工业企业大气污染源构成分为三类:</w:t>
            </w:r>
          </w:p>
          <w:p w14:paraId="4348FC81">
            <w:pPr>
              <w:pStyle w:val="11"/>
              <w:spacing w:line="320" w:lineRule="exact"/>
              <w:ind w:firstLine="0" w:firstLineChars="0"/>
              <w:jc w:val="left"/>
              <w:rPr>
                <w:rFonts w:eastAsia="宋体" w:cs="Times New Roman"/>
                <w:sz w:val="18"/>
                <w:szCs w:val="18"/>
              </w:rPr>
            </w:pPr>
            <w:r>
              <w:rPr>
                <w:rFonts w:eastAsia="宋体" w:cs="Times New Roman"/>
                <w:sz w:val="18"/>
                <w:szCs w:val="18"/>
              </w:rPr>
              <w:t>Ⅰ类:与无组织排放源共存的排放同种有害气体的排气筒的排放量</w:t>
            </w:r>
            <w:r>
              <w:rPr>
                <w:rFonts w:hint="eastAsia" w:eastAsia="宋体" w:cs="Times New Roman"/>
                <w:sz w:val="18"/>
                <w:szCs w:val="18"/>
              </w:rPr>
              <w:t>，</w:t>
            </w:r>
            <w:r>
              <w:rPr>
                <w:rFonts w:eastAsia="宋体" w:cs="Times New Roman"/>
                <w:sz w:val="18"/>
                <w:szCs w:val="18"/>
              </w:rPr>
              <w:t>大于标准规定的允许排放量的三分之一者。</w:t>
            </w:r>
          </w:p>
          <w:p w14:paraId="282EAD34">
            <w:pPr>
              <w:pStyle w:val="11"/>
              <w:spacing w:line="320" w:lineRule="exact"/>
              <w:ind w:firstLine="0" w:firstLineChars="0"/>
              <w:jc w:val="left"/>
              <w:rPr>
                <w:rFonts w:eastAsia="宋体" w:cs="Times New Roman"/>
                <w:sz w:val="18"/>
                <w:szCs w:val="18"/>
              </w:rPr>
            </w:pPr>
            <w:r>
              <w:rPr>
                <w:rFonts w:eastAsia="宋体" w:cs="Times New Roman"/>
                <w:sz w:val="18"/>
                <w:szCs w:val="18"/>
              </w:rPr>
              <w:t>Ⅱ类:与无组织排放源共存的排放同种有害气体的排气筒的排放量</w:t>
            </w:r>
            <w:r>
              <w:rPr>
                <w:rFonts w:hint="eastAsia" w:eastAsia="宋体" w:cs="Times New Roman"/>
                <w:sz w:val="18"/>
                <w:szCs w:val="18"/>
              </w:rPr>
              <w:t>，</w:t>
            </w:r>
            <w:r>
              <w:rPr>
                <w:rFonts w:eastAsia="宋体" w:cs="Times New Roman"/>
                <w:sz w:val="18"/>
                <w:szCs w:val="18"/>
              </w:rPr>
              <w:t>小于标准规定的允许排放量的三分之一或虽无排放同种大气污染物之排气筒共存,但无组织排放的有害物质的容许浓度指标是按急性反应指标确定者</w:t>
            </w:r>
            <w:r>
              <w:rPr>
                <w:rFonts w:hint="eastAsia" w:eastAsia="宋体" w:cs="Times New Roman"/>
                <w:sz w:val="18"/>
                <w:szCs w:val="18"/>
              </w:rPr>
              <w:t>。</w:t>
            </w:r>
          </w:p>
          <w:p w14:paraId="6001291C">
            <w:pPr>
              <w:pStyle w:val="11"/>
              <w:spacing w:line="320" w:lineRule="exact"/>
              <w:ind w:firstLine="0" w:firstLineChars="0"/>
              <w:jc w:val="left"/>
              <w:rPr>
                <w:rFonts w:eastAsia="宋体" w:cs="Times New Roman"/>
                <w:sz w:val="21"/>
                <w:szCs w:val="21"/>
              </w:rPr>
            </w:pPr>
            <w:r>
              <w:rPr>
                <w:rFonts w:eastAsia="宋体" w:cs="Times New Roman"/>
                <w:sz w:val="18"/>
                <w:szCs w:val="18"/>
              </w:rPr>
              <w:t>Ⅲ类:无排放同种有害物质的排气筒与无组织排放源共存</w:t>
            </w:r>
            <w:r>
              <w:rPr>
                <w:rFonts w:hint="eastAsia" w:eastAsia="宋体" w:cs="Times New Roman"/>
                <w:sz w:val="18"/>
                <w:szCs w:val="18"/>
              </w:rPr>
              <w:t>，</w:t>
            </w:r>
            <w:r>
              <w:rPr>
                <w:rFonts w:eastAsia="宋体" w:cs="Times New Roman"/>
                <w:sz w:val="18"/>
                <w:szCs w:val="18"/>
              </w:rPr>
              <w:t>且无组织排放的有害物质的容许浓度是按慢性反应指标确定者。</w:t>
            </w:r>
          </w:p>
        </w:tc>
      </w:tr>
    </w:tbl>
    <w:p w14:paraId="130F9C5A">
      <w:pPr>
        <w:pStyle w:val="31"/>
        <w:spacing w:before="0" w:line="480" w:lineRule="exact"/>
      </w:pPr>
      <w:r>
        <w:rPr>
          <w:rFonts w:hint="eastAsia"/>
        </w:rPr>
        <w:t>表</w:t>
      </w:r>
      <w:r>
        <w:t>5.2-17</w:t>
      </w:r>
      <w:r>
        <w:rPr>
          <w:rFonts w:hint="eastAsia"/>
        </w:rPr>
        <w:t xml:space="preserve"> </w:t>
      </w:r>
      <w:r>
        <w:t xml:space="preserve"> </w:t>
      </w:r>
      <w:r>
        <w:rPr>
          <w:rFonts w:hint="eastAsia"/>
        </w:rPr>
        <w:t>项目卫生防护距离计算结果表</w:t>
      </w:r>
    </w:p>
    <w:tbl>
      <w:tblPr>
        <w:tblStyle w:val="4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004"/>
        <w:gridCol w:w="1319"/>
        <w:gridCol w:w="1280"/>
        <w:gridCol w:w="1209"/>
        <w:gridCol w:w="1371"/>
        <w:gridCol w:w="1255"/>
      </w:tblGrid>
      <w:tr w14:paraId="79F80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739" w:type="pct"/>
            <w:tcBorders>
              <w:top w:val="single" w:color="auto" w:sz="12" w:space="0"/>
              <w:left w:val="nil"/>
            </w:tcBorders>
            <w:vAlign w:val="center"/>
          </w:tcPr>
          <w:p w14:paraId="7095D70B">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污染源</w:t>
            </w:r>
          </w:p>
        </w:tc>
        <w:tc>
          <w:tcPr>
            <w:tcW w:w="583" w:type="pct"/>
            <w:tcBorders>
              <w:top w:val="single" w:color="auto" w:sz="12" w:space="0"/>
            </w:tcBorders>
            <w:vAlign w:val="center"/>
          </w:tcPr>
          <w:p w14:paraId="22C5E1CB">
            <w:pPr>
              <w:spacing w:line="300" w:lineRule="exact"/>
              <w:contextualSpacing/>
              <w:jc w:val="center"/>
              <w:rPr>
                <w:rFonts w:ascii="Times New Roman" w:hAnsi="Times New Roman" w:eastAsia="宋体" w:cs="Times New Roman"/>
                <w:sz w:val="21"/>
                <w:szCs w:val="21"/>
              </w:rPr>
            </w:pPr>
            <w:r>
              <w:rPr>
                <w:rFonts w:ascii="Times New Roman" w:hAnsi="Times New Roman" w:eastAsia="宋体" w:cs="Times New Roman"/>
                <w:sz w:val="21"/>
                <w:szCs w:val="21"/>
              </w:rPr>
              <w:t>污染物名称</w:t>
            </w:r>
          </w:p>
        </w:tc>
        <w:tc>
          <w:tcPr>
            <w:tcW w:w="764" w:type="pct"/>
            <w:tcBorders>
              <w:top w:val="single" w:color="auto" w:sz="12" w:space="0"/>
            </w:tcBorders>
            <w:vAlign w:val="center"/>
          </w:tcPr>
          <w:p w14:paraId="1E2D8253">
            <w:pPr>
              <w:spacing w:line="300" w:lineRule="exact"/>
              <w:contextualSpacing/>
              <w:jc w:val="center"/>
              <w:rPr>
                <w:rFonts w:ascii="Times New Roman" w:hAnsi="Times New Roman" w:eastAsia="宋体" w:cs="Times New Roman"/>
                <w:sz w:val="21"/>
                <w:szCs w:val="21"/>
              </w:rPr>
            </w:pPr>
            <w:r>
              <w:rPr>
                <w:rFonts w:ascii="Times New Roman" w:hAnsi="Times New Roman" w:eastAsia="宋体" w:cs="Times New Roman"/>
                <w:sz w:val="21"/>
                <w:szCs w:val="21"/>
              </w:rPr>
              <w:t>排放速率（kg/h）</w:t>
            </w:r>
          </w:p>
        </w:tc>
        <w:tc>
          <w:tcPr>
            <w:tcW w:w="689" w:type="pct"/>
            <w:tcBorders>
              <w:top w:val="single" w:color="auto" w:sz="12" w:space="0"/>
            </w:tcBorders>
            <w:vAlign w:val="center"/>
          </w:tcPr>
          <w:p w14:paraId="38BF9DCD">
            <w:pPr>
              <w:spacing w:line="300" w:lineRule="exact"/>
              <w:contextualSpacing/>
              <w:jc w:val="center"/>
              <w:rPr>
                <w:rFonts w:ascii="Times New Roman" w:hAnsi="Times New Roman" w:eastAsia="宋体" w:cs="Times New Roman"/>
                <w:sz w:val="21"/>
                <w:szCs w:val="21"/>
              </w:rPr>
            </w:pPr>
            <w:r>
              <w:rPr>
                <w:rFonts w:ascii="Times New Roman" w:hAnsi="Times New Roman" w:eastAsia="宋体" w:cs="Times New Roman"/>
                <w:sz w:val="21"/>
                <w:szCs w:val="21"/>
              </w:rPr>
              <w:t>面积</w:t>
            </w:r>
          </w:p>
          <w:p w14:paraId="4E2978C6">
            <w:pPr>
              <w:spacing w:line="300" w:lineRule="exact"/>
              <w:contextualSpacing/>
              <w:jc w:val="center"/>
              <w:rPr>
                <w:rFonts w:ascii="Times New Roman" w:hAnsi="Times New Roman" w:eastAsia="宋体" w:cs="Times New Roman"/>
                <w:sz w:val="21"/>
                <w:szCs w:val="21"/>
              </w:rPr>
            </w:pPr>
            <w:r>
              <w:rPr>
                <w:rFonts w:ascii="Times New Roman" w:hAnsi="Times New Roman" w:eastAsia="宋体" w:cs="Times New Roman"/>
                <w:sz w:val="21"/>
                <w:szCs w:val="21"/>
              </w:rPr>
              <w:t>（m</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w:t>
            </w:r>
          </w:p>
        </w:tc>
        <w:tc>
          <w:tcPr>
            <w:tcW w:w="701" w:type="pct"/>
            <w:tcBorders>
              <w:top w:val="single" w:color="auto" w:sz="12" w:space="0"/>
            </w:tcBorders>
            <w:vAlign w:val="center"/>
          </w:tcPr>
          <w:p w14:paraId="1780AEBC">
            <w:pPr>
              <w:spacing w:line="300" w:lineRule="exact"/>
              <w:contextualSpacing/>
              <w:jc w:val="center"/>
              <w:rPr>
                <w:rFonts w:ascii="Times New Roman" w:hAnsi="Times New Roman" w:eastAsia="宋体" w:cs="Times New Roman"/>
                <w:sz w:val="21"/>
                <w:szCs w:val="21"/>
              </w:rPr>
            </w:pPr>
            <w:r>
              <w:rPr>
                <w:rFonts w:ascii="Times New Roman" w:hAnsi="Times New Roman" w:eastAsia="宋体" w:cs="Times New Roman"/>
                <w:sz w:val="21"/>
                <w:szCs w:val="21"/>
              </w:rPr>
              <w:t>计算结果</w:t>
            </w:r>
          </w:p>
          <w:p w14:paraId="067087E2">
            <w:pPr>
              <w:spacing w:line="300" w:lineRule="exact"/>
              <w:contextualSpacing/>
              <w:jc w:val="center"/>
              <w:rPr>
                <w:rFonts w:ascii="Times New Roman" w:hAnsi="Times New Roman" w:eastAsia="宋体" w:cs="Times New Roman"/>
                <w:sz w:val="21"/>
                <w:szCs w:val="21"/>
              </w:rPr>
            </w:pPr>
            <w:r>
              <w:rPr>
                <w:rFonts w:ascii="Times New Roman" w:hAnsi="Times New Roman" w:eastAsia="宋体" w:cs="Times New Roman"/>
                <w:sz w:val="21"/>
                <w:szCs w:val="21"/>
              </w:rPr>
              <w:t>（m）</w:t>
            </w:r>
          </w:p>
        </w:tc>
        <w:tc>
          <w:tcPr>
            <w:tcW w:w="794" w:type="pct"/>
            <w:tcBorders>
              <w:top w:val="single" w:color="auto" w:sz="12" w:space="0"/>
              <w:right w:val="nil"/>
            </w:tcBorders>
            <w:vAlign w:val="center"/>
          </w:tcPr>
          <w:p w14:paraId="644F6C4A">
            <w:pPr>
              <w:spacing w:line="300" w:lineRule="exact"/>
              <w:contextualSpacing/>
              <w:jc w:val="center"/>
              <w:rPr>
                <w:rFonts w:ascii="Times New Roman" w:hAnsi="Times New Roman" w:eastAsia="宋体" w:cs="Times New Roman"/>
                <w:sz w:val="21"/>
                <w:szCs w:val="21"/>
              </w:rPr>
            </w:pPr>
            <w:r>
              <w:rPr>
                <w:rFonts w:ascii="Times New Roman" w:hAnsi="Times New Roman" w:eastAsia="宋体" w:cs="Times New Roman"/>
                <w:sz w:val="21"/>
                <w:szCs w:val="21"/>
              </w:rPr>
              <w:t>卫生防护距离（m）</w:t>
            </w:r>
          </w:p>
        </w:tc>
        <w:tc>
          <w:tcPr>
            <w:tcW w:w="727" w:type="pct"/>
            <w:tcBorders>
              <w:top w:val="single" w:color="auto" w:sz="12" w:space="0"/>
              <w:right w:val="nil"/>
            </w:tcBorders>
            <w:vAlign w:val="center"/>
          </w:tcPr>
          <w:p w14:paraId="078AE00F">
            <w:pPr>
              <w:spacing w:line="300" w:lineRule="exact"/>
              <w:contextualSpacing/>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提级后距离（m）</w:t>
            </w:r>
          </w:p>
        </w:tc>
      </w:tr>
      <w:tr w14:paraId="10E2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jc w:val="center"/>
        </w:trPr>
        <w:tc>
          <w:tcPr>
            <w:tcW w:w="739" w:type="pct"/>
            <w:tcBorders>
              <w:left w:val="nil"/>
            </w:tcBorders>
            <w:vAlign w:val="center"/>
          </w:tcPr>
          <w:p w14:paraId="7B79A1C5">
            <w:pPr>
              <w:pStyle w:val="97"/>
              <w:widowControl w:val="0"/>
              <w:spacing w:line="300" w:lineRule="exact"/>
              <w:rPr>
                <w:rFonts w:eastAsia="宋体"/>
                <w:b w:val="0"/>
                <w:sz w:val="21"/>
                <w:szCs w:val="21"/>
              </w:rPr>
            </w:pPr>
            <w:r>
              <w:rPr>
                <w:rFonts w:hint="eastAsia" w:eastAsia="宋体"/>
                <w:b w:val="0"/>
                <w:sz w:val="21"/>
                <w:szCs w:val="21"/>
              </w:rPr>
              <w:t>鸡舍区</w:t>
            </w:r>
          </w:p>
        </w:tc>
        <w:tc>
          <w:tcPr>
            <w:tcW w:w="583" w:type="pct"/>
            <w:vAlign w:val="center"/>
          </w:tcPr>
          <w:p w14:paraId="5D3A0757">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w:t>
            </w:r>
          </w:p>
        </w:tc>
        <w:tc>
          <w:tcPr>
            <w:tcW w:w="764" w:type="pct"/>
            <w:vAlign w:val="center"/>
          </w:tcPr>
          <w:p w14:paraId="0965DE7F">
            <w:pPr>
              <w:pStyle w:val="78"/>
              <w:spacing w:before="0" w:after="0" w:line="300" w:lineRule="exact"/>
              <w:rPr>
                <w:szCs w:val="21"/>
              </w:rPr>
            </w:pPr>
            <w:r>
              <w:rPr>
                <w:szCs w:val="21"/>
              </w:rPr>
              <w:t>0.00025</w:t>
            </w:r>
          </w:p>
        </w:tc>
        <w:tc>
          <w:tcPr>
            <w:tcW w:w="689" w:type="pct"/>
            <w:vAlign w:val="center"/>
          </w:tcPr>
          <w:p w14:paraId="1E2543E5">
            <w:pPr>
              <w:pStyle w:val="97"/>
              <w:widowControl w:val="0"/>
              <w:spacing w:line="300" w:lineRule="exact"/>
              <w:rPr>
                <w:rFonts w:eastAsia="宋体"/>
                <w:b w:val="0"/>
                <w:sz w:val="21"/>
                <w:szCs w:val="21"/>
              </w:rPr>
            </w:pPr>
            <w:r>
              <w:rPr>
                <w:rFonts w:eastAsia="宋体"/>
                <w:b w:val="0"/>
                <w:sz w:val="21"/>
                <w:szCs w:val="21"/>
              </w:rPr>
              <w:t>1</w:t>
            </w:r>
            <w:r>
              <w:rPr>
                <w:rFonts w:hint="eastAsia" w:eastAsia="宋体"/>
                <w:b w:val="0"/>
                <w:sz w:val="21"/>
                <w:szCs w:val="21"/>
              </w:rPr>
              <w:t>3695</w:t>
            </w:r>
            <w:r>
              <w:rPr>
                <w:rFonts w:eastAsia="宋体"/>
                <w:b w:val="0"/>
                <w:sz w:val="21"/>
                <w:szCs w:val="21"/>
              </w:rPr>
              <w:t>（</w:t>
            </w:r>
            <w:r>
              <w:rPr>
                <w:rFonts w:hint="eastAsia" w:eastAsia="宋体"/>
                <w:b w:val="0"/>
                <w:sz w:val="21"/>
                <w:szCs w:val="21"/>
              </w:rPr>
              <w:t>83</w:t>
            </w:r>
            <w:r>
              <w:rPr>
                <w:rFonts w:eastAsia="宋体"/>
                <w:b w:val="0"/>
                <w:sz w:val="21"/>
                <w:szCs w:val="21"/>
              </w:rPr>
              <w:t>×</w:t>
            </w:r>
            <w:r>
              <w:rPr>
                <w:rFonts w:hint="eastAsia" w:eastAsia="宋体"/>
                <w:b w:val="0"/>
                <w:sz w:val="21"/>
                <w:szCs w:val="21"/>
              </w:rPr>
              <w:t>165</w:t>
            </w:r>
            <w:r>
              <w:rPr>
                <w:rFonts w:eastAsia="宋体"/>
                <w:b w:val="0"/>
                <w:sz w:val="21"/>
                <w:szCs w:val="21"/>
              </w:rPr>
              <w:t>）</w:t>
            </w:r>
          </w:p>
        </w:tc>
        <w:tc>
          <w:tcPr>
            <w:tcW w:w="701" w:type="pct"/>
            <w:vAlign w:val="center"/>
          </w:tcPr>
          <w:p w14:paraId="220E174E">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0.2</w:t>
            </w:r>
            <w:r>
              <w:rPr>
                <w:rFonts w:hint="eastAsia" w:ascii="Times New Roman" w:hAnsi="Times New Roman" w:eastAsia="宋体" w:cs="Times New Roman"/>
                <w:sz w:val="21"/>
                <w:szCs w:val="21"/>
              </w:rPr>
              <w:t>06</w:t>
            </w:r>
          </w:p>
        </w:tc>
        <w:tc>
          <w:tcPr>
            <w:tcW w:w="794" w:type="pct"/>
            <w:tcBorders>
              <w:right w:val="nil"/>
            </w:tcBorders>
            <w:vAlign w:val="center"/>
          </w:tcPr>
          <w:p w14:paraId="2E12812B">
            <w:pPr>
              <w:spacing w:line="300" w:lineRule="exact"/>
              <w:contextualSpacing/>
              <w:jc w:val="center"/>
              <w:rPr>
                <w:rFonts w:ascii="Times New Roman" w:hAnsi="Times New Roman" w:eastAsia="宋体" w:cs="Times New Roman"/>
                <w:sz w:val="21"/>
                <w:szCs w:val="21"/>
              </w:rPr>
            </w:pPr>
            <w:r>
              <w:rPr>
                <w:rFonts w:ascii="Times New Roman" w:hAnsi="Times New Roman" w:eastAsia="宋体" w:cs="Times New Roman"/>
                <w:sz w:val="21"/>
                <w:szCs w:val="21"/>
              </w:rPr>
              <w:t>50</w:t>
            </w:r>
          </w:p>
        </w:tc>
        <w:tc>
          <w:tcPr>
            <w:tcW w:w="727" w:type="pct"/>
            <w:tcBorders>
              <w:right w:val="nil"/>
            </w:tcBorders>
            <w:vAlign w:val="center"/>
          </w:tcPr>
          <w:p w14:paraId="19BBFF17">
            <w:pPr>
              <w:spacing w:line="300" w:lineRule="exact"/>
              <w:contextualSpacing/>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w:t>
            </w:r>
          </w:p>
        </w:tc>
      </w:tr>
      <w:tr w14:paraId="2788A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739" w:type="pct"/>
            <w:tcBorders>
              <w:left w:val="nil"/>
            </w:tcBorders>
            <w:vAlign w:val="center"/>
          </w:tcPr>
          <w:p w14:paraId="4D0E7A5B">
            <w:pPr>
              <w:pStyle w:val="97"/>
              <w:widowControl w:val="0"/>
              <w:spacing w:line="300" w:lineRule="exact"/>
              <w:rPr>
                <w:rFonts w:eastAsia="宋体"/>
                <w:b w:val="0"/>
                <w:sz w:val="21"/>
                <w:szCs w:val="21"/>
              </w:rPr>
            </w:pPr>
            <w:r>
              <w:rPr>
                <w:rFonts w:eastAsia="宋体"/>
                <w:b w:val="0"/>
                <w:sz w:val="21"/>
                <w:szCs w:val="21"/>
              </w:rPr>
              <w:t>鸡粪</w:t>
            </w:r>
            <w:r>
              <w:rPr>
                <w:rFonts w:hint="eastAsia" w:eastAsia="宋体"/>
                <w:b w:val="0"/>
                <w:sz w:val="21"/>
                <w:szCs w:val="21"/>
              </w:rPr>
              <w:t>暂存库</w:t>
            </w:r>
          </w:p>
        </w:tc>
        <w:tc>
          <w:tcPr>
            <w:tcW w:w="583" w:type="pct"/>
            <w:vAlign w:val="center"/>
          </w:tcPr>
          <w:p w14:paraId="44B3849E">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w:t>
            </w:r>
          </w:p>
        </w:tc>
        <w:tc>
          <w:tcPr>
            <w:tcW w:w="764" w:type="pct"/>
            <w:vAlign w:val="center"/>
          </w:tcPr>
          <w:p w14:paraId="229D9DE8">
            <w:pPr>
              <w:pStyle w:val="97"/>
              <w:widowControl w:val="0"/>
              <w:spacing w:line="300" w:lineRule="exact"/>
              <w:rPr>
                <w:rFonts w:eastAsia="宋体"/>
                <w:b w:val="0"/>
                <w:kern w:val="2"/>
                <w:sz w:val="21"/>
                <w:szCs w:val="21"/>
              </w:rPr>
            </w:pPr>
            <w:r>
              <w:rPr>
                <w:rFonts w:eastAsia="宋体"/>
                <w:b w:val="0"/>
                <w:sz w:val="21"/>
                <w:szCs w:val="21"/>
              </w:rPr>
              <w:t>0.0000</w:t>
            </w:r>
            <w:r>
              <w:rPr>
                <w:rFonts w:hint="eastAsia" w:eastAsia="宋体"/>
                <w:b w:val="0"/>
                <w:sz w:val="21"/>
                <w:szCs w:val="21"/>
              </w:rPr>
              <w:t>42</w:t>
            </w:r>
          </w:p>
        </w:tc>
        <w:tc>
          <w:tcPr>
            <w:tcW w:w="689" w:type="pct"/>
            <w:vAlign w:val="center"/>
          </w:tcPr>
          <w:p w14:paraId="4939B2D9">
            <w:pPr>
              <w:pStyle w:val="97"/>
              <w:widowControl w:val="0"/>
              <w:spacing w:line="300" w:lineRule="exact"/>
              <w:rPr>
                <w:rFonts w:eastAsia="宋体"/>
                <w:b w:val="0"/>
                <w:sz w:val="21"/>
                <w:szCs w:val="21"/>
              </w:rPr>
            </w:pPr>
            <w:r>
              <w:rPr>
                <w:rFonts w:hint="eastAsia" w:eastAsia="宋体"/>
                <w:b w:val="0"/>
                <w:sz w:val="21"/>
                <w:szCs w:val="21"/>
              </w:rPr>
              <w:t>6</w:t>
            </w:r>
            <w:r>
              <w:rPr>
                <w:rFonts w:eastAsia="宋体"/>
                <w:b w:val="0"/>
                <w:sz w:val="21"/>
                <w:szCs w:val="21"/>
              </w:rPr>
              <w:t>00（</w:t>
            </w:r>
            <w:r>
              <w:rPr>
                <w:rFonts w:hint="eastAsia" w:eastAsia="宋体"/>
                <w:b w:val="0"/>
                <w:sz w:val="21"/>
                <w:szCs w:val="21"/>
              </w:rPr>
              <w:t>30</w:t>
            </w:r>
            <w:r>
              <w:rPr>
                <w:rFonts w:eastAsia="宋体"/>
                <w:b w:val="0"/>
                <w:sz w:val="21"/>
                <w:szCs w:val="21"/>
              </w:rPr>
              <w:t>×</w:t>
            </w:r>
            <w:r>
              <w:rPr>
                <w:rFonts w:hint="eastAsia" w:eastAsia="宋体"/>
                <w:b w:val="0"/>
                <w:sz w:val="21"/>
                <w:szCs w:val="21"/>
              </w:rPr>
              <w:t>20</w:t>
            </w:r>
            <w:r>
              <w:rPr>
                <w:rFonts w:eastAsia="宋体"/>
                <w:b w:val="0"/>
                <w:sz w:val="21"/>
                <w:szCs w:val="21"/>
              </w:rPr>
              <w:t>）</w:t>
            </w:r>
          </w:p>
        </w:tc>
        <w:tc>
          <w:tcPr>
            <w:tcW w:w="701" w:type="pct"/>
            <w:vAlign w:val="center"/>
          </w:tcPr>
          <w:p w14:paraId="50AF9744">
            <w:pPr>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0.225</w:t>
            </w:r>
          </w:p>
        </w:tc>
        <w:tc>
          <w:tcPr>
            <w:tcW w:w="794" w:type="pct"/>
            <w:tcBorders>
              <w:right w:val="nil"/>
            </w:tcBorders>
            <w:vAlign w:val="center"/>
          </w:tcPr>
          <w:p w14:paraId="13A9F718">
            <w:pPr>
              <w:spacing w:line="300" w:lineRule="exact"/>
              <w:contextualSpacing/>
              <w:jc w:val="center"/>
              <w:rPr>
                <w:rFonts w:ascii="Times New Roman" w:hAnsi="Times New Roman" w:eastAsia="宋体" w:cs="Times New Roman"/>
                <w:sz w:val="21"/>
                <w:szCs w:val="21"/>
              </w:rPr>
            </w:pPr>
            <w:r>
              <w:rPr>
                <w:rFonts w:ascii="Times New Roman" w:hAnsi="Times New Roman" w:eastAsia="宋体" w:cs="Times New Roman"/>
                <w:sz w:val="21"/>
                <w:szCs w:val="21"/>
              </w:rPr>
              <w:t>50</w:t>
            </w:r>
          </w:p>
        </w:tc>
        <w:tc>
          <w:tcPr>
            <w:tcW w:w="727" w:type="pct"/>
            <w:tcBorders>
              <w:right w:val="nil"/>
            </w:tcBorders>
            <w:vAlign w:val="center"/>
          </w:tcPr>
          <w:p w14:paraId="345EFD6A">
            <w:pPr>
              <w:spacing w:line="300" w:lineRule="exact"/>
              <w:contextualSpacing/>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w:t>
            </w:r>
          </w:p>
        </w:tc>
      </w:tr>
      <w:tr w14:paraId="4B08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739" w:type="pct"/>
            <w:vMerge w:val="restart"/>
            <w:tcBorders>
              <w:left w:val="nil"/>
            </w:tcBorders>
            <w:vAlign w:val="center"/>
          </w:tcPr>
          <w:p w14:paraId="3B1E51B4">
            <w:pPr>
              <w:pStyle w:val="97"/>
              <w:widowControl w:val="0"/>
              <w:spacing w:line="300" w:lineRule="exact"/>
              <w:rPr>
                <w:rFonts w:eastAsia="宋体"/>
                <w:b w:val="0"/>
                <w:sz w:val="21"/>
                <w:szCs w:val="21"/>
              </w:rPr>
            </w:pPr>
            <w:r>
              <w:rPr>
                <w:rFonts w:eastAsia="宋体"/>
                <w:b w:val="0"/>
                <w:sz w:val="21"/>
                <w:szCs w:val="21"/>
              </w:rPr>
              <w:t>污水处理</w:t>
            </w:r>
            <w:r>
              <w:rPr>
                <w:rFonts w:hint="eastAsia" w:eastAsia="宋体"/>
                <w:b w:val="0"/>
                <w:sz w:val="21"/>
                <w:szCs w:val="21"/>
              </w:rPr>
              <w:t>站</w:t>
            </w:r>
          </w:p>
        </w:tc>
        <w:tc>
          <w:tcPr>
            <w:tcW w:w="583" w:type="pct"/>
            <w:vAlign w:val="center"/>
          </w:tcPr>
          <w:p w14:paraId="3CEE70ED">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NH</w:t>
            </w:r>
            <w:r>
              <w:rPr>
                <w:rFonts w:ascii="Times New Roman" w:hAnsi="Times New Roman" w:eastAsia="宋体" w:cs="Times New Roman"/>
                <w:sz w:val="21"/>
                <w:szCs w:val="21"/>
                <w:vertAlign w:val="subscript"/>
              </w:rPr>
              <w:t>3</w:t>
            </w:r>
          </w:p>
        </w:tc>
        <w:tc>
          <w:tcPr>
            <w:tcW w:w="764" w:type="pct"/>
            <w:vAlign w:val="center"/>
          </w:tcPr>
          <w:p w14:paraId="14BE39A3">
            <w:pPr>
              <w:widowControl/>
              <w:spacing w:line="300" w:lineRule="exact"/>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0.000</w:t>
            </w:r>
            <w:r>
              <w:rPr>
                <w:rFonts w:hint="eastAsia" w:ascii="Times New Roman" w:hAnsi="Times New Roman" w:eastAsia="宋体" w:cs="Times New Roman"/>
                <w:sz w:val="21"/>
                <w:szCs w:val="21"/>
              </w:rPr>
              <w:t>028</w:t>
            </w:r>
          </w:p>
        </w:tc>
        <w:tc>
          <w:tcPr>
            <w:tcW w:w="689" w:type="pct"/>
            <w:vMerge w:val="restart"/>
            <w:vAlign w:val="center"/>
          </w:tcPr>
          <w:p w14:paraId="079A0FE9">
            <w:pPr>
              <w:pStyle w:val="97"/>
              <w:widowControl w:val="0"/>
              <w:spacing w:line="300" w:lineRule="exact"/>
              <w:rPr>
                <w:rFonts w:eastAsia="宋体"/>
                <w:b w:val="0"/>
                <w:kern w:val="2"/>
                <w:sz w:val="21"/>
                <w:szCs w:val="21"/>
              </w:rPr>
            </w:pPr>
            <w:r>
              <w:rPr>
                <w:rFonts w:hint="eastAsia" w:eastAsia="宋体"/>
                <w:b w:val="0"/>
                <w:sz w:val="21"/>
                <w:szCs w:val="21"/>
              </w:rPr>
              <w:t>1000</w:t>
            </w:r>
            <w:r>
              <w:rPr>
                <w:rFonts w:eastAsia="宋体"/>
                <w:b w:val="0"/>
                <w:sz w:val="21"/>
                <w:szCs w:val="21"/>
              </w:rPr>
              <w:t>（</w:t>
            </w:r>
            <w:r>
              <w:rPr>
                <w:rFonts w:hint="eastAsia" w:eastAsia="宋体"/>
                <w:b w:val="0"/>
                <w:sz w:val="21"/>
                <w:szCs w:val="21"/>
              </w:rPr>
              <w:t>20</w:t>
            </w:r>
            <w:r>
              <w:rPr>
                <w:rFonts w:eastAsia="宋体"/>
                <w:b w:val="0"/>
                <w:sz w:val="21"/>
                <w:szCs w:val="21"/>
              </w:rPr>
              <w:t>×</w:t>
            </w:r>
            <w:r>
              <w:rPr>
                <w:rFonts w:hint="eastAsia" w:eastAsia="宋体"/>
                <w:b w:val="0"/>
                <w:sz w:val="21"/>
                <w:szCs w:val="21"/>
              </w:rPr>
              <w:t>5</w:t>
            </w:r>
            <w:r>
              <w:rPr>
                <w:rFonts w:eastAsia="宋体"/>
                <w:b w:val="0"/>
                <w:sz w:val="21"/>
                <w:szCs w:val="21"/>
              </w:rPr>
              <w:t>0）</w:t>
            </w:r>
          </w:p>
        </w:tc>
        <w:tc>
          <w:tcPr>
            <w:tcW w:w="701" w:type="pct"/>
            <w:vAlign w:val="center"/>
          </w:tcPr>
          <w:p w14:paraId="6333FF71">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0.</w:t>
            </w:r>
            <w:r>
              <w:rPr>
                <w:rFonts w:hint="eastAsia" w:ascii="Times New Roman" w:hAnsi="Times New Roman" w:eastAsia="宋体" w:cs="Times New Roman"/>
                <w:sz w:val="21"/>
                <w:szCs w:val="21"/>
              </w:rPr>
              <w:t>009</w:t>
            </w:r>
          </w:p>
        </w:tc>
        <w:tc>
          <w:tcPr>
            <w:tcW w:w="794" w:type="pct"/>
            <w:tcBorders>
              <w:right w:val="nil"/>
            </w:tcBorders>
            <w:vAlign w:val="center"/>
          </w:tcPr>
          <w:p w14:paraId="2B76E2C6">
            <w:pPr>
              <w:spacing w:line="300" w:lineRule="exact"/>
              <w:contextualSpacing/>
              <w:jc w:val="center"/>
              <w:rPr>
                <w:rFonts w:ascii="Times New Roman" w:hAnsi="Times New Roman" w:eastAsia="宋体" w:cs="Times New Roman"/>
                <w:sz w:val="21"/>
                <w:szCs w:val="21"/>
              </w:rPr>
            </w:pPr>
            <w:r>
              <w:rPr>
                <w:rFonts w:ascii="Times New Roman" w:hAnsi="Times New Roman" w:eastAsia="宋体" w:cs="Times New Roman"/>
                <w:sz w:val="21"/>
                <w:szCs w:val="21"/>
              </w:rPr>
              <w:t>50</w:t>
            </w:r>
          </w:p>
        </w:tc>
        <w:tc>
          <w:tcPr>
            <w:tcW w:w="727" w:type="pct"/>
            <w:vMerge w:val="restart"/>
            <w:tcBorders>
              <w:right w:val="nil"/>
            </w:tcBorders>
            <w:vAlign w:val="center"/>
          </w:tcPr>
          <w:p w14:paraId="04D4F618">
            <w:pPr>
              <w:spacing w:line="300" w:lineRule="exact"/>
              <w:contextualSpacing/>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100</w:t>
            </w:r>
          </w:p>
        </w:tc>
      </w:tr>
      <w:tr w14:paraId="60D9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739" w:type="pct"/>
            <w:vMerge w:val="continue"/>
            <w:tcBorders>
              <w:left w:val="nil"/>
            </w:tcBorders>
            <w:vAlign w:val="center"/>
          </w:tcPr>
          <w:p w14:paraId="7F026AA7">
            <w:pPr>
              <w:pStyle w:val="97"/>
              <w:widowControl w:val="0"/>
              <w:spacing w:line="300" w:lineRule="exact"/>
              <w:rPr>
                <w:rFonts w:eastAsia="宋体"/>
                <w:b w:val="0"/>
                <w:sz w:val="21"/>
                <w:szCs w:val="21"/>
              </w:rPr>
            </w:pPr>
          </w:p>
        </w:tc>
        <w:tc>
          <w:tcPr>
            <w:tcW w:w="583" w:type="pct"/>
            <w:vAlign w:val="center"/>
          </w:tcPr>
          <w:p w14:paraId="7559DB22">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w:t>
            </w:r>
          </w:p>
        </w:tc>
        <w:tc>
          <w:tcPr>
            <w:tcW w:w="764" w:type="pct"/>
            <w:vAlign w:val="center"/>
          </w:tcPr>
          <w:p w14:paraId="5A1B76F1">
            <w:pPr>
              <w:widowControl/>
              <w:spacing w:line="300" w:lineRule="exact"/>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0.0000014</w:t>
            </w:r>
          </w:p>
        </w:tc>
        <w:tc>
          <w:tcPr>
            <w:tcW w:w="689" w:type="pct"/>
            <w:vMerge w:val="continue"/>
            <w:vAlign w:val="center"/>
          </w:tcPr>
          <w:p w14:paraId="21641623">
            <w:pPr>
              <w:pStyle w:val="97"/>
              <w:widowControl w:val="0"/>
              <w:spacing w:line="300" w:lineRule="exact"/>
              <w:rPr>
                <w:rFonts w:eastAsia="宋体"/>
                <w:b w:val="0"/>
                <w:sz w:val="21"/>
                <w:szCs w:val="21"/>
              </w:rPr>
            </w:pPr>
          </w:p>
        </w:tc>
        <w:tc>
          <w:tcPr>
            <w:tcW w:w="701" w:type="pct"/>
            <w:vAlign w:val="center"/>
          </w:tcPr>
          <w:p w14:paraId="09C5ECE3">
            <w:pPr>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0.042</w:t>
            </w:r>
          </w:p>
        </w:tc>
        <w:tc>
          <w:tcPr>
            <w:tcW w:w="794" w:type="pct"/>
            <w:tcBorders>
              <w:right w:val="nil"/>
            </w:tcBorders>
            <w:vAlign w:val="center"/>
          </w:tcPr>
          <w:p w14:paraId="3134EE70">
            <w:pPr>
              <w:spacing w:line="300" w:lineRule="exact"/>
              <w:contextualSpacing/>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w:t>
            </w:r>
          </w:p>
        </w:tc>
        <w:tc>
          <w:tcPr>
            <w:tcW w:w="727" w:type="pct"/>
            <w:vMerge w:val="continue"/>
            <w:tcBorders>
              <w:right w:val="nil"/>
            </w:tcBorders>
            <w:vAlign w:val="center"/>
          </w:tcPr>
          <w:p w14:paraId="25F59422">
            <w:pPr>
              <w:spacing w:line="300" w:lineRule="exact"/>
              <w:contextualSpacing/>
              <w:jc w:val="center"/>
              <w:rPr>
                <w:rFonts w:ascii="Times New Roman" w:hAnsi="Times New Roman" w:eastAsia="宋体" w:cs="Times New Roman"/>
                <w:sz w:val="21"/>
                <w:szCs w:val="21"/>
              </w:rPr>
            </w:pPr>
          </w:p>
        </w:tc>
      </w:tr>
    </w:tbl>
    <w:p w14:paraId="2019B4E5">
      <w:pPr>
        <w:pStyle w:val="86"/>
        <w:spacing w:line="460" w:lineRule="exact"/>
      </w:pPr>
      <w:r>
        <w:rPr>
          <w:rFonts w:hint="eastAsia"/>
        </w:rPr>
        <w:t>根据《大气有害物质无组织排放卫生防护距离推导技术导则》（GB/T39499-2020）中6.1条规定：卫生防护距离初值小于50m时，级差为50m。如计算初值小于50m，卫生防护距离终值取50m；6.2条规定：当企业某生产单元的无组织排放存在多种特征大气有害物质时，如果分别推导出的卫生防护距离初值在同一级别时，则该企业的卫生防护距离终值应提高一级；卫生防护距离初值不在同一级别的，以卫生防护距离终值较大者为准。</w:t>
      </w:r>
    </w:p>
    <w:p w14:paraId="5A768AE4">
      <w:pPr>
        <w:pStyle w:val="86"/>
        <w:spacing w:line="480" w:lineRule="exact"/>
        <w:rPr>
          <w:rFonts w:eastAsia="宋体"/>
          <w:szCs w:val="24"/>
        </w:rPr>
      </w:pPr>
      <w:r>
        <w:rPr>
          <w:rFonts w:hint="eastAsia"/>
          <w:szCs w:val="24"/>
        </w:rPr>
        <w:t>因此本建设项目的卫生防护距离为：以鸡舍区、</w:t>
      </w:r>
      <w:r>
        <w:rPr>
          <w:rFonts w:hint="eastAsia" w:ascii="Times New Roman" w:hAnsi="Times New Roman"/>
          <w:szCs w:val="24"/>
        </w:rPr>
        <w:t>鸡粪暂存库为边界</w:t>
      </w:r>
      <w:r>
        <w:rPr>
          <w:rFonts w:hint="eastAsia"/>
          <w:szCs w:val="24"/>
        </w:rPr>
        <w:t>外延50米范围，以污水处理站为</w:t>
      </w:r>
      <w:r>
        <w:rPr>
          <w:rFonts w:hint="eastAsia" w:ascii="Times New Roman" w:hAnsi="Times New Roman"/>
          <w:szCs w:val="24"/>
        </w:rPr>
        <w:t>边界</w:t>
      </w:r>
      <w:r>
        <w:rPr>
          <w:rFonts w:hint="eastAsia"/>
          <w:szCs w:val="24"/>
        </w:rPr>
        <w:t>外延100米范围。</w:t>
      </w:r>
    </w:p>
    <w:p w14:paraId="24899995">
      <w:pPr>
        <w:spacing w:line="480" w:lineRule="exact"/>
        <w:ind w:firstLine="480" w:firstLineChars="200"/>
        <w:rPr>
          <w:rStyle w:val="96"/>
        </w:rPr>
      </w:pPr>
      <w:r>
        <w:rPr>
          <w:rStyle w:val="96"/>
          <w:rFonts w:hint="eastAsia"/>
        </w:rPr>
        <w:t>根据《畜禽养殖业污染防治技术规范》</w:t>
      </w:r>
      <w:r>
        <w:rPr>
          <w:rFonts w:hAnsi="宋体"/>
          <w:color w:val="000000"/>
          <w:szCs w:val="24"/>
        </w:rPr>
        <w:t>（</w:t>
      </w:r>
      <w:r>
        <w:rPr>
          <w:color w:val="000000"/>
          <w:szCs w:val="24"/>
        </w:rPr>
        <w:t>HJ/T81</w:t>
      </w:r>
      <w:r>
        <w:rPr>
          <w:rFonts w:hint="eastAsia"/>
          <w:color w:val="000000"/>
          <w:szCs w:val="24"/>
        </w:rPr>
        <w:t>-</w:t>
      </w:r>
      <w:r>
        <w:rPr>
          <w:color w:val="000000"/>
          <w:szCs w:val="24"/>
        </w:rPr>
        <w:t>2001</w:t>
      </w:r>
      <w:r>
        <w:rPr>
          <w:rFonts w:hAnsi="宋体"/>
          <w:color w:val="000000"/>
          <w:szCs w:val="24"/>
        </w:rPr>
        <w:t>）</w:t>
      </w:r>
      <w:r>
        <w:rPr>
          <w:rStyle w:val="96"/>
          <w:rFonts w:hint="eastAsia"/>
        </w:rPr>
        <w:t>规定：“新建改建、扩建的畜禽养殖场选址应避开3.1规定的禁建区域，在禁建区域附近建设的，应设在3.1规定的禁建区域常年主导风向的下风向或侧风向处，场界与禁建区域边界的最小距离不得小于500m。”</w:t>
      </w:r>
    </w:p>
    <w:p w14:paraId="7FF80818">
      <w:pPr>
        <w:spacing w:line="480" w:lineRule="exact"/>
        <w:ind w:firstLine="480" w:firstLineChars="200"/>
        <w:rPr>
          <w:rStyle w:val="96"/>
        </w:rPr>
      </w:pPr>
      <w:r>
        <w:rPr>
          <w:rStyle w:val="96"/>
          <w:rFonts w:hint="eastAsia"/>
        </w:rPr>
        <w:t>2018年2月26日中华人民共和国环境保护部网站环境保护部部长信箱中《关于畜禽养殖业选址问题的回复》的答复，“《畜禽养殖业污染防治技术规范》（HJ/T81-2001）属于推荐性的环境保护技术规范类标准，该技术规范3.1.2规定：禁止在城市和城镇居民区，包括文教科研区、医疗区、商业区、工业区、游览区等人口集中地区建设畜禽养殖场。村屯居民区不属于城市和城镇居民区。因此，不属于该技术规范3.1.2规定的人口集中区。对于养殖场与农村居民区之间的距离，养殖场在建设时应开展环境影响评价，根据当地的地理、环境及气象等因素确定与居民区之间的距离。本项目在确定防护距离时，该技术规范中的要求可作为一项参考依据。”</w:t>
      </w:r>
    </w:p>
    <w:p w14:paraId="123D4241">
      <w:pPr>
        <w:adjustRightInd w:val="0"/>
        <w:snapToGrid w:val="0"/>
        <w:spacing w:line="480" w:lineRule="exact"/>
        <w:ind w:right="-85" w:firstLine="480" w:firstLineChars="200"/>
        <w:rPr>
          <w:color w:val="000000"/>
          <w:szCs w:val="24"/>
        </w:rPr>
      </w:pPr>
      <w:r>
        <w:rPr>
          <w:rStyle w:val="96"/>
          <w:rFonts w:hint="eastAsia"/>
        </w:rPr>
        <w:t>结合区域地理、环境及气象等因素确定与村屯居民区之间的距离，</w:t>
      </w:r>
      <w:r>
        <w:rPr>
          <w:rStyle w:val="96"/>
          <w:rFonts w:hint="eastAsia" w:eastAsia="宋体"/>
        </w:rPr>
        <w:t>同时考虑项目产生的恶臭对周边敏感目标的影响，</w:t>
      </w:r>
      <w:r>
        <w:rPr>
          <w:rStyle w:val="96"/>
          <w:rFonts w:hint="eastAsia"/>
        </w:rPr>
        <w:t>最终确定项目卫生防护距离应以</w:t>
      </w:r>
      <w:r>
        <w:rPr>
          <w:rFonts w:hint="eastAsia"/>
          <w:szCs w:val="24"/>
        </w:rPr>
        <w:t>鸡舍区、</w:t>
      </w:r>
      <w:r>
        <w:rPr>
          <w:rFonts w:hint="eastAsia" w:ascii="Times New Roman" w:hAnsi="Times New Roman"/>
          <w:szCs w:val="24"/>
        </w:rPr>
        <w:t>鸡粪暂存库及污水处理站</w:t>
      </w:r>
      <w:r>
        <w:rPr>
          <w:rStyle w:val="96"/>
          <w:rFonts w:hint="eastAsia"/>
        </w:rPr>
        <w:t>为边界分别设定200m卫生防护距离</w:t>
      </w:r>
      <w:r>
        <w:rPr>
          <w:rFonts w:hint="eastAsia"/>
          <w:color w:val="000000"/>
          <w:szCs w:val="24"/>
        </w:rPr>
        <w:t>所组成的包络线。同时，在卫生防护距离内</w:t>
      </w:r>
      <w:r>
        <w:rPr>
          <w:color w:val="000000"/>
          <w:szCs w:val="24"/>
        </w:rPr>
        <w:t>禁止新建学校、医院、居民区等环境敏感点和其他《畜禽养殖业污染防治技术规范》中规定的禁建区。</w:t>
      </w:r>
    </w:p>
    <w:p w14:paraId="108804AD">
      <w:pPr>
        <w:adjustRightInd w:val="0"/>
        <w:spacing w:line="480" w:lineRule="exact"/>
        <w:ind w:firstLine="480" w:firstLineChars="200"/>
        <w:rPr>
          <w:rFonts w:ascii="Times New Roman" w:hAnsi="Times New Roman" w:eastAsia="宋体" w:cs="Times New Roman"/>
          <w:color w:val="FF0000"/>
          <w:szCs w:val="24"/>
        </w:rPr>
      </w:pPr>
      <w:r>
        <w:rPr>
          <w:rFonts w:ascii="Times New Roman" w:hAnsi="Times New Roman" w:eastAsia="宋体" w:cs="Times New Roman"/>
          <w:color w:val="000000" w:themeColor="text1"/>
          <w:kern w:val="0"/>
          <w:szCs w:val="24"/>
          <w:lang w:bidi="ar"/>
          <w14:textFill>
            <w14:solidFill>
              <w14:schemeClr w14:val="tx1"/>
            </w14:solidFill>
          </w14:textFill>
        </w:rPr>
        <w:t>根据现场勘察，</w:t>
      </w:r>
      <w:r>
        <w:rPr>
          <w:rFonts w:ascii="Times New Roman" w:hAnsi="Times New Roman" w:eastAsia="宋体" w:cs="Times New Roman"/>
          <w:color w:val="000000" w:themeColor="text1"/>
          <w:szCs w:val="24"/>
          <w14:textFill>
            <w14:solidFill>
              <w14:schemeClr w14:val="tx1"/>
            </w14:solidFill>
          </w14:textFill>
        </w:rPr>
        <w:t>本项目鸡舍区、鸡粪暂存库及污水处理站分别设置200m卫生防护距离所组成的包络线范围内有3户戴庄零散居民，项目卫生防护距离内居民详</w:t>
      </w:r>
      <w:r>
        <w:rPr>
          <w:rFonts w:ascii="Times New Roman" w:hAnsi="Times New Roman" w:eastAsia="宋体" w:cs="Times New Roman"/>
          <w:szCs w:val="24"/>
        </w:rPr>
        <w:t>见表5.2-1</w:t>
      </w:r>
      <w:r>
        <w:rPr>
          <w:rFonts w:hint="eastAsia" w:ascii="Times New Roman" w:hAnsi="Times New Roman" w:eastAsia="宋体" w:cs="Times New Roman"/>
          <w:szCs w:val="24"/>
        </w:rPr>
        <w:t>8。</w:t>
      </w:r>
      <w:r>
        <w:rPr>
          <w:rFonts w:ascii="Times New Roman" w:hAnsi="Times New Roman" w:eastAsia="宋体" w:cs="Times New Roman"/>
          <w:szCs w:val="24"/>
        </w:rPr>
        <w:t>该区域</w:t>
      </w:r>
      <w:r>
        <w:rPr>
          <w:rFonts w:hint="eastAsia" w:ascii="Times New Roman" w:hAnsi="Times New Roman" w:eastAsia="宋体" w:cs="Times New Roman"/>
          <w:szCs w:val="24"/>
        </w:rPr>
        <w:t>3户</w:t>
      </w:r>
      <w:r>
        <w:rPr>
          <w:rFonts w:ascii="Times New Roman" w:hAnsi="Times New Roman" w:eastAsia="宋体" w:cs="Times New Roman"/>
          <w:szCs w:val="24"/>
        </w:rPr>
        <w:t>居民</w:t>
      </w:r>
      <w:r>
        <w:rPr>
          <w:rFonts w:hint="eastAsia" w:ascii="Times New Roman" w:hAnsi="Times New Roman" w:eastAsia="宋体" w:cs="Times New Roman"/>
          <w:szCs w:val="24"/>
        </w:rPr>
        <w:t>因长期无人居住，现房屋已被本公司租赁作为</w:t>
      </w:r>
      <w:r>
        <w:rPr>
          <w:rFonts w:hint="eastAsia" w:ascii="Times New Roman" w:hAnsi="Times New Roman" w:eastAsia="宋体" w:cs="Times New Roman"/>
          <w:szCs w:val="24"/>
          <w:lang w:val="en-US" w:eastAsia="zh-CN"/>
        </w:rPr>
        <w:t>工具设备暂存</w:t>
      </w:r>
      <w:r>
        <w:rPr>
          <w:rFonts w:hint="eastAsia" w:ascii="Times New Roman" w:hAnsi="Times New Roman" w:eastAsia="宋体" w:cs="Times New Roman"/>
          <w:szCs w:val="24"/>
        </w:rPr>
        <w:t>用房，</w:t>
      </w:r>
      <w:r>
        <w:rPr>
          <w:rFonts w:ascii="Times New Roman" w:hAnsi="Times New Roman" w:eastAsia="宋体" w:cs="Times New Roman"/>
          <w:szCs w:val="24"/>
        </w:rPr>
        <w:t>满足本项目</w:t>
      </w:r>
      <w:r>
        <w:rPr>
          <w:rFonts w:hint="eastAsia" w:ascii="Times New Roman" w:hAnsi="Times New Roman" w:eastAsia="宋体" w:cs="Times New Roman"/>
          <w:szCs w:val="24"/>
        </w:rPr>
        <w:t>对</w:t>
      </w:r>
      <w:r>
        <w:rPr>
          <w:rFonts w:ascii="Times New Roman" w:hAnsi="Times New Roman" w:eastAsia="宋体" w:cs="Times New Roman"/>
          <w:szCs w:val="24"/>
        </w:rPr>
        <w:t>卫生防护距离的要求。</w:t>
      </w:r>
    </w:p>
    <w:p w14:paraId="366F6DE8">
      <w:pPr>
        <w:spacing w:line="480" w:lineRule="exact"/>
        <w:jc w:val="center"/>
        <w:rPr>
          <w:rFonts w:ascii="Times New Roman" w:hAnsi="Times New Roman" w:eastAsia="宋体" w:cs="Times New Roman"/>
          <w:b/>
          <w:szCs w:val="24"/>
        </w:rPr>
      </w:pPr>
      <w:r>
        <w:rPr>
          <w:rFonts w:ascii="Times New Roman" w:hAnsi="Times New Roman" w:eastAsia="宋体" w:cs="Times New Roman"/>
          <w:b/>
          <w:szCs w:val="24"/>
        </w:rPr>
        <w:t>表5.2-1</w:t>
      </w:r>
      <w:r>
        <w:rPr>
          <w:rFonts w:hint="eastAsia" w:ascii="Times New Roman" w:hAnsi="Times New Roman" w:eastAsia="宋体" w:cs="Times New Roman"/>
          <w:b/>
          <w:szCs w:val="24"/>
        </w:rPr>
        <w:t>8</w:t>
      </w:r>
      <w:r>
        <w:rPr>
          <w:rFonts w:ascii="Times New Roman" w:hAnsi="Times New Roman" w:eastAsia="宋体" w:cs="Times New Roman"/>
          <w:b/>
          <w:szCs w:val="24"/>
        </w:rPr>
        <w:t xml:space="preserve">  卫生防护距离内环境保护敏感目标一览表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16"/>
        <w:gridCol w:w="741"/>
        <w:gridCol w:w="913"/>
        <w:gridCol w:w="830"/>
        <w:gridCol w:w="663"/>
        <w:gridCol w:w="2014"/>
        <w:gridCol w:w="624"/>
        <w:gridCol w:w="2203"/>
      </w:tblGrid>
      <w:tr w14:paraId="14801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3" w:type="pct"/>
            <w:vMerge w:val="restart"/>
            <w:vAlign w:val="center"/>
          </w:tcPr>
          <w:p w14:paraId="6E98183E">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环境要素</w:t>
            </w:r>
          </w:p>
        </w:tc>
        <w:tc>
          <w:tcPr>
            <w:tcW w:w="435" w:type="pct"/>
            <w:vMerge w:val="restart"/>
            <w:vAlign w:val="center"/>
          </w:tcPr>
          <w:p w14:paraId="1B1AB1B1">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环境保护对象</w:t>
            </w:r>
          </w:p>
        </w:tc>
        <w:tc>
          <w:tcPr>
            <w:tcW w:w="1023" w:type="pct"/>
            <w:gridSpan w:val="2"/>
            <w:vAlign w:val="center"/>
          </w:tcPr>
          <w:p w14:paraId="5BB37236">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坐标</w:t>
            </w:r>
          </w:p>
        </w:tc>
        <w:tc>
          <w:tcPr>
            <w:tcW w:w="390" w:type="pct"/>
            <w:vMerge w:val="restart"/>
            <w:vAlign w:val="center"/>
          </w:tcPr>
          <w:p w14:paraId="4C779123">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相对</w:t>
            </w:r>
          </w:p>
          <w:p w14:paraId="13402B00">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方位</w:t>
            </w:r>
          </w:p>
        </w:tc>
        <w:tc>
          <w:tcPr>
            <w:tcW w:w="1183" w:type="pct"/>
            <w:vMerge w:val="restart"/>
            <w:vAlign w:val="center"/>
          </w:tcPr>
          <w:p w14:paraId="69567669">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距离（m）</w:t>
            </w:r>
          </w:p>
        </w:tc>
        <w:tc>
          <w:tcPr>
            <w:tcW w:w="367" w:type="pct"/>
            <w:vMerge w:val="restart"/>
            <w:vAlign w:val="center"/>
          </w:tcPr>
          <w:p w14:paraId="7EAA7BAA">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规模</w:t>
            </w:r>
          </w:p>
          <w:p w14:paraId="223D78B8">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(人)</w:t>
            </w:r>
          </w:p>
        </w:tc>
        <w:tc>
          <w:tcPr>
            <w:tcW w:w="1294" w:type="pct"/>
            <w:vMerge w:val="restart"/>
            <w:vAlign w:val="center"/>
          </w:tcPr>
          <w:p w14:paraId="79ACE585">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环境功能</w:t>
            </w:r>
          </w:p>
        </w:tc>
      </w:tr>
      <w:tr w14:paraId="4C0B17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3" w:type="pct"/>
            <w:vMerge w:val="continue"/>
            <w:vAlign w:val="center"/>
          </w:tcPr>
          <w:p w14:paraId="142C63B1">
            <w:pPr>
              <w:adjustRightInd w:val="0"/>
              <w:snapToGrid w:val="0"/>
              <w:spacing w:line="300" w:lineRule="exact"/>
              <w:jc w:val="center"/>
              <w:rPr>
                <w:rFonts w:ascii="Times New Roman" w:hAnsi="Times New Roman" w:eastAsia="宋体" w:cs="Times New Roman"/>
                <w:sz w:val="21"/>
                <w:szCs w:val="21"/>
              </w:rPr>
            </w:pPr>
          </w:p>
        </w:tc>
        <w:tc>
          <w:tcPr>
            <w:tcW w:w="435" w:type="pct"/>
            <w:vMerge w:val="continue"/>
            <w:vAlign w:val="center"/>
          </w:tcPr>
          <w:p w14:paraId="133C17C8">
            <w:pPr>
              <w:adjustRightInd w:val="0"/>
              <w:snapToGrid w:val="0"/>
              <w:spacing w:line="300" w:lineRule="exact"/>
              <w:jc w:val="center"/>
              <w:rPr>
                <w:rFonts w:ascii="Times New Roman" w:hAnsi="Times New Roman" w:eastAsia="宋体" w:cs="Times New Roman"/>
                <w:sz w:val="21"/>
                <w:szCs w:val="21"/>
              </w:rPr>
            </w:pPr>
          </w:p>
        </w:tc>
        <w:tc>
          <w:tcPr>
            <w:tcW w:w="535" w:type="pct"/>
            <w:vAlign w:val="center"/>
          </w:tcPr>
          <w:p w14:paraId="0C17E5E5">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经度</w:t>
            </w:r>
          </w:p>
        </w:tc>
        <w:tc>
          <w:tcPr>
            <w:tcW w:w="488" w:type="pct"/>
            <w:vAlign w:val="center"/>
          </w:tcPr>
          <w:p w14:paraId="670D8A62">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纬度</w:t>
            </w:r>
          </w:p>
        </w:tc>
        <w:tc>
          <w:tcPr>
            <w:tcW w:w="390" w:type="pct"/>
            <w:vMerge w:val="continue"/>
            <w:vAlign w:val="center"/>
          </w:tcPr>
          <w:p w14:paraId="65847AE2">
            <w:pPr>
              <w:adjustRightInd w:val="0"/>
              <w:snapToGrid w:val="0"/>
              <w:spacing w:line="300" w:lineRule="exact"/>
              <w:jc w:val="center"/>
              <w:rPr>
                <w:rFonts w:ascii="Times New Roman" w:hAnsi="Times New Roman" w:eastAsia="宋体" w:cs="Times New Roman"/>
                <w:sz w:val="21"/>
                <w:szCs w:val="21"/>
              </w:rPr>
            </w:pPr>
          </w:p>
        </w:tc>
        <w:tc>
          <w:tcPr>
            <w:tcW w:w="1183" w:type="pct"/>
            <w:vMerge w:val="continue"/>
            <w:vAlign w:val="center"/>
          </w:tcPr>
          <w:p w14:paraId="262E6E64">
            <w:pPr>
              <w:adjustRightInd w:val="0"/>
              <w:snapToGrid w:val="0"/>
              <w:spacing w:line="300" w:lineRule="exact"/>
              <w:jc w:val="center"/>
              <w:rPr>
                <w:rFonts w:ascii="Times New Roman" w:hAnsi="Times New Roman" w:eastAsia="宋体" w:cs="Times New Roman"/>
                <w:sz w:val="21"/>
                <w:szCs w:val="21"/>
              </w:rPr>
            </w:pPr>
          </w:p>
        </w:tc>
        <w:tc>
          <w:tcPr>
            <w:tcW w:w="367" w:type="pct"/>
            <w:vMerge w:val="continue"/>
            <w:vAlign w:val="center"/>
          </w:tcPr>
          <w:p w14:paraId="6C4A7848">
            <w:pPr>
              <w:adjustRightInd w:val="0"/>
              <w:snapToGrid w:val="0"/>
              <w:spacing w:line="300" w:lineRule="exact"/>
              <w:jc w:val="center"/>
              <w:rPr>
                <w:rFonts w:ascii="Times New Roman" w:hAnsi="Times New Roman" w:eastAsia="宋体" w:cs="Times New Roman"/>
                <w:sz w:val="21"/>
                <w:szCs w:val="21"/>
              </w:rPr>
            </w:pPr>
          </w:p>
        </w:tc>
        <w:tc>
          <w:tcPr>
            <w:tcW w:w="1294" w:type="pct"/>
            <w:vMerge w:val="continue"/>
            <w:vAlign w:val="center"/>
          </w:tcPr>
          <w:p w14:paraId="1696DAA6">
            <w:pPr>
              <w:adjustRightInd w:val="0"/>
              <w:snapToGrid w:val="0"/>
              <w:spacing w:line="300" w:lineRule="exact"/>
              <w:jc w:val="center"/>
              <w:rPr>
                <w:rFonts w:ascii="Times New Roman" w:hAnsi="Times New Roman" w:eastAsia="宋体" w:cs="Times New Roman"/>
                <w:sz w:val="21"/>
                <w:szCs w:val="21"/>
              </w:rPr>
            </w:pPr>
          </w:p>
        </w:tc>
      </w:tr>
      <w:tr w14:paraId="3F84E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3" w:type="pct"/>
            <w:vAlign w:val="center"/>
          </w:tcPr>
          <w:p w14:paraId="634F63B9">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大气环境</w:t>
            </w:r>
          </w:p>
        </w:tc>
        <w:tc>
          <w:tcPr>
            <w:tcW w:w="435" w:type="pct"/>
            <w:vAlign w:val="center"/>
          </w:tcPr>
          <w:p w14:paraId="05D58E58">
            <w:pPr>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戴庄</w:t>
            </w:r>
          </w:p>
        </w:tc>
        <w:tc>
          <w:tcPr>
            <w:tcW w:w="535" w:type="pct"/>
            <w:vAlign w:val="center"/>
          </w:tcPr>
          <w:p w14:paraId="778464B6">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118.7</w:t>
            </w:r>
            <w:r>
              <w:rPr>
                <w:rFonts w:hint="eastAsia" w:ascii="Times New Roman" w:hAnsi="Times New Roman" w:eastAsia="宋体" w:cs="Times New Roman"/>
                <w:sz w:val="21"/>
                <w:szCs w:val="21"/>
              </w:rPr>
              <w:t>054</w:t>
            </w:r>
          </w:p>
        </w:tc>
        <w:tc>
          <w:tcPr>
            <w:tcW w:w="488" w:type="pct"/>
            <w:vAlign w:val="center"/>
          </w:tcPr>
          <w:p w14:paraId="5B0EFF35">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33.</w:t>
            </w:r>
            <w:r>
              <w:rPr>
                <w:rFonts w:hint="eastAsia" w:ascii="Times New Roman" w:hAnsi="Times New Roman" w:eastAsia="宋体" w:cs="Times New Roman"/>
                <w:sz w:val="21"/>
                <w:szCs w:val="21"/>
              </w:rPr>
              <w:t>8943</w:t>
            </w:r>
          </w:p>
        </w:tc>
        <w:tc>
          <w:tcPr>
            <w:tcW w:w="390" w:type="pct"/>
            <w:vAlign w:val="center"/>
          </w:tcPr>
          <w:p w14:paraId="1633D42D">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西</w:t>
            </w:r>
            <w:r>
              <w:rPr>
                <w:rFonts w:hint="eastAsia" w:ascii="Times New Roman" w:hAnsi="Times New Roman" w:eastAsia="宋体" w:cs="Times New Roman"/>
                <w:sz w:val="21"/>
                <w:szCs w:val="21"/>
              </w:rPr>
              <w:t>北</w:t>
            </w:r>
          </w:p>
        </w:tc>
        <w:tc>
          <w:tcPr>
            <w:tcW w:w="1183" w:type="pct"/>
            <w:vAlign w:val="center"/>
          </w:tcPr>
          <w:p w14:paraId="6D303974">
            <w:pPr>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145（</w:t>
            </w:r>
            <w:r>
              <w:rPr>
                <w:rFonts w:hint="eastAsia" w:eastAsia="宋体"/>
                <w:sz w:val="21"/>
                <w:szCs w:val="21"/>
              </w:rPr>
              <w:t>以</w:t>
            </w:r>
            <w:r>
              <w:rPr>
                <w:rFonts w:hint="eastAsia"/>
                <w:sz w:val="21"/>
                <w:szCs w:val="21"/>
              </w:rPr>
              <w:t>项目污水处理站及鸡舍区边界计</w:t>
            </w:r>
            <w:r>
              <w:rPr>
                <w:rFonts w:hint="eastAsia" w:ascii="Times New Roman" w:hAnsi="Times New Roman" w:eastAsia="宋体" w:cs="Times New Roman"/>
                <w:sz w:val="21"/>
                <w:szCs w:val="21"/>
              </w:rPr>
              <w:t>）</w:t>
            </w:r>
          </w:p>
        </w:tc>
        <w:tc>
          <w:tcPr>
            <w:tcW w:w="367" w:type="pct"/>
            <w:vAlign w:val="center"/>
          </w:tcPr>
          <w:p w14:paraId="2363167F">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1294" w:type="pct"/>
            <w:vAlign w:val="center"/>
          </w:tcPr>
          <w:p w14:paraId="14EF0146">
            <w:pPr>
              <w:adjustRightInd w:val="0"/>
              <w:snapToGri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《环境空气质量标准》GB3095–2012中二级标准</w:t>
            </w:r>
          </w:p>
        </w:tc>
      </w:tr>
    </w:tbl>
    <w:p w14:paraId="264110F8">
      <w:pPr>
        <w:snapToGrid w:val="0"/>
        <w:spacing w:line="360" w:lineRule="exact"/>
        <w:ind w:firstLine="420" w:firstLineChars="200"/>
        <w:rPr>
          <w:sz w:val="21"/>
          <w:szCs w:val="21"/>
        </w:rPr>
      </w:pPr>
      <w:r>
        <w:rPr>
          <w:rFonts w:hint="eastAsia"/>
          <w:sz w:val="21"/>
          <w:szCs w:val="21"/>
        </w:rPr>
        <w:t>注：西北侧戴庄距离项目污水处理站及鸡舍区最近距离为145m，卫生防护距离内有3户居民，目前房屋已被本公司租赁作为</w:t>
      </w:r>
      <w:r>
        <w:rPr>
          <w:rFonts w:hint="eastAsia"/>
          <w:sz w:val="21"/>
          <w:szCs w:val="21"/>
          <w:lang w:val="en-US" w:eastAsia="zh-CN"/>
        </w:rPr>
        <w:t>工具设备暂存</w:t>
      </w:r>
      <w:r>
        <w:rPr>
          <w:rFonts w:hint="eastAsia"/>
          <w:sz w:val="21"/>
          <w:szCs w:val="21"/>
        </w:rPr>
        <w:t>用房。</w:t>
      </w:r>
    </w:p>
    <w:p w14:paraId="06907A96">
      <w:pPr>
        <w:pStyle w:val="7"/>
        <w:spacing w:line="480" w:lineRule="exact"/>
      </w:pPr>
      <w:r>
        <w:rPr>
          <w:rFonts w:hint="eastAsia"/>
        </w:rPr>
        <w:t>5</w:t>
      </w:r>
      <w:r>
        <w:t>.2.</w:t>
      </w:r>
      <w:r>
        <w:rPr>
          <w:rFonts w:hint="eastAsia"/>
        </w:rPr>
        <w:t>8</w:t>
      </w:r>
      <w:r>
        <w:t xml:space="preserve"> </w:t>
      </w:r>
      <w:r>
        <w:rPr>
          <w:rFonts w:hint="eastAsia"/>
        </w:rPr>
        <w:t>污染物排放量计算</w:t>
      </w:r>
    </w:p>
    <w:p w14:paraId="500D497C">
      <w:pPr>
        <w:spacing w:line="480" w:lineRule="exact"/>
        <w:ind w:firstLine="480" w:firstLineChars="200"/>
      </w:pPr>
      <w:r>
        <w:rPr>
          <w:rFonts w:hint="eastAsia"/>
        </w:rPr>
        <w:t>本项目大气污染物有组织排放量核算见表5.2-1</w:t>
      </w:r>
      <w:r>
        <w:t>9</w:t>
      </w:r>
      <w:r>
        <w:rPr>
          <w:rFonts w:hint="eastAsia"/>
        </w:rPr>
        <w:t>，本项目大气污染物无组织排放量核算见表5.2-20，本项目大气污染物年排放量核算见表5.2-21，非正常排放量核算见表5.2-22。</w:t>
      </w:r>
    </w:p>
    <w:p w14:paraId="225F4430">
      <w:pPr>
        <w:pStyle w:val="31"/>
        <w:spacing w:before="0" w:line="480" w:lineRule="exact"/>
      </w:pPr>
      <w:r>
        <w:rPr>
          <w:rFonts w:hint="eastAsia"/>
        </w:rPr>
        <w:t>表</w:t>
      </w:r>
      <w:r>
        <w:t>5.2</w:t>
      </w:r>
      <w:r>
        <w:rPr>
          <w:rFonts w:hint="eastAsia"/>
        </w:rPr>
        <w:t>-1</w:t>
      </w:r>
      <w:r>
        <w:t xml:space="preserve">9  </w:t>
      </w:r>
      <w:r>
        <w:rPr>
          <w:rFonts w:hint="eastAsia"/>
        </w:rPr>
        <w:t>大气污染物有组织排放量核算表</w:t>
      </w:r>
    </w:p>
    <w:tbl>
      <w:tblPr>
        <w:tblStyle w:val="41"/>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663"/>
        <w:gridCol w:w="1273"/>
        <w:gridCol w:w="1456"/>
        <w:gridCol w:w="1770"/>
        <w:gridCol w:w="1909"/>
        <w:gridCol w:w="1646"/>
      </w:tblGrid>
      <w:tr w14:paraId="3AFB1B9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81" w:type="pct"/>
            <w:shd w:val="clear" w:color="auto" w:fill="FFFFFF"/>
            <w:vAlign w:val="center"/>
          </w:tcPr>
          <w:p w14:paraId="255AF27C">
            <w:pPr>
              <w:pStyle w:val="101"/>
              <w:adjustRightInd w:val="0"/>
              <w:snapToGrid w:val="0"/>
              <w:spacing w:line="280" w:lineRule="exact"/>
              <w:rPr>
                <w:rFonts w:eastAsia="宋体"/>
                <w:sz w:val="21"/>
                <w:szCs w:val="21"/>
              </w:rPr>
            </w:pPr>
            <w:r>
              <w:rPr>
                <w:rFonts w:hAnsi="宋体" w:eastAsia="宋体"/>
                <w:sz w:val="21"/>
                <w:szCs w:val="21"/>
              </w:rPr>
              <w:t>序号</w:t>
            </w:r>
          </w:p>
        </w:tc>
        <w:tc>
          <w:tcPr>
            <w:tcW w:w="730" w:type="pct"/>
            <w:shd w:val="clear" w:color="auto" w:fill="FFFFFF"/>
            <w:vAlign w:val="center"/>
          </w:tcPr>
          <w:p w14:paraId="1A9ABEDC">
            <w:pPr>
              <w:pStyle w:val="101"/>
              <w:adjustRightInd w:val="0"/>
              <w:snapToGrid w:val="0"/>
              <w:spacing w:line="280" w:lineRule="exact"/>
              <w:rPr>
                <w:rFonts w:eastAsia="宋体"/>
                <w:sz w:val="21"/>
                <w:szCs w:val="21"/>
              </w:rPr>
            </w:pPr>
            <w:r>
              <w:rPr>
                <w:rFonts w:hAnsi="宋体" w:eastAsia="宋体"/>
                <w:sz w:val="21"/>
                <w:szCs w:val="21"/>
              </w:rPr>
              <w:t>排放口编号</w:t>
            </w:r>
          </w:p>
        </w:tc>
        <w:tc>
          <w:tcPr>
            <w:tcW w:w="835" w:type="pct"/>
            <w:shd w:val="clear" w:color="auto" w:fill="FFFFFF"/>
            <w:vAlign w:val="center"/>
          </w:tcPr>
          <w:p w14:paraId="786D9A26">
            <w:pPr>
              <w:pStyle w:val="101"/>
              <w:adjustRightInd w:val="0"/>
              <w:snapToGrid w:val="0"/>
              <w:spacing w:line="280" w:lineRule="exact"/>
              <w:rPr>
                <w:rFonts w:eastAsia="宋体"/>
                <w:sz w:val="21"/>
                <w:szCs w:val="21"/>
              </w:rPr>
            </w:pPr>
            <w:r>
              <w:rPr>
                <w:rFonts w:hAnsi="宋体" w:eastAsia="宋体"/>
                <w:sz w:val="21"/>
                <w:szCs w:val="21"/>
              </w:rPr>
              <w:t>污染物</w:t>
            </w:r>
          </w:p>
        </w:tc>
        <w:tc>
          <w:tcPr>
            <w:tcW w:w="1015" w:type="pct"/>
            <w:shd w:val="clear" w:color="auto" w:fill="FFFFFF"/>
            <w:vAlign w:val="center"/>
          </w:tcPr>
          <w:p w14:paraId="5E5A272B">
            <w:pPr>
              <w:pStyle w:val="101"/>
              <w:adjustRightInd w:val="0"/>
              <w:snapToGrid w:val="0"/>
              <w:spacing w:line="280" w:lineRule="exact"/>
              <w:rPr>
                <w:rFonts w:eastAsia="宋体"/>
                <w:sz w:val="21"/>
                <w:szCs w:val="21"/>
              </w:rPr>
            </w:pPr>
            <w:r>
              <w:rPr>
                <w:rFonts w:hAnsi="宋体" w:eastAsia="宋体"/>
                <w:sz w:val="21"/>
                <w:szCs w:val="21"/>
              </w:rPr>
              <w:t>核算排放浓度</w:t>
            </w:r>
            <w:r>
              <w:rPr>
                <w:rFonts w:eastAsia="宋体"/>
                <w:sz w:val="21"/>
                <w:szCs w:val="21"/>
              </w:rPr>
              <w:t>/</w:t>
            </w:r>
          </w:p>
          <w:p w14:paraId="78A8B170">
            <w:pPr>
              <w:pStyle w:val="101"/>
              <w:adjustRightInd w:val="0"/>
              <w:snapToGrid w:val="0"/>
              <w:spacing w:line="280" w:lineRule="exact"/>
              <w:rPr>
                <w:rFonts w:eastAsia="宋体"/>
                <w:sz w:val="21"/>
                <w:szCs w:val="21"/>
              </w:rPr>
            </w:pPr>
            <w:r>
              <w:rPr>
                <w:rFonts w:hAnsi="宋体" w:eastAsia="宋体"/>
                <w:sz w:val="21"/>
                <w:szCs w:val="21"/>
              </w:rPr>
              <w:t>（</w:t>
            </w:r>
            <w:r>
              <w:rPr>
                <w:rFonts w:eastAsia="宋体"/>
                <w:sz w:val="21"/>
                <w:szCs w:val="21"/>
              </w:rPr>
              <w:t>mg/m</w:t>
            </w:r>
            <w:r>
              <w:rPr>
                <w:rFonts w:eastAsia="宋体"/>
                <w:sz w:val="21"/>
                <w:szCs w:val="21"/>
                <w:vertAlign w:val="superscript"/>
              </w:rPr>
              <w:t>3</w:t>
            </w:r>
            <w:r>
              <w:rPr>
                <w:rFonts w:hAnsi="宋体" w:eastAsia="宋体"/>
                <w:sz w:val="21"/>
                <w:szCs w:val="21"/>
              </w:rPr>
              <w:t>）</w:t>
            </w:r>
          </w:p>
        </w:tc>
        <w:tc>
          <w:tcPr>
            <w:tcW w:w="1094" w:type="pct"/>
            <w:shd w:val="clear" w:color="auto" w:fill="FFFFFF"/>
            <w:vAlign w:val="center"/>
          </w:tcPr>
          <w:p w14:paraId="3BD91568">
            <w:pPr>
              <w:pStyle w:val="101"/>
              <w:adjustRightInd w:val="0"/>
              <w:snapToGrid w:val="0"/>
              <w:spacing w:line="280" w:lineRule="exact"/>
              <w:rPr>
                <w:rFonts w:eastAsia="宋体"/>
                <w:sz w:val="21"/>
                <w:szCs w:val="21"/>
              </w:rPr>
            </w:pPr>
            <w:r>
              <w:rPr>
                <w:rFonts w:hAnsi="宋体" w:eastAsia="宋体"/>
                <w:sz w:val="21"/>
                <w:szCs w:val="21"/>
              </w:rPr>
              <w:t>核算排放速率</w:t>
            </w:r>
            <w:r>
              <w:rPr>
                <w:rFonts w:eastAsia="宋体"/>
                <w:sz w:val="21"/>
                <w:szCs w:val="21"/>
              </w:rPr>
              <w:t>/</w:t>
            </w:r>
          </w:p>
          <w:p w14:paraId="2AED901A">
            <w:pPr>
              <w:pStyle w:val="101"/>
              <w:adjustRightInd w:val="0"/>
              <w:snapToGrid w:val="0"/>
              <w:spacing w:line="280" w:lineRule="exact"/>
              <w:rPr>
                <w:rFonts w:eastAsia="宋体"/>
                <w:sz w:val="21"/>
                <w:szCs w:val="21"/>
              </w:rPr>
            </w:pPr>
            <w:r>
              <w:rPr>
                <w:rFonts w:hAnsi="宋体" w:eastAsia="宋体"/>
                <w:sz w:val="21"/>
                <w:szCs w:val="21"/>
              </w:rPr>
              <w:t>（</w:t>
            </w:r>
            <w:r>
              <w:rPr>
                <w:rFonts w:eastAsia="宋体"/>
                <w:sz w:val="21"/>
                <w:szCs w:val="21"/>
              </w:rPr>
              <w:t>kg/h</w:t>
            </w:r>
            <w:r>
              <w:rPr>
                <w:rFonts w:hAnsi="宋体" w:eastAsia="宋体"/>
                <w:sz w:val="21"/>
                <w:szCs w:val="21"/>
              </w:rPr>
              <w:t>）</w:t>
            </w:r>
          </w:p>
        </w:tc>
        <w:tc>
          <w:tcPr>
            <w:tcW w:w="942" w:type="pct"/>
            <w:shd w:val="clear" w:color="auto" w:fill="FFFFFF"/>
            <w:vAlign w:val="center"/>
          </w:tcPr>
          <w:p w14:paraId="320AA459">
            <w:pPr>
              <w:pStyle w:val="101"/>
              <w:adjustRightInd w:val="0"/>
              <w:snapToGrid w:val="0"/>
              <w:spacing w:line="280" w:lineRule="exact"/>
              <w:rPr>
                <w:rFonts w:eastAsia="宋体"/>
                <w:sz w:val="21"/>
                <w:szCs w:val="21"/>
              </w:rPr>
            </w:pPr>
            <w:r>
              <w:rPr>
                <w:rFonts w:hAnsi="宋体" w:eastAsia="宋体"/>
                <w:sz w:val="21"/>
                <w:szCs w:val="21"/>
              </w:rPr>
              <w:t>核算年排放量</w:t>
            </w:r>
            <w:r>
              <w:rPr>
                <w:rFonts w:eastAsia="宋体"/>
                <w:sz w:val="21"/>
                <w:szCs w:val="21"/>
              </w:rPr>
              <w:t>/</w:t>
            </w:r>
            <w:r>
              <w:rPr>
                <w:rFonts w:hAnsi="宋体" w:eastAsia="宋体"/>
                <w:sz w:val="21"/>
                <w:szCs w:val="21"/>
              </w:rPr>
              <w:t>（</w:t>
            </w:r>
            <w:r>
              <w:rPr>
                <w:rFonts w:eastAsia="宋体"/>
                <w:sz w:val="21"/>
                <w:szCs w:val="21"/>
              </w:rPr>
              <w:t>t/a</w:t>
            </w:r>
            <w:r>
              <w:rPr>
                <w:rFonts w:hAnsi="宋体" w:eastAsia="宋体"/>
                <w:sz w:val="21"/>
                <w:szCs w:val="21"/>
              </w:rPr>
              <w:t>）</w:t>
            </w:r>
          </w:p>
        </w:tc>
      </w:tr>
      <w:tr w14:paraId="78F9623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000" w:type="pct"/>
            <w:gridSpan w:val="6"/>
            <w:shd w:val="clear" w:color="auto" w:fill="FFFFFF"/>
            <w:vAlign w:val="center"/>
          </w:tcPr>
          <w:p w14:paraId="392F7E92">
            <w:pPr>
              <w:pStyle w:val="101"/>
              <w:adjustRightInd w:val="0"/>
              <w:snapToGrid w:val="0"/>
              <w:spacing w:line="280" w:lineRule="exact"/>
              <w:rPr>
                <w:rFonts w:eastAsia="宋体"/>
                <w:sz w:val="21"/>
                <w:szCs w:val="21"/>
              </w:rPr>
            </w:pPr>
            <w:r>
              <w:rPr>
                <w:rFonts w:hAnsi="宋体" w:eastAsia="宋体"/>
                <w:sz w:val="21"/>
                <w:szCs w:val="21"/>
              </w:rPr>
              <w:t>主要排放口</w:t>
            </w:r>
          </w:p>
        </w:tc>
      </w:tr>
      <w:tr w14:paraId="4D8E359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81" w:type="pct"/>
            <w:shd w:val="clear" w:color="auto" w:fill="FFFFFF"/>
            <w:vAlign w:val="center"/>
          </w:tcPr>
          <w:p w14:paraId="12E1281E">
            <w:pPr>
              <w:pStyle w:val="101"/>
              <w:adjustRightInd w:val="0"/>
              <w:snapToGrid w:val="0"/>
              <w:spacing w:line="280" w:lineRule="exact"/>
              <w:rPr>
                <w:rFonts w:eastAsia="宋体"/>
                <w:sz w:val="21"/>
                <w:szCs w:val="21"/>
              </w:rPr>
            </w:pPr>
            <w:r>
              <w:rPr>
                <w:rFonts w:hint="eastAsia" w:eastAsia="宋体"/>
                <w:sz w:val="21"/>
                <w:szCs w:val="21"/>
              </w:rPr>
              <w:t>/</w:t>
            </w:r>
          </w:p>
        </w:tc>
        <w:tc>
          <w:tcPr>
            <w:tcW w:w="730" w:type="pct"/>
            <w:shd w:val="clear" w:color="auto" w:fill="FFFFFF"/>
            <w:vAlign w:val="center"/>
          </w:tcPr>
          <w:p w14:paraId="219DB8A4">
            <w:pPr>
              <w:pStyle w:val="101"/>
              <w:adjustRightInd w:val="0"/>
              <w:snapToGrid w:val="0"/>
              <w:spacing w:line="280" w:lineRule="exact"/>
              <w:rPr>
                <w:rFonts w:eastAsia="宋体"/>
                <w:sz w:val="21"/>
                <w:szCs w:val="21"/>
              </w:rPr>
            </w:pPr>
            <w:r>
              <w:rPr>
                <w:rFonts w:hint="eastAsia" w:eastAsia="宋体"/>
                <w:sz w:val="21"/>
                <w:szCs w:val="21"/>
              </w:rPr>
              <w:t>/</w:t>
            </w:r>
          </w:p>
        </w:tc>
        <w:tc>
          <w:tcPr>
            <w:tcW w:w="835" w:type="pct"/>
            <w:shd w:val="clear" w:color="auto" w:fill="FFFFFF"/>
            <w:vAlign w:val="center"/>
          </w:tcPr>
          <w:p w14:paraId="0BE8015B">
            <w:pPr>
              <w:adjustRightInd w:val="0"/>
              <w:snapToGrid w:val="0"/>
              <w:spacing w:line="280" w:lineRule="exact"/>
              <w:jc w:val="center"/>
              <w:rPr>
                <w:rFonts w:ascii="Times New Roman" w:eastAsia="宋体"/>
                <w:sz w:val="21"/>
                <w:szCs w:val="21"/>
              </w:rPr>
            </w:pPr>
            <w:r>
              <w:rPr>
                <w:rFonts w:hint="eastAsia" w:ascii="Times New Roman" w:eastAsia="宋体"/>
                <w:sz w:val="21"/>
                <w:szCs w:val="21"/>
              </w:rPr>
              <w:t>/</w:t>
            </w:r>
          </w:p>
        </w:tc>
        <w:tc>
          <w:tcPr>
            <w:tcW w:w="1015" w:type="pct"/>
            <w:shd w:val="clear" w:color="auto" w:fill="FFFFFF"/>
            <w:vAlign w:val="center"/>
          </w:tcPr>
          <w:p w14:paraId="33B431F3">
            <w:pPr>
              <w:adjustRightInd w:val="0"/>
              <w:snapToGrid w:val="0"/>
              <w:spacing w:line="280" w:lineRule="exact"/>
              <w:jc w:val="center"/>
              <w:rPr>
                <w:rFonts w:ascii="Times New Roman" w:eastAsia="宋体"/>
                <w:color w:val="000000"/>
                <w:sz w:val="21"/>
                <w:szCs w:val="21"/>
              </w:rPr>
            </w:pPr>
            <w:r>
              <w:rPr>
                <w:rFonts w:hint="eastAsia" w:ascii="Times New Roman" w:eastAsia="宋体"/>
                <w:color w:val="000000"/>
                <w:sz w:val="21"/>
                <w:szCs w:val="21"/>
              </w:rPr>
              <w:t>/</w:t>
            </w:r>
          </w:p>
        </w:tc>
        <w:tc>
          <w:tcPr>
            <w:tcW w:w="1094" w:type="pct"/>
            <w:shd w:val="clear" w:color="auto" w:fill="FFFFFF"/>
            <w:vAlign w:val="center"/>
          </w:tcPr>
          <w:p w14:paraId="34D5E3A7">
            <w:pPr>
              <w:adjustRightInd w:val="0"/>
              <w:snapToGrid w:val="0"/>
              <w:spacing w:line="280" w:lineRule="exact"/>
              <w:jc w:val="center"/>
              <w:rPr>
                <w:rFonts w:ascii="Times New Roman" w:eastAsia="宋体"/>
                <w:color w:val="000000"/>
                <w:sz w:val="21"/>
                <w:szCs w:val="21"/>
              </w:rPr>
            </w:pPr>
            <w:r>
              <w:rPr>
                <w:rFonts w:hint="eastAsia" w:ascii="Times New Roman" w:eastAsia="宋体"/>
                <w:color w:val="000000"/>
                <w:sz w:val="21"/>
                <w:szCs w:val="21"/>
              </w:rPr>
              <w:t>/</w:t>
            </w:r>
          </w:p>
        </w:tc>
        <w:tc>
          <w:tcPr>
            <w:tcW w:w="942" w:type="pct"/>
            <w:shd w:val="clear" w:color="auto" w:fill="FFFFFF"/>
            <w:vAlign w:val="center"/>
          </w:tcPr>
          <w:p w14:paraId="63B4C09F">
            <w:pPr>
              <w:adjustRightInd w:val="0"/>
              <w:snapToGrid w:val="0"/>
              <w:spacing w:line="280" w:lineRule="exact"/>
              <w:jc w:val="center"/>
              <w:rPr>
                <w:rFonts w:ascii="Times New Roman" w:eastAsia="宋体"/>
                <w:color w:val="000000"/>
                <w:sz w:val="21"/>
                <w:szCs w:val="21"/>
              </w:rPr>
            </w:pPr>
            <w:r>
              <w:rPr>
                <w:rFonts w:hint="eastAsia" w:ascii="Times New Roman" w:eastAsia="宋体"/>
                <w:color w:val="000000"/>
                <w:sz w:val="21"/>
                <w:szCs w:val="21"/>
              </w:rPr>
              <w:t>/</w:t>
            </w:r>
          </w:p>
        </w:tc>
      </w:tr>
      <w:tr w14:paraId="23F4447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11" w:type="pct"/>
            <w:gridSpan w:val="2"/>
            <w:shd w:val="clear" w:color="auto" w:fill="FFFFFF"/>
            <w:vAlign w:val="center"/>
          </w:tcPr>
          <w:p w14:paraId="3CAFECA7">
            <w:pPr>
              <w:pStyle w:val="101"/>
              <w:adjustRightInd w:val="0"/>
              <w:snapToGrid w:val="0"/>
              <w:spacing w:line="280" w:lineRule="exact"/>
              <w:rPr>
                <w:rFonts w:eastAsia="宋体"/>
                <w:sz w:val="21"/>
                <w:szCs w:val="21"/>
              </w:rPr>
            </w:pPr>
            <w:r>
              <w:rPr>
                <w:rFonts w:hAnsi="宋体" w:eastAsia="宋体"/>
                <w:sz w:val="21"/>
                <w:szCs w:val="21"/>
              </w:rPr>
              <w:t>排放口合计</w:t>
            </w:r>
          </w:p>
        </w:tc>
        <w:tc>
          <w:tcPr>
            <w:tcW w:w="2945" w:type="pct"/>
            <w:gridSpan w:val="3"/>
            <w:shd w:val="clear" w:color="auto" w:fill="FFFFFF"/>
            <w:vAlign w:val="center"/>
          </w:tcPr>
          <w:p w14:paraId="73B718BB">
            <w:pPr>
              <w:adjustRightInd w:val="0"/>
              <w:snapToGrid w:val="0"/>
              <w:spacing w:line="280" w:lineRule="exact"/>
              <w:jc w:val="center"/>
              <w:rPr>
                <w:rFonts w:ascii="Times New Roman" w:eastAsia="宋体"/>
                <w:sz w:val="21"/>
                <w:szCs w:val="21"/>
              </w:rPr>
            </w:pPr>
            <w:r>
              <w:rPr>
                <w:rFonts w:hint="eastAsia" w:ascii="Times New Roman" w:eastAsia="宋体"/>
                <w:sz w:val="21"/>
                <w:szCs w:val="21"/>
              </w:rPr>
              <w:t>/</w:t>
            </w:r>
          </w:p>
        </w:tc>
        <w:tc>
          <w:tcPr>
            <w:tcW w:w="942" w:type="pct"/>
            <w:shd w:val="clear" w:color="auto" w:fill="FFFFFF"/>
            <w:vAlign w:val="center"/>
          </w:tcPr>
          <w:p w14:paraId="38A9E516">
            <w:pPr>
              <w:adjustRightInd w:val="0"/>
              <w:snapToGrid w:val="0"/>
              <w:spacing w:line="280" w:lineRule="exact"/>
              <w:jc w:val="center"/>
              <w:rPr>
                <w:rFonts w:ascii="Times New Roman" w:eastAsia="宋体"/>
                <w:color w:val="000000"/>
                <w:sz w:val="21"/>
                <w:szCs w:val="21"/>
              </w:rPr>
            </w:pPr>
            <w:r>
              <w:rPr>
                <w:rFonts w:hint="eastAsia" w:ascii="Times New Roman" w:eastAsia="宋体"/>
                <w:color w:val="000000"/>
                <w:sz w:val="21"/>
                <w:szCs w:val="21"/>
              </w:rPr>
              <w:t>/</w:t>
            </w:r>
          </w:p>
        </w:tc>
      </w:tr>
      <w:tr w14:paraId="5FA8B4A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000" w:type="pct"/>
            <w:gridSpan w:val="6"/>
            <w:shd w:val="clear" w:color="auto" w:fill="FFFFFF"/>
            <w:vAlign w:val="center"/>
          </w:tcPr>
          <w:p w14:paraId="347CA4AC">
            <w:pPr>
              <w:pStyle w:val="101"/>
              <w:adjustRightInd w:val="0"/>
              <w:snapToGrid w:val="0"/>
              <w:spacing w:line="280" w:lineRule="exact"/>
              <w:rPr>
                <w:rFonts w:eastAsia="宋体"/>
                <w:sz w:val="21"/>
                <w:szCs w:val="21"/>
              </w:rPr>
            </w:pPr>
            <w:r>
              <w:rPr>
                <w:rFonts w:hAnsi="宋体" w:eastAsia="宋体"/>
                <w:sz w:val="21"/>
                <w:szCs w:val="21"/>
              </w:rPr>
              <w:t>一般排放口</w:t>
            </w:r>
          </w:p>
        </w:tc>
      </w:tr>
      <w:tr w14:paraId="16E3C6F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81" w:type="pct"/>
            <w:shd w:val="clear" w:color="auto" w:fill="FFFFFF"/>
            <w:vAlign w:val="center"/>
          </w:tcPr>
          <w:p w14:paraId="6173BBFE">
            <w:pPr>
              <w:pStyle w:val="101"/>
              <w:adjustRightInd w:val="0"/>
              <w:snapToGrid w:val="0"/>
              <w:spacing w:line="280" w:lineRule="exact"/>
              <w:rPr>
                <w:rFonts w:eastAsia="宋体"/>
                <w:sz w:val="21"/>
                <w:szCs w:val="21"/>
              </w:rPr>
            </w:pPr>
            <w:bookmarkStart w:id="103" w:name="_Hlk11917269"/>
            <w:bookmarkStart w:id="104" w:name="OLE_LINK4" w:colFirst="0" w:colLast="0"/>
            <w:bookmarkStart w:id="105" w:name="OLE_LINK3" w:colFirst="0" w:colLast="0"/>
            <w:r>
              <w:rPr>
                <w:rFonts w:eastAsia="宋体"/>
                <w:sz w:val="21"/>
                <w:szCs w:val="21"/>
              </w:rPr>
              <w:t>1</w:t>
            </w:r>
          </w:p>
        </w:tc>
        <w:tc>
          <w:tcPr>
            <w:tcW w:w="730" w:type="pct"/>
            <w:vMerge w:val="restart"/>
            <w:shd w:val="clear" w:color="auto" w:fill="FFFFFF"/>
            <w:vAlign w:val="center"/>
          </w:tcPr>
          <w:p w14:paraId="7B715D32">
            <w:pPr>
              <w:adjustRightInd w:val="0"/>
              <w:snapToGrid w:val="0"/>
              <w:spacing w:line="280" w:lineRule="exact"/>
              <w:jc w:val="center"/>
              <w:rPr>
                <w:rFonts w:ascii="Times New Roman" w:eastAsia="宋体"/>
                <w:sz w:val="21"/>
                <w:szCs w:val="21"/>
              </w:rPr>
            </w:pPr>
            <w:r>
              <w:rPr>
                <w:rFonts w:hint="eastAsia" w:ascii="Times New Roman" w:eastAsia="宋体"/>
                <w:sz w:val="21"/>
                <w:szCs w:val="21"/>
              </w:rPr>
              <w:t>DA001</w:t>
            </w:r>
          </w:p>
        </w:tc>
        <w:tc>
          <w:tcPr>
            <w:tcW w:w="835" w:type="pct"/>
            <w:shd w:val="clear" w:color="auto" w:fill="FFFFFF"/>
            <w:vAlign w:val="center"/>
          </w:tcPr>
          <w:p w14:paraId="2EC9FB94">
            <w:pPr>
              <w:pStyle w:val="6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NH</w:t>
            </w:r>
            <w:r>
              <w:rPr>
                <w:rFonts w:hint="eastAsia"/>
                <w:color w:val="000000" w:themeColor="text1"/>
                <w:szCs w:val="21"/>
                <w:vertAlign w:val="subscript"/>
                <w14:textFill>
                  <w14:solidFill>
                    <w14:schemeClr w14:val="tx1"/>
                  </w14:solidFill>
                </w14:textFill>
              </w:rPr>
              <w:t>3</w:t>
            </w:r>
          </w:p>
        </w:tc>
        <w:tc>
          <w:tcPr>
            <w:tcW w:w="1015" w:type="pct"/>
            <w:shd w:val="clear" w:color="auto" w:fill="FFFFFF"/>
            <w:vAlign w:val="center"/>
          </w:tcPr>
          <w:p w14:paraId="3BD12D01">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0.55</w:t>
            </w:r>
          </w:p>
        </w:tc>
        <w:tc>
          <w:tcPr>
            <w:tcW w:w="1094" w:type="pct"/>
            <w:shd w:val="clear" w:color="auto" w:fill="FFFFFF"/>
            <w:vAlign w:val="center"/>
          </w:tcPr>
          <w:p w14:paraId="39B55F75">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0.0033</w:t>
            </w:r>
          </w:p>
        </w:tc>
        <w:tc>
          <w:tcPr>
            <w:tcW w:w="942" w:type="pct"/>
            <w:shd w:val="clear" w:color="auto" w:fill="FFFFFF"/>
            <w:vAlign w:val="center"/>
          </w:tcPr>
          <w:p w14:paraId="3C0CD821">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0.0235</w:t>
            </w:r>
          </w:p>
        </w:tc>
      </w:tr>
      <w:tr w14:paraId="6C62CEC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81" w:type="pct"/>
            <w:shd w:val="clear" w:color="auto" w:fill="FFFFFF"/>
            <w:vAlign w:val="center"/>
          </w:tcPr>
          <w:p w14:paraId="06D5E6CD">
            <w:pPr>
              <w:pStyle w:val="101"/>
              <w:adjustRightInd w:val="0"/>
              <w:snapToGrid w:val="0"/>
              <w:spacing w:line="280" w:lineRule="exact"/>
              <w:rPr>
                <w:rFonts w:eastAsia="宋体"/>
                <w:sz w:val="21"/>
                <w:szCs w:val="21"/>
              </w:rPr>
            </w:pPr>
            <w:r>
              <w:rPr>
                <w:rFonts w:eastAsia="宋体"/>
                <w:sz w:val="21"/>
                <w:szCs w:val="21"/>
              </w:rPr>
              <w:t>2</w:t>
            </w:r>
          </w:p>
        </w:tc>
        <w:tc>
          <w:tcPr>
            <w:tcW w:w="730" w:type="pct"/>
            <w:vMerge w:val="continue"/>
            <w:shd w:val="clear" w:color="auto" w:fill="FFFFFF"/>
            <w:vAlign w:val="center"/>
          </w:tcPr>
          <w:p w14:paraId="5B46210F">
            <w:pPr>
              <w:adjustRightInd w:val="0"/>
              <w:snapToGrid w:val="0"/>
              <w:spacing w:line="280" w:lineRule="exact"/>
              <w:jc w:val="center"/>
              <w:rPr>
                <w:rFonts w:ascii="Times New Roman" w:eastAsia="宋体"/>
                <w:sz w:val="21"/>
                <w:szCs w:val="21"/>
              </w:rPr>
            </w:pPr>
          </w:p>
        </w:tc>
        <w:tc>
          <w:tcPr>
            <w:tcW w:w="835" w:type="pct"/>
            <w:shd w:val="clear" w:color="auto" w:fill="FFFFFF"/>
            <w:vAlign w:val="center"/>
          </w:tcPr>
          <w:p w14:paraId="5990832B">
            <w:pPr>
              <w:pStyle w:val="6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S</w:t>
            </w:r>
          </w:p>
        </w:tc>
        <w:tc>
          <w:tcPr>
            <w:tcW w:w="1015" w:type="pct"/>
            <w:shd w:val="clear" w:color="auto" w:fill="FFFFFF"/>
            <w:vAlign w:val="center"/>
          </w:tcPr>
          <w:p w14:paraId="3194484C">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0.054</w:t>
            </w:r>
          </w:p>
        </w:tc>
        <w:tc>
          <w:tcPr>
            <w:tcW w:w="1094" w:type="pct"/>
            <w:shd w:val="clear" w:color="auto" w:fill="FFFFFF"/>
            <w:vAlign w:val="center"/>
          </w:tcPr>
          <w:p w14:paraId="76B547CA">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0.00032</w:t>
            </w:r>
          </w:p>
        </w:tc>
        <w:tc>
          <w:tcPr>
            <w:tcW w:w="942" w:type="pct"/>
            <w:shd w:val="clear" w:color="auto" w:fill="FFFFFF"/>
            <w:vAlign w:val="center"/>
          </w:tcPr>
          <w:p w14:paraId="3E21EA3A">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0.00231</w:t>
            </w:r>
          </w:p>
        </w:tc>
      </w:tr>
      <w:bookmarkEnd w:id="103"/>
      <w:bookmarkEnd w:id="104"/>
      <w:bookmarkEnd w:id="105"/>
      <w:tr w14:paraId="6ED9171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11" w:type="pct"/>
            <w:gridSpan w:val="2"/>
            <w:vMerge w:val="restart"/>
            <w:shd w:val="clear" w:color="auto" w:fill="FFFFFF"/>
            <w:vAlign w:val="center"/>
          </w:tcPr>
          <w:p w14:paraId="55C03FF5">
            <w:pPr>
              <w:pStyle w:val="101"/>
              <w:adjustRightInd w:val="0"/>
              <w:snapToGrid w:val="0"/>
              <w:spacing w:line="280" w:lineRule="exact"/>
              <w:rPr>
                <w:rFonts w:eastAsia="宋体"/>
                <w:sz w:val="21"/>
                <w:szCs w:val="21"/>
              </w:rPr>
            </w:pPr>
            <w:r>
              <w:rPr>
                <w:rFonts w:hAnsi="宋体" w:eastAsia="宋体"/>
                <w:sz w:val="21"/>
                <w:szCs w:val="21"/>
              </w:rPr>
              <w:t>一般排放口合计</w:t>
            </w:r>
          </w:p>
        </w:tc>
        <w:tc>
          <w:tcPr>
            <w:tcW w:w="2945" w:type="pct"/>
            <w:gridSpan w:val="3"/>
            <w:shd w:val="clear" w:color="auto" w:fill="FFFFFF"/>
            <w:vAlign w:val="center"/>
          </w:tcPr>
          <w:p w14:paraId="4A4BEFD0">
            <w:pPr>
              <w:adjustRightInd w:val="0"/>
              <w:snapToGrid w:val="0"/>
              <w:spacing w:line="280" w:lineRule="exact"/>
              <w:jc w:val="center"/>
              <w:rPr>
                <w:rFonts w:ascii="Times New Roman" w:eastAsia="宋体" w:hAnsiTheme="minorHAnsi"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NH</w:t>
            </w:r>
            <w:r>
              <w:rPr>
                <w:rFonts w:hint="eastAsia"/>
                <w:color w:val="000000" w:themeColor="text1"/>
                <w:sz w:val="21"/>
                <w:szCs w:val="21"/>
                <w:vertAlign w:val="subscript"/>
                <w14:textFill>
                  <w14:solidFill>
                    <w14:schemeClr w14:val="tx1"/>
                  </w14:solidFill>
                </w14:textFill>
              </w:rPr>
              <w:t>3</w:t>
            </w:r>
          </w:p>
        </w:tc>
        <w:tc>
          <w:tcPr>
            <w:tcW w:w="942" w:type="pct"/>
            <w:shd w:val="clear" w:color="auto" w:fill="FFFFFF"/>
            <w:vAlign w:val="center"/>
          </w:tcPr>
          <w:p w14:paraId="3F02D231">
            <w:pPr>
              <w:adjustRightInd w:val="0"/>
              <w:snapToGrid w:val="0"/>
              <w:spacing w:line="280" w:lineRule="exact"/>
              <w:jc w:val="center"/>
              <w:rPr>
                <w:rFonts w:ascii="Times New Roman" w:eastAsia="宋体" w:hAnsiTheme="minorHAnsi" w:cstheme="minorBidi"/>
                <w:kern w:val="0"/>
                <w:sz w:val="21"/>
                <w:szCs w:val="21"/>
                <w:lang w:val="en-US" w:eastAsia="zh-CN" w:bidi="ar-SA"/>
              </w:rPr>
            </w:pPr>
            <w:r>
              <w:rPr>
                <w:rFonts w:hint="eastAsia" w:ascii="Times New Roman" w:eastAsia="宋体"/>
                <w:color w:val="000000" w:themeColor="text1"/>
                <w:sz w:val="21"/>
                <w:szCs w:val="21"/>
                <w14:textFill>
                  <w14:solidFill>
                    <w14:schemeClr w14:val="tx1"/>
                  </w14:solidFill>
                </w14:textFill>
              </w:rPr>
              <w:t>0.0235</w:t>
            </w:r>
          </w:p>
        </w:tc>
      </w:tr>
      <w:tr w14:paraId="79E1114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11" w:type="pct"/>
            <w:gridSpan w:val="2"/>
            <w:vMerge w:val="continue"/>
            <w:shd w:val="clear" w:color="auto" w:fill="FFFFFF"/>
            <w:vAlign w:val="center"/>
          </w:tcPr>
          <w:p w14:paraId="2DF29AF6">
            <w:pPr>
              <w:pStyle w:val="101"/>
              <w:adjustRightInd w:val="0"/>
              <w:snapToGrid w:val="0"/>
              <w:spacing w:line="280" w:lineRule="exact"/>
              <w:rPr>
                <w:rFonts w:hAnsi="宋体" w:eastAsia="宋体"/>
                <w:sz w:val="21"/>
                <w:szCs w:val="21"/>
              </w:rPr>
            </w:pPr>
          </w:p>
        </w:tc>
        <w:tc>
          <w:tcPr>
            <w:tcW w:w="2945" w:type="pct"/>
            <w:gridSpan w:val="3"/>
            <w:shd w:val="clear" w:color="auto" w:fill="FFFFFF"/>
            <w:vAlign w:val="center"/>
          </w:tcPr>
          <w:p w14:paraId="778C2CC3">
            <w:pPr>
              <w:adjustRightInd w:val="0"/>
              <w:snapToGrid w:val="0"/>
              <w:spacing w:line="280" w:lineRule="exact"/>
              <w:jc w:val="center"/>
              <w:rPr>
                <w:rFonts w:ascii="Times New Roman" w:hAnsi="宋体" w:eastAsia="宋体" w:cstheme="minorBidi"/>
                <w:kern w:val="2"/>
                <w:sz w:val="21"/>
                <w:szCs w:val="21"/>
                <w:lang w:val="en-US" w:eastAsia="zh-CN" w:bidi="ar-SA"/>
              </w:rPr>
            </w:pPr>
            <w:r>
              <w:rPr>
                <w:rFonts w:hint="eastAsia"/>
                <w:color w:val="000000" w:themeColor="text1"/>
                <w:sz w:val="21"/>
                <w:szCs w:val="21"/>
                <w14:textFill>
                  <w14:solidFill>
                    <w14:schemeClr w14:val="tx1"/>
                  </w14:solidFill>
                </w14:textFill>
              </w:rPr>
              <w:t>H</w:t>
            </w:r>
            <w:r>
              <w:rPr>
                <w:rFonts w:hint="eastAsia"/>
                <w:color w:val="000000" w:themeColor="text1"/>
                <w:sz w:val="21"/>
                <w:szCs w:val="21"/>
                <w:vertAlign w:val="subscript"/>
                <w14:textFill>
                  <w14:solidFill>
                    <w14:schemeClr w14:val="tx1"/>
                  </w14:solidFill>
                </w14:textFill>
              </w:rPr>
              <w:t>2</w:t>
            </w:r>
            <w:r>
              <w:rPr>
                <w:rFonts w:hint="eastAsia"/>
                <w:color w:val="000000" w:themeColor="text1"/>
                <w:sz w:val="21"/>
                <w:szCs w:val="21"/>
                <w14:textFill>
                  <w14:solidFill>
                    <w14:schemeClr w14:val="tx1"/>
                  </w14:solidFill>
                </w14:textFill>
              </w:rPr>
              <w:t>S</w:t>
            </w:r>
          </w:p>
        </w:tc>
        <w:tc>
          <w:tcPr>
            <w:tcW w:w="942" w:type="pct"/>
            <w:shd w:val="clear" w:color="auto" w:fill="FFFFFF"/>
            <w:vAlign w:val="center"/>
          </w:tcPr>
          <w:p w14:paraId="02878DA0">
            <w:pPr>
              <w:adjustRightInd w:val="0"/>
              <w:snapToGrid w:val="0"/>
              <w:spacing w:line="280" w:lineRule="exact"/>
              <w:jc w:val="center"/>
              <w:rPr>
                <w:rFonts w:ascii="Times New Roman" w:eastAsia="宋体" w:hAnsiTheme="minorHAnsi" w:cstheme="minorBidi"/>
                <w:kern w:val="0"/>
                <w:sz w:val="21"/>
                <w:szCs w:val="21"/>
                <w:lang w:val="en-US" w:eastAsia="zh-CN" w:bidi="ar-SA"/>
              </w:rPr>
            </w:pPr>
            <w:r>
              <w:rPr>
                <w:rFonts w:hint="eastAsia" w:ascii="Times New Roman" w:eastAsia="宋体"/>
                <w:color w:val="000000" w:themeColor="text1"/>
                <w:sz w:val="21"/>
                <w:szCs w:val="21"/>
                <w14:textFill>
                  <w14:solidFill>
                    <w14:schemeClr w14:val="tx1"/>
                  </w14:solidFill>
                </w14:textFill>
              </w:rPr>
              <w:t>0.00231</w:t>
            </w:r>
          </w:p>
        </w:tc>
      </w:tr>
      <w:tr w14:paraId="24D3CE2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000" w:type="pct"/>
            <w:gridSpan w:val="6"/>
            <w:shd w:val="clear" w:color="auto" w:fill="FFFFFF"/>
            <w:vAlign w:val="center"/>
          </w:tcPr>
          <w:p w14:paraId="41DF3152">
            <w:pPr>
              <w:pStyle w:val="101"/>
              <w:adjustRightInd w:val="0"/>
              <w:snapToGrid w:val="0"/>
              <w:spacing w:line="280" w:lineRule="exact"/>
              <w:rPr>
                <w:rFonts w:eastAsia="宋体"/>
                <w:sz w:val="21"/>
                <w:szCs w:val="21"/>
              </w:rPr>
            </w:pPr>
            <w:r>
              <w:rPr>
                <w:rFonts w:hAnsi="宋体" w:eastAsia="宋体"/>
                <w:sz w:val="21"/>
                <w:szCs w:val="21"/>
              </w:rPr>
              <w:t>有组织排放总计</w:t>
            </w:r>
          </w:p>
        </w:tc>
      </w:tr>
      <w:tr w14:paraId="275BF1D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1" w:type="pct"/>
            <w:gridSpan w:val="2"/>
            <w:vMerge w:val="restart"/>
            <w:shd w:val="clear" w:color="auto" w:fill="FFFFFF"/>
            <w:vAlign w:val="center"/>
          </w:tcPr>
          <w:p w14:paraId="4BDD3603">
            <w:pPr>
              <w:pStyle w:val="101"/>
              <w:adjustRightInd w:val="0"/>
              <w:snapToGrid w:val="0"/>
              <w:spacing w:line="280" w:lineRule="exact"/>
              <w:rPr>
                <w:rFonts w:eastAsia="宋体"/>
                <w:sz w:val="21"/>
                <w:szCs w:val="21"/>
              </w:rPr>
            </w:pPr>
            <w:bookmarkStart w:id="106" w:name="OLE_LINK16" w:colFirst="1" w:colLast="2"/>
            <w:bookmarkStart w:id="107" w:name="_Hlk43624027"/>
            <w:bookmarkStart w:id="108" w:name="OLE_LINK15" w:colFirst="1" w:colLast="2"/>
            <w:r>
              <w:rPr>
                <w:rFonts w:hAnsi="宋体" w:eastAsia="宋体"/>
                <w:sz w:val="21"/>
                <w:szCs w:val="21"/>
              </w:rPr>
              <w:t>有组织排放总计</w:t>
            </w:r>
          </w:p>
        </w:tc>
        <w:tc>
          <w:tcPr>
            <w:tcW w:w="2945" w:type="pct"/>
            <w:gridSpan w:val="3"/>
            <w:shd w:val="clear" w:color="auto" w:fill="FFFFFF"/>
            <w:vAlign w:val="center"/>
          </w:tcPr>
          <w:p w14:paraId="736E3DC3">
            <w:pPr>
              <w:adjustRightInd w:val="0"/>
              <w:snapToGrid w:val="0"/>
              <w:spacing w:line="280" w:lineRule="exact"/>
              <w:jc w:val="center"/>
              <w:rPr>
                <w:rFonts w:ascii="Times New Roman" w:eastAsia="宋体" w:hAnsiTheme="minorHAnsi"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NH</w:t>
            </w:r>
            <w:r>
              <w:rPr>
                <w:rFonts w:hint="eastAsia"/>
                <w:color w:val="000000" w:themeColor="text1"/>
                <w:sz w:val="21"/>
                <w:szCs w:val="21"/>
                <w:vertAlign w:val="subscript"/>
                <w14:textFill>
                  <w14:solidFill>
                    <w14:schemeClr w14:val="tx1"/>
                  </w14:solidFill>
                </w14:textFill>
              </w:rPr>
              <w:t>3</w:t>
            </w:r>
          </w:p>
        </w:tc>
        <w:tc>
          <w:tcPr>
            <w:tcW w:w="942" w:type="pct"/>
            <w:shd w:val="clear" w:color="auto" w:fill="FFFFFF"/>
            <w:vAlign w:val="center"/>
          </w:tcPr>
          <w:p w14:paraId="70425731">
            <w:pPr>
              <w:adjustRightInd w:val="0"/>
              <w:snapToGrid w:val="0"/>
              <w:spacing w:line="280" w:lineRule="exact"/>
              <w:jc w:val="center"/>
              <w:rPr>
                <w:rFonts w:ascii="Times New Roman" w:eastAsia="宋体" w:hAnsiTheme="minorHAnsi" w:cstheme="minorBidi"/>
                <w:kern w:val="0"/>
                <w:sz w:val="21"/>
                <w:szCs w:val="21"/>
                <w:lang w:val="en-US" w:eastAsia="zh-CN" w:bidi="ar-SA"/>
              </w:rPr>
            </w:pPr>
            <w:r>
              <w:rPr>
                <w:rFonts w:hint="eastAsia" w:ascii="Times New Roman" w:eastAsia="宋体"/>
                <w:color w:val="000000" w:themeColor="text1"/>
                <w:sz w:val="21"/>
                <w:szCs w:val="21"/>
                <w14:textFill>
                  <w14:solidFill>
                    <w14:schemeClr w14:val="tx1"/>
                  </w14:solidFill>
                </w14:textFill>
              </w:rPr>
              <w:t>0.0235</w:t>
            </w:r>
          </w:p>
        </w:tc>
      </w:tr>
      <w:tr w14:paraId="2B0D3FA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1" w:type="pct"/>
            <w:gridSpan w:val="2"/>
            <w:vMerge w:val="continue"/>
            <w:shd w:val="clear" w:color="auto" w:fill="FFFFFF"/>
            <w:vAlign w:val="center"/>
          </w:tcPr>
          <w:p w14:paraId="1DA94468">
            <w:pPr>
              <w:pStyle w:val="101"/>
              <w:adjustRightInd w:val="0"/>
              <w:snapToGrid w:val="0"/>
              <w:spacing w:line="280" w:lineRule="exact"/>
              <w:rPr>
                <w:rFonts w:eastAsia="宋体"/>
                <w:sz w:val="21"/>
                <w:szCs w:val="21"/>
              </w:rPr>
            </w:pPr>
          </w:p>
        </w:tc>
        <w:tc>
          <w:tcPr>
            <w:tcW w:w="2945" w:type="pct"/>
            <w:gridSpan w:val="3"/>
            <w:shd w:val="clear" w:color="auto" w:fill="FFFFFF"/>
            <w:vAlign w:val="center"/>
          </w:tcPr>
          <w:p w14:paraId="6C5C1829">
            <w:pPr>
              <w:adjustRightInd w:val="0"/>
              <w:snapToGrid w:val="0"/>
              <w:spacing w:line="280" w:lineRule="exact"/>
              <w:jc w:val="center"/>
              <w:rPr>
                <w:rFonts w:ascii="Times New Roman" w:hAnsi="宋体" w:eastAsia="宋体" w:cstheme="minorBidi"/>
                <w:kern w:val="2"/>
                <w:sz w:val="21"/>
                <w:szCs w:val="21"/>
                <w:lang w:val="en-US" w:eastAsia="zh-CN" w:bidi="ar-SA"/>
              </w:rPr>
            </w:pPr>
            <w:r>
              <w:rPr>
                <w:rFonts w:hint="eastAsia"/>
                <w:color w:val="000000" w:themeColor="text1"/>
                <w:sz w:val="21"/>
                <w:szCs w:val="21"/>
                <w14:textFill>
                  <w14:solidFill>
                    <w14:schemeClr w14:val="tx1"/>
                  </w14:solidFill>
                </w14:textFill>
              </w:rPr>
              <w:t>H</w:t>
            </w:r>
            <w:r>
              <w:rPr>
                <w:rFonts w:hint="eastAsia"/>
                <w:color w:val="000000" w:themeColor="text1"/>
                <w:sz w:val="21"/>
                <w:szCs w:val="21"/>
                <w:vertAlign w:val="subscript"/>
                <w14:textFill>
                  <w14:solidFill>
                    <w14:schemeClr w14:val="tx1"/>
                  </w14:solidFill>
                </w14:textFill>
              </w:rPr>
              <w:t>2</w:t>
            </w:r>
            <w:r>
              <w:rPr>
                <w:rFonts w:hint="eastAsia"/>
                <w:color w:val="000000" w:themeColor="text1"/>
                <w:sz w:val="21"/>
                <w:szCs w:val="21"/>
                <w14:textFill>
                  <w14:solidFill>
                    <w14:schemeClr w14:val="tx1"/>
                  </w14:solidFill>
                </w14:textFill>
              </w:rPr>
              <w:t>S</w:t>
            </w:r>
          </w:p>
        </w:tc>
        <w:tc>
          <w:tcPr>
            <w:tcW w:w="942" w:type="pct"/>
            <w:shd w:val="clear" w:color="auto" w:fill="FFFFFF"/>
            <w:vAlign w:val="center"/>
          </w:tcPr>
          <w:p w14:paraId="05AFEFF3">
            <w:pPr>
              <w:adjustRightInd w:val="0"/>
              <w:snapToGrid w:val="0"/>
              <w:spacing w:line="280" w:lineRule="exact"/>
              <w:jc w:val="center"/>
              <w:rPr>
                <w:rFonts w:ascii="Times New Roman" w:eastAsia="宋体" w:hAnsiTheme="minorHAnsi" w:cstheme="minorBidi"/>
                <w:kern w:val="0"/>
                <w:sz w:val="21"/>
                <w:szCs w:val="21"/>
                <w:lang w:val="en-US" w:eastAsia="zh-CN" w:bidi="ar-SA"/>
              </w:rPr>
            </w:pPr>
            <w:r>
              <w:rPr>
                <w:rFonts w:hint="eastAsia" w:ascii="Times New Roman" w:eastAsia="宋体"/>
                <w:color w:val="000000" w:themeColor="text1"/>
                <w:sz w:val="21"/>
                <w:szCs w:val="21"/>
                <w14:textFill>
                  <w14:solidFill>
                    <w14:schemeClr w14:val="tx1"/>
                  </w14:solidFill>
                </w14:textFill>
              </w:rPr>
              <w:t>0.00231</w:t>
            </w:r>
          </w:p>
        </w:tc>
      </w:tr>
      <w:bookmarkEnd w:id="106"/>
      <w:bookmarkEnd w:id="107"/>
      <w:bookmarkEnd w:id="108"/>
    </w:tbl>
    <w:p w14:paraId="3552D28F">
      <w:pPr>
        <w:pStyle w:val="31"/>
        <w:spacing w:before="0" w:line="480" w:lineRule="exact"/>
      </w:pPr>
      <w:r>
        <w:rPr>
          <w:rFonts w:hint="eastAsia"/>
        </w:rPr>
        <w:t>表</w:t>
      </w:r>
      <w:r>
        <w:t>5.2-</w:t>
      </w:r>
      <w:r>
        <w:rPr>
          <w:rFonts w:hint="eastAsia"/>
        </w:rPr>
        <w:t>20</w:t>
      </w:r>
      <w:r>
        <w:t xml:space="preserve"> </w:t>
      </w:r>
      <w:r>
        <w:rPr>
          <w:rFonts w:hint="eastAsia"/>
        </w:rPr>
        <w:t>大气污染物无组织排放量核算表</w:t>
      </w:r>
    </w:p>
    <w:tbl>
      <w:tblPr>
        <w:tblStyle w:val="4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951"/>
        <w:gridCol w:w="730"/>
        <w:gridCol w:w="883"/>
        <w:gridCol w:w="1833"/>
        <w:gridCol w:w="1377"/>
        <w:gridCol w:w="1297"/>
        <w:gridCol w:w="982"/>
      </w:tblGrid>
      <w:tr w14:paraId="0C83DD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79" w:type="pct"/>
            <w:vMerge w:val="restart"/>
            <w:vAlign w:val="center"/>
          </w:tcPr>
          <w:p w14:paraId="52D7046E">
            <w:pPr>
              <w:pStyle w:val="61"/>
              <w:rPr>
                <w:lang w:val="zh-CN"/>
              </w:rPr>
            </w:pPr>
            <w:r>
              <w:rPr>
                <w:rFonts w:hint="eastAsia"/>
                <w:lang w:val="zh-CN"/>
              </w:rPr>
              <w:t>序号</w:t>
            </w:r>
          </w:p>
        </w:tc>
        <w:tc>
          <w:tcPr>
            <w:tcW w:w="546" w:type="pct"/>
            <w:vMerge w:val="restart"/>
            <w:vAlign w:val="center"/>
          </w:tcPr>
          <w:p w14:paraId="461E94FE">
            <w:pPr>
              <w:pStyle w:val="61"/>
              <w:rPr>
                <w:lang w:val="zh-CN"/>
              </w:rPr>
            </w:pPr>
            <w:r>
              <w:rPr>
                <w:rFonts w:hint="eastAsia"/>
                <w:lang w:val="zh-CN"/>
              </w:rPr>
              <w:t>排放口编号</w:t>
            </w:r>
          </w:p>
        </w:tc>
        <w:tc>
          <w:tcPr>
            <w:tcW w:w="419" w:type="pct"/>
            <w:vMerge w:val="restart"/>
            <w:vAlign w:val="center"/>
          </w:tcPr>
          <w:p w14:paraId="6DDD6F94">
            <w:pPr>
              <w:pStyle w:val="61"/>
              <w:rPr>
                <w:lang w:val="zh-CN"/>
              </w:rPr>
            </w:pPr>
            <w:r>
              <w:rPr>
                <w:rFonts w:hint="eastAsia"/>
                <w:lang w:val="zh-CN"/>
              </w:rPr>
              <w:t>产污环节</w:t>
            </w:r>
          </w:p>
        </w:tc>
        <w:tc>
          <w:tcPr>
            <w:tcW w:w="506" w:type="pct"/>
            <w:vMerge w:val="restart"/>
            <w:vAlign w:val="center"/>
          </w:tcPr>
          <w:p w14:paraId="06B1C9B5">
            <w:pPr>
              <w:pStyle w:val="61"/>
              <w:rPr>
                <w:lang w:val="zh-CN"/>
              </w:rPr>
            </w:pPr>
            <w:r>
              <w:rPr>
                <w:rFonts w:hint="eastAsia"/>
                <w:lang w:val="zh-CN"/>
              </w:rPr>
              <w:t>污染物</w:t>
            </w:r>
          </w:p>
        </w:tc>
        <w:tc>
          <w:tcPr>
            <w:tcW w:w="1052" w:type="pct"/>
            <w:vMerge w:val="restart"/>
            <w:vAlign w:val="center"/>
          </w:tcPr>
          <w:p w14:paraId="01552AD9">
            <w:pPr>
              <w:pStyle w:val="61"/>
              <w:rPr>
                <w:lang w:val="zh-CN"/>
              </w:rPr>
            </w:pPr>
            <w:r>
              <w:rPr>
                <w:rFonts w:hint="eastAsia"/>
                <w:lang w:val="zh-CN"/>
              </w:rPr>
              <w:t>主要污染防治措施</w:t>
            </w:r>
          </w:p>
        </w:tc>
        <w:tc>
          <w:tcPr>
            <w:tcW w:w="1534" w:type="pct"/>
            <w:gridSpan w:val="2"/>
            <w:vAlign w:val="center"/>
          </w:tcPr>
          <w:p w14:paraId="4193B360">
            <w:pPr>
              <w:pStyle w:val="61"/>
              <w:rPr>
                <w:lang w:val="zh-CN"/>
              </w:rPr>
            </w:pPr>
            <w:r>
              <w:rPr>
                <w:rFonts w:hint="eastAsia"/>
                <w:lang w:val="zh-CN"/>
              </w:rPr>
              <w:t>国家或地方污染物排放标准</w:t>
            </w:r>
          </w:p>
        </w:tc>
        <w:tc>
          <w:tcPr>
            <w:tcW w:w="561" w:type="pct"/>
            <w:vMerge w:val="restart"/>
            <w:vAlign w:val="center"/>
          </w:tcPr>
          <w:p w14:paraId="669F66C6">
            <w:pPr>
              <w:pStyle w:val="61"/>
            </w:pPr>
            <w:r>
              <w:rPr>
                <w:rFonts w:hint="eastAsia"/>
              </w:rPr>
              <w:t>核算年排放量/（t</w:t>
            </w:r>
            <w:r>
              <w:t>/a</w:t>
            </w:r>
            <w:r>
              <w:rPr>
                <w:rFonts w:hint="eastAsia"/>
              </w:rPr>
              <w:t>）</w:t>
            </w:r>
          </w:p>
        </w:tc>
      </w:tr>
      <w:tr w14:paraId="12C1A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79" w:type="pct"/>
            <w:vMerge w:val="continue"/>
            <w:vAlign w:val="center"/>
          </w:tcPr>
          <w:p w14:paraId="5DFD6360">
            <w:pPr>
              <w:pStyle w:val="61"/>
              <w:rPr>
                <w:lang w:val="zh-CN"/>
              </w:rPr>
            </w:pPr>
          </w:p>
        </w:tc>
        <w:tc>
          <w:tcPr>
            <w:tcW w:w="546" w:type="pct"/>
            <w:vMerge w:val="continue"/>
            <w:vAlign w:val="center"/>
          </w:tcPr>
          <w:p w14:paraId="5AA72267">
            <w:pPr>
              <w:pStyle w:val="61"/>
              <w:rPr>
                <w:lang w:val="zh-CN"/>
              </w:rPr>
            </w:pPr>
          </w:p>
        </w:tc>
        <w:tc>
          <w:tcPr>
            <w:tcW w:w="419" w:type="pct"/>
            <w:vMerge w:val="continue"/>
            <w:vAlign w:val="center"/>
          </w:tcPr>
          <w:p w14:paraId="3FA17BC8">
            <w:pPr>
              <w:pStyle w:val="61"/>
              <w:rPr>
                <w:lang w:val="zh-CN"/>
              </w:rPr>
            </w:pPr>
          </w:p>
        </w:tc>
        <w:tc>
          <w:tcPr>
            <w:tcW w:w="506" w:type="pct"/>
            <w:vMerge w:val="continue"/>
            <w:vAlign w:val="center"/>
          </w:tcPr>
          <w:p w14:paraId="039C2AFA">
            <w:pPr>
              <w:pStyle w:val="61"/>
              <w:rPr>
                <w:lang w:val="zh-CN"/>
              </w:rPr>
            </w:pPr>
          </w:p>
        </w:tc>
        <w:tc>
          <w:tcPr>
            <w:tcW w:w="1052" w:type="pct"/>
            <w:vMerge w:val="continue"/>
            <w:vAlign w:val="center"/>
          </w:tcPr>
          <w:p w14:paraId="3E4F5BD8">
            <w:pPr>
              <w:pStyle w:val="61"/>
              <w:rPr>
                <w:lang w:val="zh-CN"/>
              </w:rPr>
            </w:pPr>
          </w:p>
        </w:tc>
        <w:tc>
          <w:tcPr>
            <w:tcW w:w="790" w:type="pct"/>
            <w:vAlign w:val="center"/>
          </w:tcPr>
          <w:p w14:paraId="0972D572">
            <w:pPr>
              <w:pStyle w:val="61"/>
              <w:rPr>
                <w:lang w:val="zh-CN"/>
              </w:rPr>
            </w:pPr>
            <w:r>
              <w:rPr>
                <w:rFonts w:hint="eastAsia"/>
                <w:lang w:val="zh-CN"/>
              </w:rPr>
              <w:t>标准名称</w:t>
            </w:r>
          </w:p>
        </w:tc>
        <w:tc>
          <w:tcPr>
            <w:tcW w:w="744" w:type="pct"/>
            <w:vAlign w:val="center"/>
          </w:tcPr>
          <w:p w14:paraId="29BF336D">
            <w:pPr>
              <w:pStyle w:val="61"/>
              <w:rPr>
                <w:lang w:val="zh-CN"/>
              </w:rPr>
            </w:pPr>
            <w:r>
              <w:rPr>
                <w:rFonts w:hint="eastAsia"/>
                <w:lang w:val="zh-CN"/>
              </w:rPr>
              <w:t>浓度限值/（</w:t>
            </w:r>
            <w:r>
              <w:rPr>
                <w:lang w:val="zh-CN"/>
              </w:rPr>
              <w:t>μ</w:t>
            </w:r>
            <w:r>
              <w:rPr>
                <w:rFonts w:hint="eastAsia"/>
              </w:rPr>
              <w:t>g</w:t>
            </w:r>
            <w:r>
              <w:t>/m</w:t>
            </w:r>
            <w:r>
              <w:rPr>
                <w:vertAlign w:val="superscript"/>
              </w:rPr>
              <w:t>3</w:t>
            </w:r>
            <w:r>
              <w:rPr>
                <w:rFonts w:hint="eastAsia"/>
                <w:lang w:val="zh-CN"/>
              </w:rPr>
              <w:t>）</w:t>
            </w:r>
          </w:p>
        </w:tc>
        <w:tc>
          <w:tcPr>
            <w:tcW w:w="561" w:type="pct"/>
            <w:vMerge w:val="continue"/>
            <w:vAlign w:val="center"/>
          </w:tcPr>
          <w:p w14:paraId="12D4C559">
            <w:pPr>
              <w:pStyle w:val="61"/>
            </w:pPr>
          </w:p>
        </w:tc>
      </w:tr>
      <w:tr w14:paraId="01193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79" w:type="pct"/>
            <w:vMerge w:val="restart"/>
            <w:vAlign w:val="center"/>
          </w:tcPr>
          <w:p w14:paraId="48591E38">
            <w:pPr>
              <w:pStyle w:val="61"/>
              <w:rPr>
                <w:lang w:val="zh-CN"/>
              </w:rPr>
            </w:pPr>
            <w:r>
              <w:rPr>
                <w:rFonts w:hint="eastAsia"/>
                <w:lang w:val="zh-CN"/>
              </w:rPr>
              <w:t>1</w:t>
            </w:r>
          </w:p>
        </w:tc>
        <w:tc>
          <w:tcPr>
            <w:tcW w:w="546" w:type="pct"/>
            <w:vMerge w:val="restart"/>
            <w:vAlign w:val="center"/>
          </w:tcPr>
          <w:p w14:paraId="6668A865">
            <w:pPr>
              <w:pStyle w:val="61"/>
              <w:rPr>
                <w:lang w:val="zh-CN"/>
              </w:rPr>
            </w:pPr>
            <w:r>
              <w:rPr>
                <w:rFonts w:hint="eastAsia"/>
              </w:rPr>
              <w:t>鸡舍区</w:t>
            </w:r>
          </w:p>
        </w:tc>
        <w:tc>
          <w:tcPr>
            <w:tcW w:w="419" w:type="pct"/>
            <w:vMerge w:val="restart"/>
            <w:vAlign w:val="center"/>
          </w:tcPr>
          <w:p w14:paraId="14A58464">
            <w:pPr>
              <w:pStyle w:val="61"/>
              <w:rPr>
                <w:lang w:val="zh-CN"/>
              </w:rPr>
            </w:pPr>
            <w:r>
              <w:rPr>
                <w:rFonts w:hint="eastAsia"/>
                <w:lang w:val="zh-CN"/>
              </w:rPr>
              <w:t>养殖过程</w:t>
            </w:r>
          </w:p>
        </w:tc>
        <w:tc>
          <w:tcPr>
            <w:tcW w:w="506" w:type="pct"/>
            <w:vAlign w:val="center"/>
          </w:tcPr>
          <w:p w14:paraId="1ECF5852">
            <w:pPr>
              <w:pStyle w:val="61"/>
              <w:rPr>
                <w:lang w:val="zh-CN"/>
              </w:rPr>
            </w:pPr>
            <w:r>
              <w:t>NH</w:t>
            </w:r>
            <w:r>
              <w:rPr>
                <w:vertAlign w:val="subscript"/>
              </w:rPr>
              <w:t>3</w:t>
            </w:r>
          </w:p>
        </w:tc>
        <w:tc>
          <w:tcPr>
            <w:tcW w:w="1052" w:type="pct"/>
            <w:vMerge w:val="restart"/>
            <w:vAlign w:val="center"/>
          </w:tcPr>
          <w:p w14:paraId="774D6EAA">
            <w:pPr>
              <w:pStyle w:val="61"/>
              <w:rPr>
                <w:lang w:val="zh-CN"/>
              </w:rPr>
            </w:pPr>
            <w:r>
              <w:rPr>
                <w:rFonts w:hint="eastAsia"/>
                <w:lang w:val="zh-CN"/>
              </w:rPr>
              <w:t>加强通风、采用干清粪工艺、采用配方饲料、加强对鸡舍的清洁卫生管理、加强</w:t>
            </w:r>
            <w:r>
              <w:rPr>
                <w:rFonts w:hint="eastAsia"/>
              </w:rPr>
              <w:t>厂</w:t>
            </w:r>
            <w:r>
              <w:rPr>
                <w:rFonts w:hint="eastAsia"/>
                <w:lang w:val="zh-CN"/>
              </w:rPr>
              <w:t>区及</w:t>
            </w:r>
            <w:r>
              <w:rPr>
                <w:rFonts w:hint="eastAsia"/>
              </w:rPr>
              <w:t>厂</w:t>
            </w:r>
            <w:r>
              <w:rPr>
                <w:rFonts w:hint="eastAsia"/>
                <w:lang w:val="zh-CN"/>
              </w:rPr>
              <w:t>界的绿化、喷洒除臭剂除臭等措施</w:t>
            </w:r>
          </w:p>
        </w:tc>
        <w:tc>
          <w:tcPr>
            <w:tcW w:w="790" w:type="pct"/>
            <w:vMerge w:val="restart"/>
            <w:vAlign w:val="center"/>
          </w:tcPr>
          <w:p w14:paraId="1D053CFD">
            <w:pPr>
              <w:pStyle w:val="61"/>
              <w:rPr>
                <w:lang w:val="zh-CN"/>
              </w:rPr>
            </w:pPr>
            <w:r>
              <w:rPr>
                <w:rFonts w:hint="eastAsia"/>
                <w:lang w:val="zh-CN"/>
              </w:rPr>
              <w:t>《恶臭污染物排放标准》（GB14554-93）</w:t>
            </w:r>
          </w:p>
        </w:tc>
        <w:tc>
          <w:tcPr>
            <w:tcW w:w="744" w:type="pct"/>
            <w:vAlign w:val="center"/>
          </w:tcPr>
          <w:p w14:paraId="6CC759C9">
            <w:pPr>
              <w:pStyle w:val="61"/>
              <w:rPr>
                <w:lang w:val="zh-CN"/>
              </w:rPr>
            </w:pPr>
            <w:r>
              <w:rPr>
                <w:rFonts w:hint="eastAsia"/>
                <w:lang w:val="zh-CN"/>
              </w:rPr>
              <w:t>1</w:t>
            </w:r>
            <w:r>
              <w:rPr>
                <w:lang w:val="zh-CN"/>
              </w:rPr>
              <w:t>500</w:t>
            </w:r>
          </w:p>
        </w:tc>
        <w:tc>
          <w:tcPr>
            <w:tcW w:w="561" w:type="pct"/>
            <w:vAlign w:val="center"/>
          </w:tcPr>
          <w:p w14:paraId="5EEB3FF6">
            <w:pPr>
              <w:pStyle w:val="61"/>
            </w:pPr>
            <w:r>
              <w:rPr>
                <w:rFonts w:hint="eastAsia"/>
              </w:rPr>
              <w:t>0.018</w:t>
            </w:r>
          </w:p>
        </w:tc>
      </w:tr>
      <w:tr w14:paraId="5C7AED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79" w:type="pct"/>
            <w:vMerge w:val="continue"/>
            <w:vAlign w:val="center"/>
          </w:tcPr>
          <w:p w14:paraId="28AE614F">
            <w:pPr>
              <w:pStyle w:val="61"/>
              <w:rPr>
                <w:lang w:val="zh-CN"/>
              </w:rPr>
            </w:pPr>
          </w:p>
        </w:tc>
        <w:tc>
          <w:tcPr>
            <w:tcW w:w="546" w:type="pct"/>
            <w:vMerge w:val="continue"/>
            <w:vAlign w:val="center"/>
          </w:tcPr>
          <w:p w14:paraId="7969E730">
            <w:pPr>
              <w:pStyle w:val="61"/>
              <w:rPr>
                <w:lang w:val="zh-CN"/>
              </w:rPr>
            </w:pPr>
          </w:p>
        </w:tc>
        <w:tc>
          <w:tcPr>
            <w:tcW w:w="419" w:type="pct"/>
            <w:vMerge w:val="continue"/>
            <w:vAlign w:val="center"/>
          </w:tcPr>
          <w:p w14:paraId="3BEC16C3">
            <w:pPr>
              <w:pStyle w:val="61"/>
              <w:rPr>
                <w:lang w:val="zh-CN"/>
              </w:rPr>
            </w:pPr>
          </w:p>
        </w:tc>
        <w:tc>
          <w:tcPr>
            <w:tcW w:w="506" w:type="pct"/>
            <w:vAlign w:val="center"/>
          </w:tcPr>
          <w:p w14:paraId="33191DF9">
            <w:pPr>
              <w:pStyle w:val="61"/>
              <w:rPr>
                <w:lang w:val="zh-CN"/>
              </w:rPr>
            </w:pPr>
            <w:r>
              <w:t>H</w:t>
            </w:r>
            <w:r>
              <w:rPr>
                <w:vertAlign w:val="subscript"/>
              </w:rPr>
              <w:t>2</w:t>
            </w:r>
            <w:r>
              <w:t>S</w:t>
            </w:r>
          </w:p>
        </w:tc>
        <w:tc>
          <w:tcPr>
            <w:tcW w:w="1052" w:type="pct"/>
            <w:vMerge w:val="continue"/>
            <w:vAlign w:val="center"/>
          </w:tcPr>
          <w:p w14:paraId="6389AF20">
            <w:pPr>
              <w:pStyle w:val="61"/>
              <w:rPr>
                <w:lang w:val="zh-CN"/>
              </w:rPr>
            </w:pPr>
          </w:p>
        </w:tc>
        <w:tc>
          <w:tcPr>
            <w:tcW w:w="790" w:type="pct"/>
            <w:vMerge w:val="continue"/>
            <w:vAlign w:val="center"/>
          </w:tcPr>
          <w:p w14:paraId="4D5ABF7D">
            <w:pPr>
              <w:pStyle w:val="61"/>
              <w:rPr>
                <w:lang w:val="zh-CN"/>
              </w:rPr>
            </w:pPr>
          </w:p>
        </w:tc>
        <w:tc>
          <w:tcPr>
            <w:tcW w:w="744" w:type="pct"/>
            <w:vAlign w:val="center"/>
          </w:tcPr>
          <w:p w14:paraId="53F8EB7C">
            <w:pPr>
              <w:pStyle w:val="61"/>
              <w:rPr>
                <w:lang w:val="zh-CN"/>
              </w:rPr>
            </w:pPr>
            <w:r>
              <w:rPr>
                <w:rFonts w:hint="eastAsia"/>
                <w:lang w:val="zh-CN"/>
              </w:rPr>
              <w:t>6</w:t>
            </w:r>
            <w:r>
              <w:rPr>
                <w:lang w:val="zh-CN"/>
              </w:rPr>
              <w:t>0</w:t>
            </w:r>
          </w:p>
        </w:tc>
        <w:tc>
          <w:tcPr>
            <w:tcW w:w="561" w:type="pct"/>
            <w:vAlign w:val="center"/>
          </w:tcPr>
          <w:p w14:paraId="4B0B29EC">
            <w:pPr>
              <w:pStyle w:val="61"/>
            </w:pPr>
            <w:r>
              <w:rPr>
                <w:rFonts w:hint="eastAsia"/>
              </w:rPr>
              <w:t>0.0018</w:t>
            </w:r>
          </w:p>
        </w:tc>
      </w:tr>
      <w:tr w14:paraId="2C5D03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79" w:type="pct"/>
            <w:vMerge w:val="restart"/>
            <w:vAlign w:val="center"/>
          </w:tcPr>
          <w:p w14:paraId="02C473B8">
            <w:pPr>
              <w:pStyle w:val="61"/>
              <w:rPr>
                <w:lang w:val="zh-CN"/>
              </w:rPr>
            </w:pPr>
            <w:r>
              <w:rPr>
                <w:rFonts w:hint="eastAsia"/>
                <w:lang w:val="zh-CN"/>
              </w:rPr>
              <w:t>2</w:t>
            </w:r>
          </w:p>
        </w:tc>
        <w:tc>
          <w:tcPr>
            <w:tcW w:w="546" w:type="pct"/>
            <w:vMerge w:val="restart"/>
            <w:vAlign w:val="center"/>
          </w:tcPr>
          <w:p w14:paraId="441AB340">
            <w:pPr>
              <w:pStyle w:val="61"/>
              <w:rPr>
                <w:lang w:val="zh-CN"/>
              </w:rPr>
            </w:pPr>
            <w:r>
              <w:rPr>
                <w:rFonts w:hint="eastAsia"/>
              </w:rPr>
              <w:t>鸡粪暂存库</w:t>
            </w:r>
          </w:p>
        </w:tc>
        <w:tc>
          <w:tcPr>
            <w:tcW w:w="419" w:type="pct"/>
            <w:vMerge w:val="restart"/>
            <w:vAlign w:val="center"/>
          </w:tcPr>
          <w:p w14:paraId="0200C1D0">
            <w:pPr>
              <w:pStyle w:val="61"/>
              <w:rPr>
                <w:lang w:val="zh-CN"/>
              </w:rPr>
            </w:pPr>
            <w:r>
              <w:rPr>
                <w:rFonts w:hint="eastAsia"/>
                <w:lang w:val="zh-CN"/>
              </w:rPr>
              <w:t>固废暂存</w:t>
            </w:r>
          </w:p>
        </w:tc>
        <w:tc>
          <w:tcPr>
            <w:tcW w:w="506" w:type="pct"/>
            <w:vAlign w:val="center"/>
          </w:tcPr>
          <w:p w14:paraId="215A4F27">
            <w:pPr>
              <w:pStyle w:val="61"/>
            </w:pPr>
            <w:r>
              <w:t>NH</w:t>
            </w:r>
            <w:r>
              <w:rPr>
                <w:vertAlign w:val="subscript"/>
              </w:rPr>
              <w:t>3</w:t>
            </w:r>
          </w:p>
        </w:tc>
        <w:tc>
          <w:tcPr>
            <w:tcW w:w="1052" w:type="pct"/>
            <w:vMerge w:val="continue"/>
            <w:vAlign w:val="center"/>
          </w:tcPr>
          <w:p w14:paraId="7AFDACDD">
            <w:pPr>
              <w:pStyle w:val="61"/>
              <w:rPr>
                <w:lang w:val="zh-CN"/>
              </w:rPr>
            </w:pPr>
          </w:p>
        </w:tc>
        <w:tc>
          <w:tcPr>
            <w:tcW w:w="790" w:type="pct"/>
            <w:vMerge w:val="continue"/>
            <w:vAlign w:val="center"/>
          </w:tcPr>
          <w:p w14:paraId="663C21BC">
            <w:pPr>
              <w:pStyle w:val="61"/>
              <w:rPr>
                <w:lang w:val="zh-CN"/>
              </w:rPr>
            </w:pPr>
          </w:p>
        </w:tc>
        <w:tc>
          <w:tcPr>
            <w:tcW w:w="744" w:type="pct"/>
            <w:vAlign w:val="center"/>
          </w:tcPr>
          <w:p w14:paraId="71B37978">
            <w:pPr>
              <w:pStyle w:val="61"/>
              <w:rPr>
                <w:lang w:val="zh-CN"/>
              </w:rPr>
            </w:pPr>
            <w:r>
              <w:rPr>
                <w:rFonts w:hint="eastAsia"/>
                <w:lang w:val="zh-CN"/>
              </w:rPr>
              <w:t>1</w:t>
            </w:r>
            <w:r>
              <w:rPr>
                <w:lang w:val="zh-CN"/>
              </w:rPr>
              <w:t>500</w:t>
            </w:r>
          </w:p>
        </w:tc>
        <w:tc>
          <w:tcPr>
            <w:tcW w:w="561" w:type="pct"/>
            <w:vAlign w:val="center"/>
          </w:tcPr>
          <w:p w14:paraId="29047219">
            <w:pPr>
              <w:pStyle w:val="61"/>
            </w:pPr>
            <w:r>
              <w:rPr>
                <w:rFonts w:hint="eastAsia"/>
              </w:rPr>
              <w:t>0.003</w:t>
            </w:r>
          </w:p>
        </w:tc>
      </w:tr>
      <w:tr w14:paraId="47D359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79" w:type="pct"/>
            <w:vMerge w:val="continue"/>
            <w:vAlign w:val="center"/>
          </w:tcPr>
          <w:p w14:paraId="45B28B14">
            <w:pPr>
              <w:pStyle w:val="61"/>
              <w:rPr>
                <w:lang w:val="zh-CN"/>
              </w:rPr>
            </w:pPr>
          </w:p>
        </w:tc>
        <w:tc>
          <w:tcPr>
            <w:tcW w:w="546" w:type="pct"/>
            <w:vMerge w:val="continue"/>
            <w:vAlign w:val="center"/>
          </w:tcPr>
          <w:p w14:paraId="3D9C024F">
            <w:pPr>
              <w:pStyle w:val="61"/>
              <w:rPr>
                <w:lang w:val="zh-CN"/>
              </w:rPr>
            </w:pPr>
          </w:p>
        </w:tc>
        <w:tc>
          <w:tcPr>
            <w:tcW w:w="419" w:type="pct"/>
            <w:vMerge w:val="continue"/>
            <w:vAlign w:val="center"/>
          </w:tcPr>
          <w:p w14:paraId="6D595171">
            <w:pPr>
              <w:pStyle w:val="61"/>
              <w:rPr>
                <w:lang w:val="zh-CN"/>
              </w:rPr>
            </w:pPr>
          </w:p>
        </w:tc>
        <w:tc>
          <w:tcPr>
            <w:tcW w:w="506" w:type="pct"/>
            <w:vAlign w:val="center"/>
          </w:tcPr>
          <w:p w14:paraId="6845BD8E">
            <w:pPr>
              <w:pStyle w:val="61"/>
            </w:pPr>
            <w:r>
              <w:t>H</w:t>
            </w:r>
            <w:r>
              <w:rPr>
                <w:vertAlign w:val="subscript"/>
              </w:rPr>
              <w:t>2</w:t>
            </w:r>
            <w:r>
              <w:t>S</w:t>
            </w:r>
          </w:p>
        </w:tc>
        <w:tc>
          <w:tcPr>
            <w:tcW w:w="1052" w:type="pct"/>
            <w:vMerge w:val="continue"/>
            <w:vAlign w:val="center"/>
          </w:tcPr>
          <w:p w14:paraId="41EBA8F4">
            <w:pPr>
              <w:pStyle w:val="61"/>
              <w:rPr>
                <w:lang w:val="zh-CN"/>
              </w:rPr>
            </w:pPr>
          </w:p>
        </w:tc>
        <w:tc>
          <w:tcPr>
            <w:tcW w:w="790" w:type="pct"/>
            <w:vMerge w:val="continue"/>
            <w:vAlign w:val="center"/>
          </w:tcPr>
          <w:p w14:paraId="5CD83BCA">
            <w:pPr>
              <w:pStyle w:val="61"/>
              <w:rPr>
                <w:lang w:val="zh-CN"/>
              </w:rPr>
            </w:pPr>
          </w:p>
        </w:tc>
        <w:tc>
          <w:tcPr>
            <w:tcW w:w="744" w:type="pct"/>
            <w:vAlign w:val="center"/>
          </w:tcPr>
          <w:p w14:paraId="4F3C27BA">
            <w:pPr>
              <w:pStyle w:val="61"/>
              <w:rPr>
                <w:lang w:val="zh-CN"/>
              </w:rPr>
            </w:pPr>
            <w:r>
              <w:rPr>
                <w:rFonts w:hint="eastAsia"/>
                <w:lang w:val="zh-CN"/>
              </w:rPr>
              <w:t>6</w:t>
            </w:r>
            <w:r>
              <w:rPr>
                <w:lang w:val="zh-CN"/>
              </w:rPr>
              <w:t>0</w:t>
            </w:r>
          </w:p>
        </w:tc>
        <w:tc>
          <w:tcPr>
            <w:tcW w:w="561" w:type="pct"/>
            <w:tcMar>
              <w:left w:w="0" w:type="dxa"/>
              <w:right w:w="0" w:type="dxa"/>
            </w:tcMar>
            <w:vAlign w:val="center"/>
          </w:tcPr>
          <w:p w14:paraId="18C2322D">
            <w:pPr>
              <w:pStyle w:val="61"/>
            </w:pPr>
            <w:r>
              <w:rPr>
                <w:rFonts w:hint="eastAsia"/>
              </w:rPr>
              <w:t>0.0003</w:t>
            </w:r>
          </w:p>
        </w:tc>
      </w:tr>
      <w:tr w14:paraId="4551A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79" w:type="pct"/>
            <w:vMerge w:val="restart"/>
            <w:vAlign w:val="center"/>
          </w:tcPr>
          <w:p w14:paraId="2C3FCC96">
            <w:pPr>
              <w:pStyle w:val="61"/>
              <w:rPr>
                <w:lang w:val="zh-CN"/>
              </w:rPr>
            </w:pPr>
            <w:r>
              <w:rPr>
                <w:rFonts w:hint="eastAsia"/>
                <w:lang w:val="zh-CN"/>
              </w:rPr>
              <w:t>3</w:t>
            </w:r>
          </w:p>
        </w:tc>
        <w:tc>
          <w:tcPr>
            <w:tcW w:w="546" w:type="pct"/>
            <w:vMerge w:val="restart"/>
            <w:vAlign w:val="center"/>
          </w:tcPr>
          <w:p w14:paraId="795DBF0F">
            <w:pPr>
              <w:pStyle w:val="61"/>
              <w:rPr>
                <w:lang w:val="zh-CN"/>
              </w:rPr>
            </w:pPr>
            <w:r>
              <w:rPr>
                <w:rFonts w:hint="eastAsia"/>
              </w:rPr>
              <w:t>污水处理站</w:t>
            </w:r>
          </w:p>
        </w:tc>
        <w:tc>
          <w:tcPr>
            <w:tcW w:w="419" w:type="pct"/>
            <w:vMerge w:val="restart"/>
            <w:vAlign w:val="center"/>
          </w:tcPr>
          <w:p w14:paraId="59CA0778">
            <w:pPr>
              <w:pStyle w:val="61"/>
              <w:rPr>
                <w:lang w:val="zh-CN"/>
              </w:rPr>
            </w:pPr>
            <w:r>
              <w:rPr>
                <w:rFonts w:hint="eastAsia"/>
                <w:lang w:val="zh-CN"/>
              </w:rPr>
              <w:t>废水处理</w:t>
            </w:r>
          </w:p>
        </w:tc>
        <w:tc>
          <w:tcPr>
            <w:tcW w:w="506" w:type="pct"/>
            <w:vAlign w:val="center"/>
          </w:tcPr>
          <w:p w14:paraId="552512A5">
            <w:pPr>
              <w:pStyle w:val="61"/>
            </w:pPr>
            <w:r>
              <w:t>NH</w:t>
            </w:r>
            <w:r>
              <w:rPr>
                <w:vertAlign w:val="subscript"/>
              </w:rPr>
              <w:t>3</w:t>
            </w:r>
          </w:p>
        </w:tc>
        <w:tc>
          <w:tcPr>
            <w:tcW w:w="1052" w:type="pct"/>
            <w:vMerge w:val="continue"/>
            <w:vAlign w:val="center"/>
          </w:tcPr>
          <w:p w14:paraId="55AFDD05">
            <w:pPr>
              <w:pStyle w:val="61"/>
              <w:rPr>
                <w:lang w:val="zh-CN"/>
              </w:rPr>
            </w:pPr>
          </w:p>
        </w:tc>
        <w:tc>
          <w:tcPr>
            <w:tcW w:w="790" w:type="pct"/>
            <w:vMerge w:val="continue"/>
            <w:vAlign w:val="center"/>
          </w:tcPr>
          <w:p w14:paraId="1EB998A5">
            <w:pPr>
              <w:pStyle w:val="61"/>
              <w:rPr>
                <w:lang w:val="zh-CN"/>
              </w:rPr>
            </w:pPr>
          </w:p>
        </w:tc>
        <w:tc>
          <w:tcPr>
            <w:tcW w:w="744" w:type="pct"/>
            <w:vAlign w:val="center"/>
          </w:tcPr>
          <w:p w14:paraId="0C6D4826">
            <w:pPr>
              <w:pStyle w:val="61"/>
              <w:rPr>
                <w:lang w:val="zh-CN"/>
              </w:rPr>
            </w:pPr>
            <w:r>
              <w:rPr>
                <w:rFonts w:hint="eastAsia"/>
                <w:lang w:val="zh-CN"/>
              </w:rPr>
              <w:t>1</w:t>
            </w:r>
            <w:r>
              <w:rPr>
                <w:lang w:val="zh-CN"/>
              </w:rPr>
              <w:t>500</w:t>
            </w:r>
          </w:p>
        </w:tc>
        <w:tc>
          <w:tcPr>
            <w:tcW w:w="561" w:type="pct"/>
            <w:vAlign w:val="center"/>
          </w:tcPr>
          <w:p w14:paraId="12F336F4">
            <w:pPr>
              <w:pStyle w:val="61"/>
            </w:pPr>
            <w:r>
              <w:rPr>
                <w:rFonts w:hint="eastAsia"/>
              </w:rPr>
              <w:t>0.0002</w:t>
            </w:r>
          </w:p>
        </w:tc>
      </w:tr>
      <w:tr w14:paraId="08E41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79" w:type="pct"/>
            <w:vMerge w:val="continue"/>
            <w:vAlign w:val="center"/>
          </w:tcPr>
          <w:p w14:paraId="5D0AF20F">
            <w:pPr>
              <w:pStyle w:val="61"/>
              <w:rPr>
                <w:lang w:val="zh-CN"/>
              </w:rPr>
            </w:pPr>
          </w:p>
        </w:tc>
        <w:tc>
          <w:tcPr>
            <w:tcW w:w="546" w:type="pct"/>
            <w:vMerge w:val="continue"/>
            <w:vAlign w:val="center"/>
          </w:tcPr>
          <w:p w14:paraId="021593A2">
            <w:pPr>
              <w:pStyle w:val="61"/>
              <w:rPr>
                <w:lang w:val="zh-CN"/>
              </w:rPr>
            </w:pPr>
          </w:p>
        </w:tc>
        <w:tc>
          <w:tcPr>
            <w:tcW w:w="419" w:type="pct"/>
            <w:vMerge w:val="continue"/>
            <w:vAlign w:val="center"/>
          </w:tcPr>
          <w:p w14:paraId="0F859C10">
            <w:pPr>
              <w:pStyle w:val="61"/>
              <w:rPr>
                <w:lang w:val="zh-CN"/>
              </w:rPr>
            </w:pPr>
          </w:p>
        </w:tc>
        <w:tc>
          <w:tcPr>
            <w:tcW w:w="506" w:type="pct"/>
            <w:vAlign w:val="center"/>
          </w:tcPr>
          <w:p w14:paraId="460DD8E3">
            <w:pPr>
              <w:pStyle w:val="61"/>
            </w:pPr>
            <w:r>
              <w:t>H</w:t>
            </w:r>
            <w:r>
              <w:rPr>
                <w:vertAlign w:val="subscript"/>
              </w:rPr>
              <w:t>2</w:t>
            </w:r>
            <w:r>
              <w:t>S</w:t>
            </w:r>
          </w:p>
        </w:tc>
        <w:tc>
          <w:tcPr>
            <w:tcW w:w="1052" w:type="pct"/>
            <w:vMerge w:val="continue"/>
            <w:vAlign w:val="center"/>
          </w:tcPr>
          <w:p w14:paraId="1C3B0662">
            <w:pPr>
              <w:pStyle w:val="61"/>
              <w:rPr>
                <w:lang w:val="zh-CN"/>
              </w:rPr>
            </w:pPr>
          </w:p>
        </w:tc>
        <w:tc>
          <w:tcPr>
            <w:tcW w:w="790" w:type="pct"/>
            <w:vMerge w:val="continue"/>
            <w:vAlign w:val="center"/>
          </w:tcPr>
          <w:p w14:paraId="3E22E4CC">
            <w:pPr>
              <w:pStyle w:val="61"/>
              <w:rPr>
                <w:lang w:val="zh-CN"/>
              </w:rPr>
            </w:pPr>
          </w:p>
        </w:tc>
        <w:tc>
          <w:tcPr>
            <w:tcW w:w="744" w:type="pct"/>
            <w:vAlign w:val="center"/>
          </w:tcPr>
          <w:p w14:paraId="7B3A363D">
            <w:pPr>
              <w:pStyle w:val="61"/>
              <w:rPr>
                <w:lang w:val="zh-CN"/>
              </w:rPr>
            </w:pPr>
            <w:r>
              <w:rPr>
                <w:rFonts w:hint="eastAsia"/>
                <w:lang w:val="zh-CN"/>
              </w:rPr>
              <w:t>6</w:t>
            </w:r>
            <w:r>
              <w:rPr>
                <w:lang w:val="zh-CN"/>
              </w:rPr>
              <w:t>0</w:t>
            </w:r>
          </w:p>
        </w:tc>
        <w:tc>
          <w:tcPr>
            <w:tcW w:w="561" w:type="pct"/>
            <w:vAlign w:val="center"/>
          </w:tcPr>
          <w:p w14:paraId="0823CADD">
            <w:pPr>
              <w:pStyle w:val="61"/>
            </w:pPr>
            <w:r>
              <w:rPr>
                <w:rFonts w:hint="eastAsia"/>
              </w:rPr>
              <w:t>0.00001</w:t>
            </w:r>
          </w:p>
        </w:tc>
      </w:tr>
      <w:tr w14:paraId="4DB0B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00" w:type="pct"/>
            <w:gridSpan w:val="8"/>
            <w:vAlign w:val="center"/>
          </w:tcPr>
          <w:p w14:paraId="213BBFE2">
            <w:pPr>
              <w:pStyle w:val="61"/>
            </w:pPr>
            <w:r>
              <w:rPr>
                <w:rFonts w:hint="eastAsia"/>
              </w:rPr>
              <w:t>无组织排放总计</w:t>
            </w:r>
          </w:p>
        </w:tc>
      </w:tr>
      <w:tr w14:paraId="20A7C0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51" w:type="pct"/>
            <w:gridSpan w:val="4"/>
            <w:vMerge w:val="restart"/>
            <w:vAlign w:val="center"/>
          </w:tcPr>
          <w:p w14:paraId="2BA5CDC5">
            <w:pPr>
              <w:pStyle w:val="61"/>
              <w:rPr>
                <w:lang w:val="zh-CN"/>
              </w:rPr>
            </w:pPr>
            <w:r>
              <w:rPr>
                <w:rFonts w:hint="eastAsia"/>
                <w:lang w:val="zh-CN"/>
              </w:rPr>
              <w:t>无组织排放总计</w:t>
            </w:r>
          </w:p>
        </w:tc>
        <w:tc>
          <w:tcPr>
            <w:tcW w:w="1842" w:type="pct"/>
            <w:gridSpan w:val="2"/>
            <w:vAlign w:val="center"/>
          </w:tcPr>
          <w:p w14:paraId="18E64DB7">
            <w:pPr>
              <w:pStyle w:val="61"/>
              <w:rPr>
                <w:lang w:val="zh-CN"/>
              </w:rPr>
            </w:pPr>
            <w:r>
              <w:t>NH</w:t>
            </w:r>
            <w:r>
              <w:rPr>
                <w:vertAlign w:val="subscript"/>
              </w:rPr>
              <w:t>3</w:t>
            </w:r>
          </w:p>
        </w:tc>
        <w:tc>
          <w:tcPr>
            <w:tcW w:w="1305" w:type="pct"/>
            <w:gridSpan w:val="2"/>
            <w:vAlign w:val="center"/>
          </w:tcPr>
          <w:p w14:paraId="00836F51">
            <w:pPr>
              <w:pStyle w:val="61"/>
            </w:pPr>
            <w:r>
              <w:rPr>
                <w:rFonts w:hint="eastAsia"/>
              </w:rPr>
              <w:t>0.0212</w:t>
            </w:r>
          </w:p>
        </w:tc>
      </w:tr>
      <w:tr w14:paraId="6943A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51" w:type="pct"/>
            <w:gridSpan w:val="4"/>
            <w:vMerge w:val="continue"/>
            <w:vAlign w:val="center"/>
          </w:tcPr>
          <w:p w14:paraId="7A167253">
            <w:pPr>
              <w:pStyle w:val="61"/>
              <w:rPr>
                <w:lang w:val="zh-CN"/>
              </w:rPr>
            </w:pPr>
          </w:p>
        </w:tc>
        <w:tc>
          <w:tcPr>
            <w:tcW w:w="1842" w:type="pct"/>
            <w:gridSpan w:val="2"/>
            <w:vAlign w:val="center"/>
          </w:tcPr>
          <w:p w14:paraId="37C413DE">
            <w:pPr>
              <w:pStyle w:val="61"/>
              <w:rPr>
                <w:lang w:val="zh-CN"/>
              </w:rPr>
            </w:pPr>
            <w:r>
              <w:t>H</w:t>
            </w:r>
            <w:r>
              <w:rPr>
                <w:vertAlign w:val="subscript"/>
              </w:rPr>
              <w:t>2</w:t>
            </w:r>
            <w:r>
              <w:t>S</w:t>
            </w:r>
          </w:p>
        </w:tc>
        <w:tc>
          <w:tcPr>
            <w:tcW w:w="1305" w:type="pct"/>
            <w:gridSpan w:val="2"/>
            <w:vAlign w:val="center"/>
          </w:tcPr>
          <w:p w14:paraId="7F1D6AF5">
            <w:pPr>
              <w:pStyle w:val="61"/>
            </w:pPr>
            <w:r>
              <w:rPr>
                <w:rFonts w:hint="eastAsia"/>
              </w:rPr>
              <w:t>0.00211</w:t>
            </w:r>
          </w:p>
        </w:tc>
      </w:tr>
    </w:tbl>
    <w:p w14:paraId="3F8592CB">
      <w:pPr>
        <w:pStyle w:val="31"/>
        <w:spacing w:before="0" w:line="480" w:lineRule="exact"/>
      </w:pPr>
      <w:r>
        <w:rPr>
          <w:rFonts w:hint="eastAsia"/>
        </w:rPr>
        <w:t>表</w:t>
      </w:r>
      <w:r>
        <w:t>5.2-</w:t>
      </w:r>
      <w:r>
        <w:rPr>
          <w:rFonts w:hint="eastAsia"/>
        </w:rPr>
        <w:t>21</w:t>
      </w:r>
      <w:r>
        <w:t xml:space="preserve">  </w:t>
      </w:r>
      <w:r>
        <w:rPr>
          <w:rFonts w:hint="eastAsia"/>
        </w:rPr>
        <w:t>大气污染物年排放量核算表</w:t>
      </w:r>
    </w:p>
    <w:tbl>
      <w:tblPr>
        <w:tblStyle w:val="4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3268"/>
        <w:gridCol w:w="3268"/>
      </w:tblGrid>
      <w:tr w14:paraId="5115D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0" w:type="pct"/>
            <w:vAlign w:val="center"/>
          </w:tcPr>
          <w:p w14:paraId="3FADE8B2">
            <w:pPr>
              <w:pStyle w:val="61"/>
            </w:pPr>
            <w:r>
              <w:rPr>
                <w:rFonts w:hint="eastAsia"/>
              </w:rPr>
              <w:t>序号</w:t>
            </w:r>
          </w:p>
        </w:tc>
        <w:tc>
          <w:tcPr>
            <w:tcW w:w="1874" w:type="pct"/>
            <w:vAlign w:val="center"/>
          </w:tcPr>
          <w:p w14:paraId="6DC0BCB2">
            <w:pPr>
              <w:pStyle w:val="61"/>
            </w:pPr>
            <w:r>
              <w:rPr>
                <w:rFonts w:hint="eastAsia"/>
              </w:rPr>
              <w:t>污染物</w:t>
            </w:r>
          </w:p>
        </w:tc>
        <w:tc>
          <w:tcPr>
            <w:tcW w:w="1874" w:type="pct"/>
            <w:vAlign w:val="center"/>
          </w:tcPr>
          <w:p w14:paraId="5E697155">
            <w:pPr>
              <w:pStyle w:val="61"/>
            </w:pPr>
            <w:r>
              <w:rPr>
                <w:rFonts w:hint="eastAsia"/>
              </w:rPr>
              <w:t>年排放量</w:t>
            </w:r>
            <w:r>
              <w:t>/</w:t>
            </w:r>
            <w:r>
              <w:rPr>
                <w:rFonts w:hint="eastAsia"/>
              </w:rPr>
              <w:t>（</w:t>
            </w:r>
            <w:r>
              <w:t>t/a</w:t>
            </w:r>
            <w:r>
              <w:rPr>
                <w:rFonts w:hint="eastAsia"/>
              </w:rPr>
              <w:t>）</w:t>
            </w:r>
          </w:p>
        </w:tc>
      </w:tr>
      <w:tr w14:paraId="035282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0" w:type="pct"/>
            <w:vAlign w:val="center"/>
          </w:tcPr>
          <w:p w14:paraId="17BDE1A4">
            <w:pPr>
              <w:pStyle w:val="61"/>
            </w:pPr>
            <w:r>
              <w:rPr>
                <w:rFonts w:hint="eastAsia"/>
              </w:rPr>
              <w:t>1</w:t>
            </w:r>
          </w:p>
        </w:tc>
        <w:tc>
          <w:tcPr>
            <w:tcW w:w="1874" w:type="pct"/>
            <w:shd w:val="clear" w:color="auto" w:fill="auto"/>
            <w:vAlign w:val="center"/>
          </w:tcPr>
          <w:p w14:paraId="07076A1B">
            <w:pPr>
              <w:adjustRightInd w:val="0"/>
              <w:snapToGrid w:val="0"/>
              <w:spacing w:line="280" w:lineRule="exact"/>
              <w:jc w:val="center"/>
              <w:rPr>
                <w:rFonts w:ascii="Times New Roman" w:eastAsia="宋体" w:hAnsiTheme="minorHAnsi"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NH</w:t>
            </w:r>
            <w:r>
              <w:rPr>
                <w:rFonts w:hint="eastAsia"/>
                <w:color w:val="000000" w:themeColor="text1"/>
                <w:sz w:val="21"/>
                <w:szCs w:val="21"/>
                <w:vertAlign w:val="subscript"/>
                <w14:textFill>
                  <w14:solidFill>
                    <w14:schemeClr w14:val="tx1"/>
                  </w14:solidFill>
                </w14:textFill>
              </w:rPr>
              <w:t>3</w:t>
            </w:r>
          </w:p>
        </w:tc>
        <w:tc>
          <w:tcPr>
            <w:tcW w:w="1874" w:type="pct"/>
            <w:shd w:val="clear" w:color="auto" w:fill="FFFFFF"/>
            <w:vAlign w:val="center"/>
          </w:tcPr>
          <w:p w14:paraId="7B82758F">
            <w:pPr>
              <w:adjustRightInd w:val="0"/>
              <w:snapToGrid w:val="0"/>
              <w:spacing w:line="280" w:lineRule="exact"/>
              <w:jc w:val="center"/>
              <w:rPr>
                <w:rFonts w:hint="default" w:ascii="Times New Roman" w:eastAsia="宋体" w:hAnsiTheme="minorHAnsi" w:cstheme="minorBidi"/>
                <w:kern w:val="0"/>
                <w:sz w:val="21"/>
                <w:szCs w:val="21"/>
                <w:lang w:val="en-US" w:eastAsia="zh-CN" w:bidi="ar-SA"/>
              </w:rPr>
            </w:pPr>
            <w:r>
              <w:rPr>
                <w:rFonts w:hint="eastAsia" w:ascii="Times New Roman" w:eastAsia="宋体"/>
                <w:color w:val="000000" w:themeColor="text1"/>
                <w:sz w:val="21"/>
                <w:szCs w:val="21"/>
                <w14:textFill>
                  <w14:solidFill>
                    <w14:schemeClr w14:val="tx1"/>
                  </w14:solidFill>
                </w14:textFill>
              </w:rPr>
              <w:t>0.0</w:t>
            </w:r>
            <w:r>
              <w:rPr>
                <w:rFonts w:hint="eastAsia" w:ascii="Times New Roman" w:eastAsia="宋体"/>
                <w:color w:val="000000" w:themeColor="text1"/>
                <w:sz w:val="21"/>
                <w:szCs w:val="21"/>
                <w:lang w:val="en-US" w:eastAsia="zh-CN"/>
                <w14:textFill>
                  <w14:solidFill>
                    <w14:schemeClr w14:val="tx1"/>
                  </w14:solidFill>
                </w14:textFill>
              </w:rPr>
              <w:t>447</w:t>
            </w:r>
          </w:p>
        </w:tc>
      </w:tr>
      <w:tr w14:paraId="060B8D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0" w:type="pct"/>
            <w:vAlign w:val="center"/>
          </w:tcPr>
          <w:p w14:paraId="6EF9FEA6">
            <w:pPr>
              <w:pStyle w:val="61"/>
            </w:pPr>
            <w:r>
              <w:rPr>
                <w:rFonts w:hint="eastAsia"/>
              </w:rPr>
              <w:t>2</w:t>
            </w:r>
          </w:p>
        </w:tc>
        <w:tc>
          <w:tcPr>
            <w:tcW w:w="1874" w:type="pct"/>
            <w:shd w:val="clear" w:color="auto" w:fill="auto"/>
            <w:vAlign w:val="center"/>
          </w:tcPr>
          <w:p w14:paraId="45D46ADB">
            <w:pPr>
              <w:adjustRightInd w:val="0"/>
              <w:snapToGrid w:val="0"/>
              <w:spacing w:line="280" w:lineRule="exact"/>
              <w:jc w:val="center"/>
              <w:rPr>
                <w:rFonts w:ascii="Times New Roman" w:hAnsi="宋体" w:eastAsia="宋体" w:cstheme="minorBidi"/>
                <w:kern w:val="2"/>
                <w:sz w:val="21"/>
                <w:szCs w:val="21"/>
                <w:lang w:val="en-US" w:eastAsia="zh-CN" w:bidi="ar-SA"/>
              </w:rPr>
            </w:pPr>
            <w:r>
              <w:rPr>
                <w:rFonts w:hint="eastAsia"/>
                <w:color w:val="000000" w:themeColor="text1"/>
                <w:sz w:val="21"/>
                <w:szCs w:val="21"/>
                <w14:textFill>
                  <w14:solidFill>
                    <w14:schemeClr w14:val="tx1"/>
                  </w14:solidFill>
                </w14:textFill>
              </w:rPr>
              <w:t>H</w:t>
            </w:r>
            <w:r>
              <w:rPr>
                <w:rFonts w:hint="eastAsia"/>
                <w:color w:val="000000" w:themeColor="text1"/>
                <w:sz w:val="21"/>
                <w:szCs w:val="21"/>
                <w:vertAlign w:val="subscript"/>
                <w14:textFill>
                  <w14:solidFill>
                    <w14:schemeClr w14:val="tx1"/>
                  </w14:solidFill>
                </w14:textFill>
              </w:rPr>
              <w:t>2</w:t>
            </w:r>
            <w:r>
              <w:rPr>
                <w:rFonts w:hint="eastAsia"/>
                <w:color w:val="000000" w:themeColor="text1"/>
                <w:sz w:val="21"/>
                <w:szCs w:val="21"/>
                <w14:textFill>
                  <w14:solidFill>
                    <w14:schemeClr w14:val="tx1"/>
                  </w14:solidFill>
                </w14:textFill>
              </w:rPr>
              <w:t>S</w:t>
            </w:r>
          </w:p>
        </w:tc>
        <w:tc>
          <w:tcPr>
            <w:tcW w:w="1874" w:type="pct"/>
            <w:shd w:val="clear" w:color="auto" w:fill="FFFFFF"/>
            <w:vAlign w:val="center"/>
          </w:tcPr>
          <w:p w14:paraId="0B8374C4">
            <w:pPr>
              <w:adjustRightInd w:val="0"/>
              <w:snapToGrid w:val="0"/>
              <w:spacing w:line="280" w:lineRule="exact"/>
              <w:jc w:val="center"/>
              <w:rPr>
                <w:rFonts w:hint="default" w:ascii="Times New Roman" w:eastAsia="宋体" w:hAnsiTheme="minorHAnsi" w:cstheme="minorBidi"/>
                <w:kern w:val="0"/>
                <w:sz w:val="21"/>
                <w:szCs w:val="21"/>
                <w:lang w:val="en-US" w:eastAsia="zh-CN" w:bidi="ar-SA"/>
              </w:rPr>
            </w:pPr>
            <w:r>
              <w:rPr>
                <w:rFonts w:hint="eastAsia" w:ascii="Times New Roman" w:eastAsia="宋体"/>
                <w:color w:val="000000" w:themeColor="text1"/>
                <w:sz w:val="21"/>
                <w:szCs w:val="21"/>
                <w14:textFill>
                  <w14:solidFill>
                    <w14:schemeClr w14:val="tx1"/>
                  </w14:solidFill>
                </w14:textFill>
              </w:rPr>
              <w:t>0.00</w:t>
            </w:r>
            <w:r>
              <w:rPr>
                <w:rFonts w:hint="eastAsia" w:ascii="Times New Roman" w:eastAsia="宋体"/>
                <w:color w:val="000000" w:themeColor="text1"/>
                <w:sz w:val="21"/>
                <w:szCs w:val="21"/>
                <w:lang w:val="en-US" w:eastAsia="zh-CN"/>
                <w14:textFill>
                  <w14:solidFill>
                    <w14:schemeClr w14:val="tx1"/>
                  </w14:solidFill>
                </w14:textFill>
              </w:rPr>
              <w:t>442</w:t>
            </w:r>
          </w:p>
        </w:tc>
      </w:tr>
    </w:tbl>
    <w:p w14:paraId="6DB8F29C">
      <w:pPr>
        <w:pStyle w:val="102"/>
        <w:spacing w:beforeLines="0" w:line="500" w:lineRule="exact"/>
        <w:rPr>
          <w:rFonts w:eastAsia="宋体"/>
          <w:b/>
          <w:bCs/>
          <w:color w:val="000000" w:themeColor="text1"/>
          <w:sz w:val="24"/>
          <w:szCs w:val="24"/>
          <w14:textFill>
            <w14:solidFill>
              <w14:schemeClr w14:val="tx1"/>
            </w14:solidFill>
          </w14:textFill>
        </w:rPr>
      </w:pPr>
      <w:r>
        <w:rPr>
          <w:rFonts w:eastAsia="宋体"/>
          <w:b/>
          <w:bCs/>
          <w:color w:val="000000" w:themeColor="text1"/>
          <w:sz w:val="24"/>
          <w:szCs w:val="24"/>
          <w14:textFill>
            <w14:solidFill>
              <w14:schemeClr w14:val="tx1"/>
            </w14:solidFill>
          </w14:textFill>
        </w:rPr>
        <w:t>表5.2-</w:t>
      </w:r>
      <w:r>
        <w:rPr>
          <w:rFonts w:hint="eastAsia" w:eastAsia="宋体"/>
          <w:b/>
          <w:bCs/>
          <w:color w:val="000000" w:themeColor="text1"/>
          <w:sz w:val="24"/>
          <w:szCs w:val="24"/>
          <w14:textFill>
            <w14:solidFill>
              <w14:schemeClr w14:val="tx1"/>
            </w14:solidFill>
          </w14:textFill>
        </w:rPr>
        <w:t xml:space="preserve">22 </w:t>
      </w:r>
      <w:r>
        <w:rPr>
          <w:rFonts w:eastAsia="宋体"/>
          <w:b/>
          <w:bCs/>
          <w:color w:val="000000" w:themeColor="text1"/>
          <w:sz w:val="24"/>
          <w:szCs w:val="24"/>
          <w14:textFill>
            <w14:solidFill>
              <w14:schemeClr w14:val="tx1"/>
            </w14:solidFill>
          </w14:textFill>
        </w:rPr>
        <w:t xml:space="preserve">项目污染源非正常排放量核算表 </w:t>
      </w:r>
    </w:p>
    <w:tbl>
      <w:tblPr>
        <w:tblStyle w:val="41"/>
        <w:tblW w:w="508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28" w:type="dxa"/>
          <w:bottom w:w="0" w:type="dxa"/>
          <w:right w:w="28" w:type="dxa"/>
        </w:tblCellMar>
      </w:tblPr>
      <w:tblGrid>
        <w:gridCol w:w="381"/>
        <w:gridCol w:w="778"/>
        <w:gridCol w:w="1211"/>
        <w:gridCol w:w="715"/>
        <w:gridCol w:w="1488"/>
        <w:gridCol w:w="1032"/>
        <w:gridCol w:w="686"/>
        <w:gridCol w:w="860"/>
        <w:gridCol w:w="1546"/>
      </w:tblGrid>
      <w:tr w14:paraId="2637216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25" w:hRule="atLeast"/>
          <w:jc w:val="center"/>
        </w:trPr>
        <w:tc>
          <w:tcPr>
            <w:tcW w:w="219" w:type="pct"/>
            <w:shd w:val="clear" w:color="auto" w:fill="FFFFFF"/>
            <w:vAlign w:val="center"/>
          </w:tcPr>
          <w:p w14:paraId="4967B9A1">
            <w:pPr>
              <w:pStyle w:val="101"/>
              <w:spacing w:line="320" w:lineRule="exact"/>
              <w:rPr>
                <w:rFonts w:hAnsi="Times New Roman" w:eastAsia="宋体" w:cs="Times New Roman"/>
                <w:color w:val="000000" w:themeColor="text1"/>
                <w:sz w:val="21"/>
                <w:szCs w:val="21"/>
                <w14:textFill>
                  <w14:solidFill>
                    <w14:schemeClr w14:val="tx1"/>
                  </w14:solidFill>
                </w14:textFill>
              </w:rPr>
            </w:pPr>
            <w:r>
              <w:rPr>
                <w:rFonts w:hAnsi="Times New Roman" w:eastAsia="宋体" w:cs="Times New Roman"/>
                <w:color w:val="000000" w:themeColor="text1"/>
                <w:sz w:val="21"/>
                <w:szCs w:val="21"/>
                <w14:textFill>
                  <w14:solidFill>
                    <w14:schemeClr w14:val="tx1"/>
                  </w14:solidFill>
                </w14:textFill>
              </w:rPr>
              <w:t>序号</w:t>
            </w:r>
          </w:p>
        </w:tc>
        <w:tc>
          <w:tcPr>
            <w:tcW w:w="447" w:type="pct"/>
            <w:shd w:val="clear" w:color="auto" w:fill="FFFFFF"/>
            <w:vAlign w:val="center"/>
          </w:tcPr>
          <w:p w14:paraId="0673D418">
            <w:pPr>
              <w:pStyle w:val="101"/>
              <w:spacing w:line="320" w:lineRule="exact"/>
              <w:rPr>
                <w:rFonts w:hAnsi="Times New Roman" w:eastAsia="宋体" w:cs="Times New Roman"/>
                <w:color w:val="000000" w:themeColor="text1"/>
                <w:sz w:val="21"/>
                <w:szCs w:val="21"/>
                <w14:textFill>
                  <w14:solidFill>
                    <w14:schemeClr w14:val="tx1"/>
                  </w14:solidFill>
                </w14:textFill>
              </w:rPr>
            </w:pPr>
            <w:r>
              <w:rPr>
                <w:rFonts w:hAnsi="Times New Roman" w:eastAsia="宋体" w:cs="Times New Roman"/>
                <w:color w:val="000000" w:themeColor="text1"/>
                <w:sz w:val="21"/>
                <w:szCs w:val="21"/>
                <w14:textFill>
                  <w14:solidFill>
                    <w14:schemeClr w14:val="tx1"/>
                  </w14:solidFill>
                </w14:textFill>
              </w:rPr>
              <w:t>污染源</w:t>
            </w:r>
          </w:p>
        </w:tc>
        <w:tc>
          <w:tcPr>
            <w:tcW w:w="696" w:type="pct"/>
            <w:shd w:val="clear" w:color="auto" w:fill="FFFFFF"/>
            <w:vAlign w:val="center"/>
          </w:tcPr>
          <w:p w14:paraId="5452D73C">
            <w:pPr>
              <w:pStyle w:val="101"/>
              <w:spacing w:line="320" w:lineRule="exact"/>
              <w:rPr>
                <w:rFonts w:hAnsi="Times New Roman" w:eastAsia="宋体" w:cs="Times New Roman"/>
                <w:color w:val="000000" w:themeColor="text1"/>
                <w:sz w:val="21"/>
                <w:szCs w:val="21"/>
                <w14:textFill>
                  <w14:solidFill>
                    <w14:schemeClr w14:val="tx1"/>
                  </w14:solidFill>
                </w14:textFill>
              </w:rPr>
            </w:pPr>
            <w:r>
              <w:rPr>
                <w:rFonts w:hAnsi="Times New Roman" w:eastAsia="宋体" w:cs="Times New Roman"/>
                <w:color w:val="000000" w:themeColor="text1"/>
                <w:sz w:val="21"/>
                <w:szCs w:val="21"/>
                <w14:textFill>
                  <w14:solidFill>
                    <w14:schemeClr w14:val="tx1"/>
                  </w14:solidFill>
                </w14:textFill>
              </w:rPr>
              <w:t>非正常排放原因</w:t>
            </w:r>
          </w:p>
        </w:tc>
        <w:tc>
          <w:tcPr>
            <w:tcW w:w="411" w:type="pct"/>
            <w:shd w:val="clear" w:color="auto" w:fill="FFFFFF"/>
            <w:vAlign w:val="center"/>
          </w:tcPr>
          <w:p w14:paraId="2846BD38">
            <w:pPr>
              <w:pStyle w:val="101"/>
              <w:spacing w:line="320" w:lineRule="exact"/>
              <w:rPr>
                <w:rFonts w:hAnsi="Times New Roman" w:eastAsia="宋体" w:cs="Times New Roman"/>
                <w:color w:val="000000" w:themeColor="text1"/>
                <w:sz w:val="21"/>
                <w:szCs w:val="21"/>
                <w14:textFill>
                  <w14:solidFill>
                    <w14:schemeClr w14:val="tx1"/>
                  </w14:solidFill>
                </w14:textFill>
              </w:rPr>
            </w:pPr>
            <w:r>
              <w:rPr>
                <w:rFonts w:hAnsi="Times New Roman" w:eastAsia="宋体" w:cs="Times New Roman"/>
                <w:color w:val="000000" w:themeColor="text1"/>
                <w:sz w:val="21"/>
                <w:szCs w:val="21"/>
                <w14:textFill>
                  <w14:solidFill>
                    <w14:schemeClr w14:val="tx1"/>
                  </w14:solidFill>
                </w14:textFill>
              </w:rPr>
              <w:t>污染物</w:t>
            </w:r>
          </w:p>
        </w:tc>
        <w:tc>
          <w:tcPr>
            <w:tcW w:w="855" w:type="pct"/>
            <w:shd w:val="clear" w:color="auto" w:fill="FFFFFF"/>
            <w:vAlign w:val="center"/>
          </w:tcPr>
          <w:p w14:paraId="1C9CBAA9">
            <w:pPr>
              <w:pStyle w:val="101"/>
              <w:spacing w:line="320" w:lineRule="exact"/>
              <w:rPr>
                <w:rFonts w:hAnsi="Times New Roman" w:eastAsia="宋体" w:cs="Times New Roman"/>
                <w:color w:val="000000" w:themeColor="text1"/>
                <w:sz w:val="21"/>
                <w:szCs w:val="21"/>
                <w14:textFill>
                  <w14:solidFill>
                    <w14:schemeClr w14:val="tx1"/>
                  </w14:solidFill>
                </w14:textFill>
              </w:rPr>
            </w:pPr>
            <w:r>
              <w:rPr>
                <w:rFonts w:hAnsi="Times New Roman" w:eastAsia="宋体" w:cs="Times New Roman"/>
                <w:color w:val="000000" w:themeColor="text1"/>
                <w:sz w:val="21"/>
                <w:szCs w:val="21"/>
                <w14:textFill>
                  <w14:solidFill>
                    <w14:schemeClr w14:val="tx1"/>
                  </w14:solidFill>
                </w14:textFill>
              </w:rPr>
              <w:t>非正常排放浓度/(mg/m</w:t>
            </w:r>
            <w:r>
              <w:rPr>
                <w:rFonts w:hAnsi="Times New Roman" w:eastAsia="宋体" w:cs="Times New Roman"/>
                <w:color w:val="000000" w:themeColor="text1"/>
                <w:sz w:val="21"/>
                <w:szCs w:val="21"/>
                <w:vertAlign w:val="superscript"/>
                <w14:textFill>
                  <w14:solidFill>
                    <w14:schemeClr w14:val="tx1"/>
                  </w14:solidFill>
                </w14:textFill>
              </w:rPr>
              <w:t>3</w:t>
            </w:r>
            <w:r>
              <w:rPr>
                <w:rFonts w:hAnsi="Times New Roman" w:eastAsia="宋体" w:cs="Times New Roman"/>
                <w:color w:val="000000" w:themeColor="text1"/>
                <w:sz w:val="21"/>
                <w:szCs w:val="21"/>
                <w14:textFill>
                  <w14:solidFill>
                    <w14:schemeClr w14:val="tx1"/>
                  </w14:solidFill>
                </w14:textFill>
              </w:rPr>
              <w:t>)</w:t>
            </w:r>
          </w:p>
        </w:tc>
        <w:tc>
          <w:tcPr>
            <w:tcW w:w="593" w:type="pct"/>
            <w:shd w:val="clear" w:color="auto" w:fill="FFFFFF"/>
            <w:vAlign w:val="center"/>
          </w:tcPr>
          <w:p w14:paraId="0D002562">
            <w:pPr>
              <w:pStyle w:val="101"/>
              <w:spacing w:line="320" w:lineRule="exact"/>
              <w:rPr>
                <w:rFonts w:hAnsi="Times New Roman" w:eastAsia="宋体" w:cs="Times New Roman"/>
                <w:color w:val="000000" w:themeColor="text1"/>
                <w:sz w:val="21"/>
                <w:szCs w:val="21"/>
                <w14:textFill>
                  <w14:solidFill>
                    <w14:schemeClr w14:val="tx1"/>
                  </w14:solidFill>
                </w14:textFill>
              </w:rPr>
            </w:pPr>
            <w:r>
              <w:rPr>
                <w:rFonts w:hAnsi="Times New Roman" w:eastAsia="宋体" w:cs="Times New Roman"/>
                <w:color w:val="000000" w:themeColor="text1"/>
                <w:sz w:val="21"/>
                <w:szCs w:val="21"/>
                <w14:textFill>
                  <w14:solidFill>
                    <w14:schemeClr w14:val="tx1"/>
                  </w14:solidFill>
                </w14:textFill>
              </w:rPr>
              <w:t>非正常排放速率/(kg/h）</w:t>
            </w:r>
          </w:p>
        </w:tc>
        <w:tc>
          <w:tcPr>
            <w:tcW w:w="394" w:type="pct"/>
            <w:shd w:val="clear" w:color="auto" w:fill="FFFFFF"/>
            <w:vAlign w:val="center"/>
          </w:tcPr>
          <w:p w14:paraId="52554455">
            <w:pPr>
              <w:pStyle w:val="101"/>
              <w:spacing w:line="320" w:lineRule="exact"/>
              <w:rPr>
                <w:rFonts w:hAnsi="Times New Roman" w:eastAsia="宋体" w:cs="Times New Roman"/>
                <w:color w:val="000000" w:themeColor="text1"/>
                <w:sz w:val="21"/>
                <w:szCs w:val="21"/>
                <w14:textFill>
                  <w14:solidFill>
                    <w14:schemeClr w14:val="tx1"/>
                  </w14:solidFill>
                </w14:textFill>
              </w:rPr>
            </w:pPr>
            <w:r>
              <w:rPr>
                <w:rFonts w:hAnsi="Times New Roman" w:eastAsia="宋体" w:cs="Times New Roman"/>
                <w:color w:val="000000" w:themeColor="text1"/>
                <w:sz w:val="21"/>
                <w:szCs w:val="21"/>
                <w14:textFill>
                  <w14:solidFill>
                    <w14:schemeClr w14:val="tx1"/>
                  </w14:solidFill>
                </w14:textFill>
              </w:rPr>
              <w:t>单次持续时间/h</w:t>
            </w:r>
          </w:p>
        </w:tc>
        <w:tc>
          <w:tcPr>
            <w:tcW w:w="494" w:type="pct"/>
            <w:shd w:val="clear" w:color="auto" w:fill="FFFFFF"/>
            <w:vAlign w:val="center"/>
          </w:tcPr>
          <w:p w14:paraId="67756718">
            <w:pPr>
              <w:pStyle w:val="101"/>
              <w:spacing w:line="320" w:lineRule="exact"/>
              <w:rPr>
                <w:rFonts w:hAnsi="Times New Roman" w:eastAsia="宋体" w:cs="Times New Roman"/>
                <w:color w:val="000000" w:themeColor="text1"/>
                <w:sz w:val="21"/>
                <w:szCs w:val="21"/>
                <w14:textFill>
                  <w14:solidFill>
                    <w14:schemeClr w14:val="tx1"/>
                  </w14:solidFill>
                </w14:textFill>
              </w:rPr>
            </w:pPr>
            <w:r>
              <w:rPr>
                <w:rFonts w:hAnsi="Times New Roman" w:eastAsia="宋体" w:cs="Times New Roman"/>
                <w:color w:val="000000" w:themeColor="text1"/>
                <w:sz w:val="21"/>
                <w:szCs w:val="21"/>
                <w14:textFill>
                  <w14:solidFill>
                    <w14:schemeClr w14:val="tx1"/>
                  </w14:solidFill>
                </w14:textFill>
              </w:rPr>
              <w:t>年发生频次/次</w:t>
            </w:r>
          </w:p>
        </w:tc>
        <w:tc>
          <w:tcPr>
            <w:tcW w:w="888" w:type="pct"/>
            <w:shd w:val="clear" w:color="auto" w:fill="FFFFFF"/>
            <w:vAlign w:val="center"/>
          </w:tcPr>
          <w:p w14:paraId="6EA29123">
            <w:pPr>
              <w:pStyle w:val="101"/>
              <w:spacing w:line="320" w:lineRule="exact"/>
              <w:rPr>
                <w:rFonts w:hAnsi="Times New Roman" w:eastAsia="宋体" w:cs="Times New Roman"/>
                <w:color w:val="000000" w:themeColor="text1"/>
                <w:sz w:val="21"/>
                <w:szCs w:val="21"/>
                <w14:textFill>
                  <w14:solidFill>
                    <w14:schemeClr w14:val="tx1"/>
                  </w14:solidFill>
                </w14:textFill>
              </w:rPr>
            </w:pPr>
            <w:r>
              <w:rPr>
                <w:rFonts w:hAnsi="Times New Roman" w:eastAsia="宋体" w:cs="Times New Roman"/>
                <w:color w:val="000000" w:themeColor="text1"/>
                <w:sz w:val="21"/>
                <w:szCs w:val="21"/>
                <w14:textFill>
                  <w14:solidFill>
                    <w14:schemeClr w14:val="tx1"/>
                  </w14:solidFill>
                </w14:textFill>
              </w:rPr>
              <w:t>应对</w:t>
            </w:r>
          </w:p>
          <w:p w14:paraId="25BA2418">
            <w:pPr>
              <w:pStyle w:val="101"/>
              <w:spacing w:line="320" w:lineRule="exact"/>
              <w:rPr>
                <w:rFonts w:hAnsi="Times New Roman" w:eastAsia="宋体" w:cs="Times New Roman"/>
                <w:color w:val="000000" w:themeColor="text1"/>
                <w:sz w:val="21"/>
                <w:szCs w:val="21"/>
                <w14:textFill>
                  <w14:solidFill>
                    <w14:schemeClr w14:val="tx1"/>
                  </w14:solidFill>
                </w14:textFill>
              </w:rPr>
            </w:pPr>
            <w:r>
              <w:rPr>
                <w:rFonts w:hAnsi="Times New Roman" w:eastAsia="宋体" w:cs="Times New Roman"/>
                <w:color w:val="000000" w:themeColor="text1"/>
                <w:sz w:val="21"/>
                <w:szCs w:val="21"/>
                <w14:textFill>
                  <w14:solidFill>
                    <w14:schemeClr w14:val="tx1"/>
                  </w14:solidFill>
                </w14:textFill>
              </w:rPr>
              <w:t>措施</w:t>
            </w:r>
          </w:p>
        </w:tc>
      </w:tr>
      <w:tr w14:paraId="27C4CE4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25" w:hRule="atLeast"/>
          <w:jc w:val="center"/>
        </w:trPr>
        <w:tc>
          <w:tcPr>
            <w:tcW w:w="219" w:type="pct"/>
            <w:vMerge w:val="restart"/>
            <w:shd w:val="clear" w:color="auto" w:fill="FFFFFF"/>
            <w:vAlign w:val="center"/>
          </w:tcPr>
          <w:p w14:paraId="3AE51935">
            <w:pPr>
              <w:pStyle w:val="101"/>
              <w:spacing w:line="320" w:lineRule="exact"/>
              <w:rPr>
                <w:rFonts w:hAnsi="Times New Roman" w:eastAsia="宋体" w:cs="Times New Roman"/>
                <w:color w:val="000000" w:themeColor="text1"/>
                <w:sz w:val="21"/>
                <w:szCs w:val="21"/>
                <w14:textFill>
                  <w14:solidFill>
                    <w14:schemeClr w14:val="tx1"/>
                  </w14:solidFill>
                </w14:textFill>
              </w:rPr>
            </w:pPr>
            <w:r>
              <w:rPr>
                <w:rFonts w:hAnsi="Times New Roman" w:eastAsia="宋体" w:cs="Times New Roman"/>
                <w:color w:val="000000" w:themeColor="text1"/>
                <w:sz w:val="21"/>
                <w:szCs w:val="21"/>
                <w14:textFill>
                  <w14:solidFill>
                    <w14:schemeClr w14:val="tx1"/>
                  </w14:solidFill>
                </w14:textFill>
              </w:rPr>
              <w:t>1</w:t>
            </w:r>
          </w:p>
        </w:tc>
        <w:tc>
          <w:tcPr>
            <w:tcW w:w="447" w:type="pct"/>
            <w:vMerge w:val="restart"/>
            <w:shd w:val="clear" w:color="auto" w:fill="FFFFFF"/>
            <w:vAlign w:val="center"/>
          </w:tcPr>
          <w:p w14:paraId="6DEA9EC7">
            <w:pPr>
              <w:adjustRightInd w:val="0"/>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DA00</w:t>
            </w:r>
            <w:r>
              <w:rPr>
                <w:rFonts w:hint="eastAsia" w:ascii="Times New Roman" w:hAnsi="Times New Roman" w:eastAsia="宋体" w:cs="Times New Roman"/>
                <w:color w:val="000000" w:themeColor="text1"/>
                <w:sz w:val="21"/>
                <w:szCs w:val="21"/>
                <w14:textFill>
                  <w14:solidFill>
                    <w14:schemeClr w14:val="tx1"/>
                  </w14:solidFill>
                </w14:textFill>
              </w:rPr>
              <w:t>1</w:t>
            </w:r>
          </w:p>
        </w:tc>
        <w:tc>
          <w:tcPr>
            <w:tcW w:w="696" w:type="pct"/>
            <w:vMerge w:val="restart"/>
            <w:shd w:val="clear" w:color="auto" w:fill="FFFFFF"/>
            <w:vAlign w:val="center"/>
          </w:tcPr>
          <w:p w14:paraId="53B3DF97">
            <w:pPr>
              <w:adjustRightInd w:val="0"/>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生物喷淋除臭装置</w:t>
            </w:r>
            <w:r>
              <w:rPr>
                <w:rFonts w:ascii="Times New Roman" w:hAnsi="Times New Roman" w:eastAsia="宋体" w:cs="Times New Roman"/>
                <w:color w:val="000000" w:themeColor="text1"/>
                <w:sz w:val="21"/>
                <w:szCs w:val="21"/>
                <w14:textFill>
                  <w14:solidFill>
                    <w14:schemeClr w14:val="tx1"/>
                  </w14:solidFill>
                </w14:textFill>
              </w:rPr>
              <w:t>故障</w:t>
            </w:r>
          </w:p>
        </w:tc>
        <w:tc>
          <w:tcPr>
            <w:tcW w:w="411" w:type="pct"/>
            <w:shd w:val="clear" w:color="auto" w:fill="FFFFFF"/>
            <w:vAlign w:val="center"/>
          </w:tcPr>
          <w:p w14:paraId="0349CD37">
            <w:pPr>
              <w:pStyle w:val="6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NH</w:t>
            </w:r>
            <w:r>
              <w:rPr>
                <w:rFonts w:hint="eastAsia"/>
                <w:color w:val="000000" w:themeColor="text1"/>
                <w:szCs w:val="21"/>
                <w:vertAlign w:val="subscript"/>
                <w14:textFill>
                  <w14:solidFill>
                    <w14:schemeClr w14:val="tx1"/>
                  </w14:solidFill>
                </w14:textFill>
              </w:rPr>
              <w:t>3</w:t>
            </w:r>
          </w:p>
        </w:tc>
        <w:tc>
          <w:tcPr>
            <w:tcW w:w="855" w:type="pct"/>
            <w:shd w:val="clear" w:color="auto" w:fill="FFFFFF"/>
            <w:vAlign w:val="center"/>
          </w:tcPr>
          <w:p w14:paraId="69AE33E6">
            <w:pPr>
              <w:spacing w:line="32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1.36</w:t>
            </w:r>
          </w:p>
        </w:tc>
        <w:tc>
          <w:tcPr>
            <w:tcW w:w="593" w:type="pct"/>
            <w:shd w:val="clear" w:color="auto" w:fill="FFFFFF"/>
            <w:vAlign w:val="center"/>
          </w:tcPr>
          <w:p w14:paraId="1A75FB2D">
            <w:pPr>
              <w:spacing w:line="32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0.0082</w:t>
            </w:r>
          </w:p>
        </w:tc>
        <w:tc>
          <w:tcPr>
            <w:tcW w:w="394" w:type="pct"/>
            <w:shd w:val="clear" w:color="auto" w:fill="FFFFFF"/>
            <w:vAlign w:val="center"/>
          </w:tcPr>
          <w:p w14:paraId="27D29E34">
            <w:pPr>
              <w:pStyle w:val="101"/>
              <w:spacing w:line="320" w:lineRule="exact"/>
              <w:rPr>
                <w:rFonts w:hAnsi="Times New Roman" w:eastAsia="宋体" w:cs="Times New Roman"/>
                <w:color w:val="000000" w:themeColor="text1"/>
                <w:sz w:val="21"/>
                <w:szCs w:val="21"/>
                <w14:textFill>
                  <w14:solidFill>
                    <w14:schemeClr w14:val="tx1"/>
                  </w14:solidFill>
                </w14:textFill>
              </w:rPr>
            </w:pPr>
            <w:r>
              <w:rPr>
                <w:rFonts w:hAnsi="Times New Roman" w:eastAsia="宋体" w:cs="Times New Roman"/>
                <w:color w:val="000000" w:themeColor="text1"/>
                <w:sz w:val="21"/>
                <w:szCs w:val="21"/>
                <w14:textFill>
                  <w14:solidFill>
                    <w14:schemeClr w14:val="tx1"/>
                  </w14:solidFill>
                </w14:textFill>
              </w:rPr>
              <w:t>0.5</w:t>
            </w:r>
          </w:p>
        </w:tc>
        <w:tc>
          <w:tcPr>
            <w:tcW w:w="494" w:type="pct"/>
            <w:shd w:val="clear" w:color="auto" w:fill="FFFFFF"/>
            <w:vAlign w:val="center"/>
          </w:tcPr>
          <w:p w14:paraId="449FD1CC">
            <w:pPr>
              <w:pStyle w:val="101"/>
              <w:spacing w:line="320" w:lineRule="exact"/>
              <w:rPr>
                <w:rFonts w:hAnsi="Times New Roman" w:eastAsia="宋体" w:cs="Times New Roman"/>
                <w:color w:val="000000" w:themeColor="text1"/>
                <w:sz w:val="21"/>
                <w:szCs w:val="21"/>
                <w14:textFill>
                  <w14:solidFill>
                    <w14:schemeClr w14:val="tx1"/>
                  </w14:solidFill>
                </w14:textFill>
              </w:rPr>
            </w:pPr>
            <w:r>
              <w:rPr>
                <w:rFonts w:hAnsi="Times New Roman" w:eastAsia="宋体" w:cs="Times New Roman"/>
                <w:color w:val="000000" w:themeColor="text1"/>
                <w:sz w:val="21"/>
                <w:szCs w:val="21"/>
                <w14:textFill>
                  <w14:solidFill>
                    <w14:schemeClr w14:val="tx1"/>
                  </w14:solidFill>
                </w14:textFill>
              </w:rPr>
              <w:t>1</w:t>
            </w:r>
          </w:p>
        </w:tc>
        <w:tc>
          <w:tcPr>
            <w:tcW w:w="888" w:type="pct"/>
            <w:vMerge w:val="restart"/>
            <w:shd w:val="clear" w:color="auto" w:fill="FFFFFF"/>
            <w:vAlign w:val="center"/>
          </w:tcPr>
          <w:p w14:paraId="4DB050F4">
            <w:pPr>
              <w:pStyle w:val="101"/>
              <w:spacing w:line="320" w:lineRule="exact"/>
              <w:rPr>
                <w:rFonts w:hAnsi="Times New Roman" w:eastAsia="宋体" w:cs="Times New Roman"/>
                <w:color w:val="000000" w:themeColor="text1"/>
                <w:sz w:val="21"/>
                <w:szCs w:val="21"/>
                <w14:textFill>
                  <w14:solidFill>
                    <w14:schemeClr w14:val="tx1"/>
                  </w14:solidFill>
                </w14:textFill>
              </w:rPr>
            </w:pPr>
            <w:r>
              <w:rPr>
                <w:rFonts w:hAnsi="Times New Roman" w:eastAsia="宋体" w:cs="Times New Roman"/>
                <w:color w:val="000000" w:themeColor="text1"/>
                <w:sz w:val="21"/>
                <w:szCs w:val="21"/>
                <w14:textFill>
                  <w14:solidFill>
                    <w14:schemeClr w14:val="tx1"/>
                  </w14:solidFill>
                </w14:textFill>
              </w:rPr>
              <w:t>加强废气处理设施的管理，定期检修，建立健全的环保管理机构</w:t>
            </w:r>
          </w:p>
        </w:tc>
      </w:tr>
      <w:tr w14:paraId="7818D51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25" w:hRule="atLeast"/>
          <w:jc w:val="center"/>
        </w:trPr>
        <w:tc>
          <w:tcPr>
            <w:tcW w:w="219" w:type="pct"/>
            <w:vMerge w:val="continue"/>
            <w:shd w:val="clear" w:color="auto" w:fill="FFFFFF"/>
            <w:vAlign w:val="center"/>
          </w:tcPr>
          <w:p w14:paraId="69AFF5F9">
            <w:pPr>
              <w:pStyle w:val="101"/>
              <w:spacing w:line="320" w:lineRule="exact"/>
              <w:rPr>
                <w:rFonts w:hAnsi="Times New Roman" w:eastAsia="宋体" w:cs="Times New Roman"/>
                <w:color w:val="000000" w:themeColor="text1"/>
                <w:sz w:val="21"/>
                <w:szCs w:val="21"/>
                <w14:textFill>
                  <w14:solidFill>
                    <w14:schemeClr w14:val="tx1"/>
                  </w14:solidFill>
                </w14:textFill>
              </w:rPr>
            </w:pPr>
          </w:p>
        </w:tc>
        <w:tc>
          <w:tcPr>
            <w:tcW w:w="447" w:type="pct"/>
            <w:vMerge w:val="continue"/>
            <w:shd w:val="clear" w:color="auto" w:fill="FFFFFF"/>
            <w:vAlign w:val="center"/>
          </w:tcPr>
          <w:p w14:paraId="43D48AE1">
            <w:pPr>
              <w:adjustRightInd w:val="0"/>
              <w:spacing w:line="320" w:lineRule="exact"/>
              <w:jc w:val="center"/>
              <w:rPr>
                <w:rFonts w:ascii="Times New Roman" w:hAnsi="Times New Roman" w:eastAsia="宋体" w:cs="Times New Roman"/>
                <w:color w:val="000000" w:themeColor="text1"/>
                <w:sz w:val="21"/>
                <w:szCs w:val="21"/>
                <w14:textFill>
                  <w14:solidFill>
                    <w14:schemeClr w14:val="tx1"/>
                  </w14:solidFill>
                </w14:textFill>
              </w:rPr>
            </w:pPr>
          </w:p>
        </w:tc>
        <w:tc>
          <w:tcPr>
            <w:tcW w:w="696" w:type="pct"/>
            <w:vMerge w:val="continue"/>
            <w:shd w:val="clear" w:color="auto" w:fill="FFFFFF"/>
            <w:vAlign w:val="center"/>
          </w:tcPr>
          <w:p w14:paraId="30434420">
            <w:pPr>
              <w:adjustRightInd w:val="0"/>
              <w:spacing w:line="320" w:lineRule="exact"/>
              <w:jc w:val="center"/>
              <w:rPr>
                <w:color w:val="000000" w:themeColor="text1"/>
                <w:sz w:val="21"/>
                <w:szCs w:val="21"/>
                <w14:textFill>
                  <w14:solidFill>
                    <w14:schemeClr w14:val="tx1"/>
                  </w14:solidFill>
                </w14:textFill>
              </w:rPr>
            </w:pPr>
          </w:p>
        </w:tc>
        <w:tc>
          <w:tcPr>
            <w:tcW w:w="411" w:type="pct"/>
            <w:shd w:val="clear" w:color="auto" w:fill="FFFFFF"/>
            <w:vAlign w:val="center"/>
          </w:tcPr>
          <w:p w14:paraId="62E277F2">
            <w:pPr>
              <w:pStyle w:val="6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S</w:t>
            </w:r>
          </w:p>
        </w:tc>
        <w:tc>
          <w:tcPr>
            <w:tcW w:w="855" w:type="pct"/>
            <w:shd w:val="clear" w:color="auto" w:fill="FFFFFF"/>
            <w:vAlign w:val="center"/>
          </w:tcPr>
          <w:p w14:paraId="4A3F970E">
            <w:pPr>
              <w:spacing w:line="32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0.134</w:t>
            </w:r>
          </w:p>
        </w:tc>
        <w:tc>
          <w:tcPr>
            <w:tcW w:w="593" w:type="pct"/>
            <w:shd w:val="clear" w:color="auto" w:fill="FFFFFF"/>
            <w:vAlign w:val="center"/>
          </w:tcPr>
          <w:p w14:paraId="4E66DFFA">
            <w:pPr>
              <w:spacing w:line="320" w:lineRule="exact"/>
              <w:jc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0.0008</w:t>
            </w:r>
          </w:p>
        </w:tc>
        <w:tc>
          <w:tcPr>
            <w:tcW w:w="394" w:type="pct"/>
            <w:shd w:val="clear" w:color="auto" w:fill="FFFFFF"/>
            <w:vAlign w:val="center"/>
          </w:tcPr>
          <w:p w14:paraId="431067F2">
            <w:pPr>
              <w:pStyle w:val="101"/>
              <w:spacing w:line="320" w:lineRule="exact"/>
              <w:rPr>
                <w:rFonts w:hAnsi="Times New Roman" w:eastAsia="宋体" w:cs="Times New Roman"/>
                <w:color w:val="000000" w:themeColor="text1"/>
                <w:sz w:val="21"/>
                <w:szCs w:val="21"/>
                <w14:textFill>
                  <w14:solidFill>
                    <w14:schemeClr w14:val="tx1"/>
                  </w14:solidFill>
                </w14:textFill>
              </w:rPr>
            </w:pPr>
            <w:r>
              <w:rPr>
                <w:rFonts w:hAnsi="Times New Roman" w:eastAsia="宋体" w:cs="Times New Roman"/>
                <w:color w:val="000000" w:themeColor="text1"/>
                <w:sz w:val="21"/>
                <w:szCs w:val="21"/>
                <w14:textFill>
                  <w14:solidFill>
                    <w14:schemeClr w14:val="tx1"/>
                  </w14:solidFill>
                </w14:textFill>
              </w:rPr>
              <w:t>0.5</w:t>
            </w:r>
          </w:p>
        </w:tc>
        <w:tc>
          <w:tcPr>
            <w:tcW w:w="494" w:type="pct"/>
            <w:shd w:val="clear" w:color="auto" w:fill="FFFFFF"/>
            <w:vAlign w:val="center"/>
          </w:tcPr>
          <w:p w14:paraId="2A543DFE">
            <w:pPr>
              <w:pStyle w:val="101"/>
              <w:spacing w:line="320" w:lineRule="exact"/>
              <w:rPr>
                <w:rFonts w:hAnsi="Times New Roman" w:eastAsia="宋体" w:cs="Times New Roman"/>
                <w:color w:val="000000" w:themeColor="text1"/>
                <w:sz w:val="21"/>
                <w:szCs w:val="21"/>
                <w14:textFill>
                  <w14:solidFill>
                    <w14:schemeClr w14:val="tx1"/>
                  </w14:solidFill>
                </w14:textFill>
              </w:rPr>
            </w:pPr>
            <w:r>
              <w:rPr>
                <w:rFonts w:hAnsi="Times New Roman" w:eastAsia="宋体" w:cs="Times New Roman"/>
                <w:color w:val="000000" w:themeColor="text1"/>
                <w:sz w:val="21"/>
                <w:szCs w:val="21"/>
                <w14:textFill>
                  <w14:solidFill>
                    <w14:schemeClr w14:val="tx1"/>
                  </w14:solidFill>
                </w14:textFill>
              </w:rPr>
              <w:t>1</w:t>
            </w:r>
          </w:p>
        </w:tc>
        <w:tc>
          <w:tcPr>
            <w:tcW w:w="888" w:type="pct"/>
            <w:vMerge w:val="continue"/>
            <w:shd w:val="clear" w:color="auto" w:fill="FFFFFF"/>
            <w:vAlign w:val="center"/>
          </w:tcPr>
          <w:p w14:paraId="7D72BCD0">
            <w:pPr>
              <w:pStyle w:val="101"/>
              <w:spacing w:line="320" w:lineRule="exact"/>
              <w:rPr>
                <w:rFonts w:hAnsi="Times New Roman" w:eastAsia="宋体" w:cs="Times New Roman"/>
                <w:color w:val="000000" w:themeColor="text1"/>
                <w:sz w:val="21"/>
                <w:szCs w:val="21"/>
                <w14:textFill>
                  <w14:solidFill>
                    <w14:schemeClr w14:val="tx1"/>
                  </w14:solidFill>
                </w14:textFill>
              </w:rPr>
            </w:pPr>
          </w:p>
        </w:tc>
      </w:tr>
    </w:tbl>
    <w:p w14:paraId="2AB0B2E7">
      <w:pPr>
        <w:pStyle w:val="7"/>
        <w:spacing w:line="480" w:lineRule="exact"/>
      </w:pPr>
      <w:r>
        <w:rPr>
          <w:rFonts w:hint="eastAsia"/>
        </w:rPr>
        <w:t>5</w:t>
      </w:r>
      <w:r>
        <w:t>.2.</w:t>
      </w:r>
      <w:r>
        <w:rPr>
          <w:rFonts w:hint="eastAsia"/>
        </w:rPr>
        <w:t>9</w:t>
      </w:r>
      <w:r>
        <w:t xml:space="preserve"> </w:t>
      </w:r>
      <w:r>
        <w:rPr>
          <w:rFonts w:hint="eastAsia"/>
        </w:rPr>
        <w:t>大气环境影响评价结论</w:t>
      </w:r>
    </w:p>
    <w:p w14:paraId="0C9DB289"/>
    <w:p w14:paraId="0C613372">
      <w:pPr>
        <w:pStyle w:val="31"/>
        <w:spacing w:before="0" w:line="480" w:lineRule="exact"/>
      </w:pPr>
      <w:r>
        <w:rPr>
          <w:rFonts w:hint="eastAsia"/>
        </w:rPr>
        <w:t>表</w:t>
      </w:r>
      <w:r>
        <w:t>5.2-</w:t>
      </w:r>
      <w:r>
        <w:rPr>
          <w:rFonts w:hint="eastAsia"/>
        </w:rPr>
        <w:t xml:space="preserve">23 </w:t>
      </w:r>
      <w:r>
        <w:t xml:space="preserve"> </w:t>
      </w:r>
      <w:r>
        <w:rPr>
          <w:rFonts w:hint="eastAsia"/>
        </w:rPr>
        <w:t>大气环境影响评价自查表</w:t>
      </w:r>
    </w:p>
    <w:tbl>
      <w:tblPr>
        <w:tblStyle w:val="41"/>
        <w:tblW w:w="50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52"/>
        <w:gridCol w:w="1096"/>
        <w:gridCol w:w="1337"/>
        <w:gridCol w:w="674"/>
        <w:gridCol w:w="149"/>
        <w:gridCol w:w="507"/>
        <w:gridCol w:w="281"/>
        <w:gridCol w:w="274"/>
        <w:gridCol w:w="386"/>
        <w:gridCol w:w="372"/>
        <w:gridCol w:w="356"/>
        <w:gridCol w:w="359"/>
        <w:gridCol w:w="281"/>
        <w:gridCol w:w="50"/>
        <w:gridCol w:w="761"/>
        <w:gridCol w:w="139"/>
        <w:gridCol w:w="188"/>
        <w:gridCol w:w="52"/>
        <w:gridCol w:w="100"/>
        <w:gridCol w:w="409"/>
        <w:gridCol w:w="470"/>
      </w:tblGrid>
      <w:tr w14:paraId="7C2BA1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84" w:type="pct"/>
            <w:gridSpan w:val="2"/>
            <w:vAlign w:val="center"/>
          </w:tcPr>
          <w:p w14:paraId="08B62AEA">
            <w:pPr>
              <w:adjustRightInd w:val="0"/>
              <w:snapToGrid w:val="0"/>
              <w:spacing w:line="280" w:lineRule="exact"/>
              <w:jc w:val="center"/>
              <w:rPr>
                <w:rFonts w:ascii="Times New Roman" w:eastAsia="宋体"/>
                <w:sz w:val="21"/>
                <w:szCs w:val="21"/>
              </w:rPr>
            </w:pPr>
            <w:r>
              <w:rPr>
                <w:rFonts w:ascii="Times New Roman" w:hAnsi="宋体" w:eastAsia="宋体"/>
                <w:sz w:val="21"/>
                <w:szCs w:val="21"/>
              </w:rPr>
              <w:t>工作内容</w:t>
            </w:r>
          </w:p>
        </w:tc>
        <w:tc>
          <w:tcPr>
            <w:tcW w:w="4015" w:type="pct"/>
            <w:gridSpan w:val="19"/>
            <w:vAlign w:val="center"/>
          </w:tcPr>
          <w:p w14:paraId="0AEBD170">
            <w:pPr>
              <w:adjustRightInd w:val="0"/>
              <w:snapToGrid w:val="0"/>
              <w:spacing w:line="280" w:lineRule="exact"/>
              <w:jc w:val="center"/>
              <w:rPr>
                <w:rFonts w:ascii="Times New Roman" w:eastAsia="宋体"/>
                <w:sz w:val="21"/>
                <w:szCs w:val="21"/>
              </w:rPr>
            </w:pPr>
            <w:r>
              <w:rPr>
                <w:rFonts w:ascii="Times New Roman" w:hAnsi="宋体" w:eastAsia="宋体"/>
                <w:sz w:val="21"/>
                <w:szCs w:val="21"/>
              </w:rPr>
              <w:t>自查项目</w:t>
            </w:r>
          </w:p>
        </w:tc>
      </w:tr>
      <w:tr w14:paraId="158397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Merge w:val="restart"/>
            <w:vAlign w:val="center"/>
          </w:tcPr>
          <w:p w14:paraId="06B4B5F5">
            <w:pPr>
              <w:adjustRightInd w:val="0"/>
              <w:snapToGrid w:val="0"/>
              <w:spacing w:line="280" w:lineRule="exact"/>
              <w:jc w:val="center"/>
              <w:rPr>
                <w:rFonts w:ascii="Times New Roman" w:eastAsia="宋体"/>
                <w:sz w:val="21"/>
                <w:szCs w:val="21"/>
              </w:rPr>
            </w:pPr>
            <w:r>
              <w:rPr>
                <w:rFonts w:ascii="Times New Roman" w:hAnsi="宋体" w:eastAsia="宋体"/>
                <w:sz w:val="21"/>
                <w:szCs w:val="21"/>
              </w:rPr>
              <w:t>评价等级与范围</w:t>
            </w:r>
          </w:p>
        </w:tc>
        <w:tc>
          <w:tcPr>
            <w:tcW w:w="617" w:type="pct"/>
            <w:vAlign w:val="center"/>
          </w:tcPr>
          <w:p w14:paraId="6BF74BC5">
            <w:pPr>
              <w:adjustRightInd w:val="0"/>
              <w:snapToGrid w:val="0"/>
              <w:spacing w:line="280" w:lineRule="exact"/>
              <w:jc w:val="center"/>
              <w:rPr>
                <w:rFonts w:ascii="Times New Roman" w:eastAsia="宋体"/>
                <w:sz w:val="21"/>
                <w:szCs w:val="21"/>
              </w:rPr>
            </w:pPr>
            <w:r>
              <w:rPr>
                <w:rFonts w:ascii="Times New Roman" w:hAnsi="宋体" w:eastAsia="宋体"/>
                <w:sz w:val="21"/>
                <w:szCs w:val="21"/>
              </w:rPr>
              <w:t>评价等级</w:t>
            </w:r>
          </w:p>
        </w:tc>
        <w:tc>
          <w:tcPr>
            <w:tcW w:w="1657" w:type="pct"/>
            <w:gridSpan w:val="5"/>
            <w:vAlign w:val="center"/>
          </w:tcPr>
          <w:p w14:paraId="72179593">
            <w:pPr>
              <w:adjustRightInd w:val="0"/>
              <w:snapToGrid w:val="0"/>
              <w:spacing w:line="280" w:lineRule="exact"/>
              <w:jc w:val="center"/>
              <w:rPr>
                <w:rFonts w:ascii="Times New Roman" w:eastAsia="宋体"/>
                <w:sz w:val="21"/>
                <w:szCs w:val="21"/>
              </w:rPr>
            </w:pPr>
            <w:r>
              <w:rPr>
                <w:rFonts w:ascii="Times New Roman" w:hAnsi="宋体" w:eastAsia="宋体"/>
                <w:sz w:val="21"/>
                <w:szCs w:val="21"/>
              </w:rPr>
              <w:t>一级</w:t>
            </w:r>
            <w:r>
              <w:rPr>
                <w:rFonts w:ascii="Times New Roman" w:eastAsia="宋体"/>
                <w:sz w:val="21"/>
                <w:szCs w:val="21"/>
              </w:rPr>
              <w:t>□</w:t>
            </w:r>
          </w:p>
        </w:tc>
        <w:tc>
          <w:tcPr>
            <w:tcW w:w="1780" w:type="pct"/>
            <w:gridSpan w:val="10"/>
            <w:vAlign w:val="center"/>
          </w:tcPr>
          <w:p w14:paraId="1FBFB500">
            <w:pPr>
              <w:adjustRightInd w:val="0"/>
              <w:snapToGrid w:val="0"/>
              <w:spacing w:line="280" w:lineRule="exact"/>
              <w:jc w:val="center"/>
              <w:rPr>
                <w:rFonts w:ascii="Times New Roman" w:eastAsia="宋体"/>
                <w:sz w:val="21"/>
                <w:szCs w:val="21"/>
              </w:rPr>
            </w:pPr>
            <w:r>
              <w:rPr>
                <w:rFonts w:ascii="Times New Roman" w:hAnsi="宋体" w:eastAsia="宋体"/>
                <w:sz w:val="21"/>
                <w:szCs w:val="21"/>
              </w:rPr>
              <w:t>二级☑</w:t>
            </w:r>
          </w:p>
        </w:tc>
        <w:tc>
          <w:tcPr>
            <w:tcW w:w="576" w:type="pct"/>
            <w:gridSpan w:val="4"/>
            <w:vAlign w:val="center"/>
          </w:tcPr>
          <w:p w14:paraId="15991D46">
            <w:pPr>
              <w:adjustRightInd w:val="0"/>
              <w:snapToGrid w:val="0"/>
              <w:spacing w:line="280" w:lineRule="exact"/>
              <w:jc w:val="center"/>
              <w:rPr>
                <w:rFonts w:ascii="Times New Roman" w:eastAsia="宋体"/>
                <w:sz w:val="21"/>
                <w:szCs w:val="21"/>
              </w:rPr>
            </w:pPr>
            <w:r>
              <w:rPr>
                <w:rFonts w:ascii="Times New Roman" w:hAnsi="宋体" w:eastAsia="宋体"/>
                <w:sz w:val="21"/>
                <w:szCs w:val="21"/>
              </w:rPr>
              <w:t>三级</w:t>
            </w:r>
            <w:r>
              <w:rPr>
                <w:rFonts w:ascii="Times New Roman" w:eastAsia="宋体"/>
                <w:sz w:val="21"/>
                <w:szCs w:val="21"/>
              </w:rPr>
              <w:t>□</w:t>
            </w:r>
          </w:p>
        </w:tc>
      </w:tr>
      <w:tr w14:paraId="7B54FE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Merge w:val="continue"/>
            <w:vAlign w:val="center"/>
          </w:tcPr>
          <w:p w14:paraId="43F02D42">
            <w:pPr>
              <w:adjustRightInd w:val="0"/>
              <w:snapToGrid w:val="0"/>
              <w:spacing w:line="280" w:lineRule="exact"/>
              <w:jc w:val="center"/>
              <w:rPr>
                <w:rFonts w:ascii="Times New Roman" w:eastAsia="宋体"/>
                <w:sz w:val="21"/>
                <w:szCs w:val="21"/>
              </w:rPr>
            </w:pPr>
          </w:p>
        </w:tc>
        <w:tc>
          <w:tcPr>
            <w:tcW w:w="617" w:type="pct"/>
            <w:vAlign w:val="center"/>
          </w:tcPr>
          <w:p w14:paraId="5AE67108">
            <w:pPr>
              <w:adjustRightInd w:val="0"/>
              <w:snapToGrid w:val="0"/>
              <w:spacing w:line="280" w:lineRule="exact"/>
              <w:jc w:val="center"/>
              <w:rPr>
                <w:rFonts w:ascii="Times New Roman" w:eastAsia="宋体"/>
                <w:sz w:val="21"/>
                <w:szCs w:val="21"/>
              </w:rPr>
            </w:pPr>
            <w:r>
              <w:rPr>
                <w:rFonts w:ascii="Times New Roman" w:hAnsi="宋体" w:eastAsia="宋体"/>
                <w:sz w:val="21"/>
                <w:szCs w:val="21"/>
              </w:rPr>
              <w:t>评价范围</w:t>
            </w:r>
          </w:p>
        </w:tc>
        <w:tc>
          <w:tcPr>
            <w:tcW w:w="1657" w:type="pct"/>
            <w:gridSpan w:val="5"/>
            <w:vAlign w:val="center"/>
          </w:tcPr>
          <w:p w14:paraId="345FB7FA">
            <w:pPr>
              <w:adjustRightInd w:val="0"/>
              <w:snapToGrid w:val="0"/>
              <w:spacing w:line="280" w:lineRule="exact"/>
              <w:jc w:val="center"/>
              <w:rPr>
                <w:rFonts w:ascii="Times New Roman" w:eastAsia="宋体"/>
                <w:sz w:val="21"/>
                <w:szCs w:val="21"/>
              </w:rPr>
            </w:pPr>
            <w:r>
              <w:rPr>
                <w:rFonts w:ascii="Times New Roman" w:hAnsi="宋体" w:eastAsia="宋体"/>
                <w:sz w:val="21"/>
                <w:szCs w:val="21"/>
              </w:rPr>
              <w:t>边长</w:t>
            </w:r>
            <w:r>
              <w:rPr>
                <w:rFonts w:ascii="Times New Roman" w:eastAsia="宋体"/>
                <w:sz w:val="21"/>
                <w:szCs w:val="21"/>
              </w:rPr>
              <w:t>=50km</w:t>
            </w:r>
          </w:p>
        </w:tc>
        <w:tc>
          <w:tcPr>
            <w:tcW w:w="1780" w:type="pct"/>
            <w:gridSpan w:val="10"/>
            <w:vAlign w:val="center"/>
          </w:tcPr>
          <w:p w14:paraId="55DDC379">
            <w:pPr>
              <w:adjustRightInd w:val="0"/>
              <w:snapToGrid w:val="0"/>
              <w:spacing w:line="280" w:lineRule="exact"/>
              <w:jc w:val="center"/>
              <w:rPr>
                <w:rFonts w:ascii="Times New Roman" w:eastAsia="宋体"/>
                <w:sz w:val="21"/>
                <w:szCs w:val="21"/>
              </w:rPr>
            </w:pPr>
            <w:r>
              <w:rPr>
                <w:rFonts w:ascii="Times New Roman" w:hAnsi="宋体" w:eastAsia="宋体"/>
                <w:sz w:val="21"/>
                <w:szCs w:val="21"/>
              </w:rPr>
              <w:t>边长</w:t>
            </w:r>
            <w:r>
              <w:rPr>
                <w:rFonts w:ascii="Times New Roman" w:eastAsia="宋体"/>
                <w:sz w:val="21"/>
                <w:szCs w:val="21"/>
              </w:rPr>
              <w:t>5~50km</w:t>
            </w:r>
            <w:r>
              <w:rPr>
                <w:rFonts w:ascii="Times New Roman" w:hAnsi="宋体" w:eastAsia="宋体"/>
                <w:sz w:val="21"/>
                <w:szCs w:val="21"/>
              </w:rPr>
              <w:t>☑</w:t>
            </w:r>
          </w:p>
        </w:tc>
        <w:tc>
          <w:tcPr>
            <w:tcW w:w="576" w:type="pct"/>
            <w:gridSpan w:val="4"/>
            <w:vAlign w:val="center"/>
          </w:tcPr>
          <w:p w14:paraId="00473CED">
            <w:pPr>
              <w:adjustRightInd w:val="0"/>
              <w:snapToGrid w:val="0"/>
              <w:spacing w:line="280" w:lineRule="exact"/>
              <w:jc w:val="center"/>
              <w:rPr>
                <w:rFonts w:ascii="Times New Roman" w:eastAsia="宋体"/>
                <w:sz w:val="21"/>
                <w:szCs w:val="21"/>
              </w:rPr>
            </w:pPr>
            <w:r>
              <w:rPr>
                <w:rFonts w:ascii="Times New Roman" w:eastAsia="宋体"/>
                <w:sz w:val="21"/>
                <w:szCs w:val="21"/>
              </w:rPr>
              <w:t>/</w:t>
            </w:r>
          </w:p>
        </w:tc>
      </w:tr>
      <w:tr w14:paraId="1502B6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Align w:val="center"/>
          </w:tcPr>
          <w:p w14:paraId="6C1A06D8">
            <w:pPr>
              <w:adjustRightInd w:val="0"/>
              <w:snapToGrid w:val="0"/>
              <w:spacing w:line="280" w:lineRule="exact"/>
              <w:jc w:val="center"/>
              <w:rPr>
                <w:rFonts w:ascii="Times New Roman" w:eastAsia="宋体"/>
                <w:sz w:val="21"/>
                <w:szCs w:val="21"/>
              </w:rPr>
            </w:pPr>
            <w:r>
              <w:rPr>
                <w:rFonts w:ascii="Times New Roman" w:hAnsi="宋体" w:eastAsia="宋体"/>
                <w:sz w:val="21"/>
                <w:szCs w:val="21"/>
              </w:rPr>
              <w:t>评价因子</w:t>
            </w:r>
          </w:p>
        </w:tc>
        <w:tc>
          <w:tcPr>
            <w:tcW w:w="617" w:type="pct"/>
            <w:vAlign w:val="center"/>
          </w:tcPr>
          <w:p w14:paraId="7CB5A0A9">
            <w:pPr>
              <w:adjustRightInd w:val="0"/>
              <w:snapToGrid w:val="0"/>
              <w:spacing w:line="280" w:lineRule="exact"/>
              <w:jc w:val="center"/>
              <w:rPr>
                <w:rFonts w:ascii="Times New Roman" w:eastAsia="宋体"/>
                <w:sz w:val="21"/>
                <w:szCs w:val="21"/>
              </w:rPr>
            </w:pPr>
            <w:r>
              <w:rPr>
                <w:rFonts w:ascii="Times New Roman" w:eastAsia="宋体"/>
                <w:sz w:val="21"/>
                <w:szCs w:val="21"/>
              </w:rPr>
              <w:t>SO</w:t>
            </w:r>
            <w:r>
              <w:rPr>
                <w:rFonts w:ascii="Times New Roman" w:eastAsia="宋体"/>
                <w:sz w:val="21"/>
                <w:szCs w:val="21"/>
                <w:vertAlign w:val="subscript"/>
              </w:rPr>
              <w:t>2</w:t>
            </w:r>
            <w:r>
              <w:rPr>
                <w:rFonts w:ascii="Times New Roman" w:eastAsia="宋体"/>
                <w:sz w:val="21"/>
                <w:szCs w:val="21"/>
              </w:rPr>
              <w:t>+NO</w:t>
            </w:r>
            <w:r>
              <w:rPr>
                <w:rFonts w:ascii="Times New Roman" w:eastAsia="宋体"/>
                <w:sz w:val="21"/>
                <w:szCs w:val="21"/>
                <w:vertAlign w:val="subscript"/>
              </w:rPr>
              <w:t>X</w:t>
            </w:r>
            <w:r>
              <w:rPr>
                <w:rFonts w:ascii="Times New Roman" w:hAnsi="宋体" w:eastAsia="宋体"/>
                <w:sz w:val="21"/>
                <w:szCs w:val="21"/>
              </w:rPr>
              <w:t>排放量</w:t>
            </w:r>
          </w:p>
        </w:tc>
        <w:tc>
          <w:tcPr>
            <w:tcW w:w="1214" w:type="pct"/>
            <w:gridSpan w:val="3"/>
            <w:vAlign w:val="center"/>
          </w:tcPr>
          <w:p w14:paraId="08140D21">
            <w:pPr>
              <w:adjustRightInd w:val="0"/>
              <w:snapToGrid w:val="0"/>
              <w:spacing w:line="280" w:lineRule="exact"/>
              <w:jc w:val="center"/>
              <w:rPr>
                <w:rFonts w:ascii="Times New Roman" w:eastAsia="宋体"/>
                <w:sz w:val="21"/>
                <w:szCs w:val="21"/>
              </w:rPr>
            </w:pPr>
            <w:r>
              <w:rPr>
                <w:rFonts w:ascii="Times New Roman" w:eastAsia="宋体"/>
                <w:sz w:val="21"/>
                <w:szCs w:val="21"/>
              </w:rPr>
              <w:t>≥20000t/a□</w:t>
            </w:r>
          </w:p>
        </w:tc>
        <w:tc>
          <w:tcPr>
            <w:tcW w:w="1222" w:type="pct"/>
            <w:gridSpan w:val="6"/>
            <w:vAlign w:val="center"/>
          </w:tcPr>
          <w:p w14:paraId="68EF1C44">
            <w:pPr>
              <w:adjustRightInd w:val="0"/>
              <w:snapToGrid w:val="0"/>
              <w:spacing w:line="280" w:lineRule="exact"/>
              <w:jc w:val="center"/>
              <w:rPr>
                <w:rFonts w:ascii="Times New Roman" w:eastAsia="宋体"/>
                <w:sz w:val="21"/>
                <w:szCs w:val="21"/>
              </w:rPr>
            </w:pPr>
            <w:r>
              <w:rPr>
                <w:rFonts w:ascii="Times New Roman" w:eastAsia="宋体"/>
                <w:sz w:val="21"/>
                <w:szCs w:val="21"/>
              </w:rPr>
              <w:t>500~2000t/a□</w:t>
            </w:r>
          </w:p>
        </w:tc>
        <w:tc>
          <w:tcPr>
            <w:tcW w:w="1578" w:type="pct"/>
            <w:gridSpan w:val="10"/>
            <w:vAlign w:val="center"/>
          </w:tcPr>
          <w:p w14:paraId="429B2D9E">
            <w:pPr>
              <w:adjustRightInd w:val="0"/>
              <w:snapToGrid w:val="0"/>
              <w:spacing w:line="280" w:lineRule="exact"/>
              <w:jc w:val="center"/>
              <w:rPr>
                <w:rFonts w:ascii="Times New Roman" w:eastAsia="宋体"/>
                <w:sz w:val="21"/>
                <w:szCs w:val="21"/>
              </w:rPr>
            </w:pPr>
            <w:r>
              <w:rPr>
                <w:rFonts w:ascii="Times New Roman" w:hAnsi="宋体" w:eastAsia="宋体"/>
                <w:sz w:val="21"/>
                <w:szCs w:val="21"/>
              </w:rPr>
              <w:t>小于</w:t>
            </w:r>
            <w:r>
              <w:rPr>
                <w:rFonts w:ascii="Times New Roman" w:eastAsia="宋体"/>
                <w:sz w:val="21"/>
                <w:szCs w:val="21"/>
              </w:rPr>
              <w:t>500t/a</w:t>
            </w:r>
            <w:r>
              <w:rPr>
                <w:rFonts w:ascii="Times New Roman" w:hAnsi="宋体" w:eastAsia="宋体"/>
                <w:sz w:val="21"/>
                <w:szCs w:val="21"/>
              </w:rPr>
              <w:t>☑</w:t>
            </w:r>
          </w:p>
        </w:tc>
      </w:tr>
      <w:tr w14:paraId="3D8FCB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Align w:val="center"/>
          </w:tcPr>
          <w:p w14:paraId="6ACCFF55">
            <w:pPr>
              <w:adjustRightInd w:val="0"/>
              <w:snapToGrid w:val="0"/>
              <w:spacing w:line="280" w:lineRule="exact"/>
              <w:jc w:val="center"/>
              <w:rPr>
                <w:rFonts w:ascii="Times New Roman" w:eastAsia="宋体"/>
                <w:sz w:val="21"/>
                <w:szCs w:val="21"/>
              </w:rPr>
            </w:pPr>
            <w:r>
              <w:rPr>
                <w:rFonts w:ascii="Times New Roman" w:hAnsi="宋体" w:eastAsia="宋体"/>
                <w:sz w:val="21"/>
                <w:szCs w:val="21"/>
              </w:rPr>
              <w:t>评价标准</w:t>
            </w:r>
          </w:p>
        </w:tc>
        <w:tc>
          <w:tcPr>
            <w:tcW w:w="617" w:type="pct"/>
            <w:vAlign w:val="center"/>
          </w:tcPr>
          <w:p w14:paraId="77376BCA">
            <w:pPr>
              <w:adjustRightInd w:val="0"/>
              <w:snapToGrid w:val="0"/>
              <w:spacing w:line="280" w:lineRule="exact"/>
              <w:jc w:val="center"/>
              <w:rPr>
                <w:rFonts w:ascii="Times New Roman" w:eastAsia="宋体"/>
                <w:sz w:val="21"/>
                <w:szCs w:val="21"/>
              </w:rPr>
            </w:pPr>
            <w:r>
              <w:rPr>
                <w:rFonts w:ascii="Times New Roman" w:hAnsi="宋体" w:eastAsia="宋体"/>
                <w:sz w:val="21"/>
                <w:szCs w:val="21"/>
              </w:rPr>
              <w:t>评价标准</w:t>
            </w:r>
          </w:p>
        </w:tc>
        <w:tc>
          <w:tcPr>
            <w:tcW w:w="1214" w:type="pct"/>
            <w:gridSpan w:val="3"/>
            <w:vAlign w:val="center"/>
          </w:tcPr>
          <w:p w14:paraId="5C0E9DBF">
            <w:pPr>
              <w:adjustRightInd w:val="0"/>
              <w:snapToGrid w:val="0"/>
              <w:spacing w:line="280" w:lineRule="exact"/>
              <w:jc w:val="center"/>
              <w:rPr>
                <w:rFonts w:ascii="Times New Roman" w:eastAsia="宋体"/>
                <w:sz w:val="21"/>
                <w:szCs w:val="21"/>
              </w:rPr>
            </w:pPr>
            <w:r>
              <w:rPr>
                <w:rFonts w:ascii="Times New Roman" w:hAnsi="宋体" w:eastAsia="宋体"/>
                <w:sz w:val="21"/>
                <w:szCs w:val="21"/>
              </w:rPr>
              <w:t>国家标准☑</w:t>
            </w:r>
          </w:p>
        </w:tc>
        <w:tc>
          <w:tcPr>
            <w:tcW w:w="1222" w:type="pct"/>
            <w:gridSpan w:val="6"/>
            <w:vAlign w:val="center"/>
          </w:tcPr>
          <w:p w14:paraId="48380823">
            <w:pPr>
              <w:adjustRightInd w:val="0"/>
              <w:snapToGrid w:val="0"/>
              <w:spacing w:line="280" w:lineRule="exact"/>
              <w:jc w:val="center"/>
              <w:rPr>
                <w:rFonts w:ascii="Times New Roman" w:eastAsia="宋体"/>
                <w:sz w:val="21"/>
                <w:szCs w:val="21"/>
              </w:rPr>
            </w:pPr>
            <w:r>
              <w:rPr>
                <w:rFonts w:ascii="Times New Roman" w:hAnsi="宋体" w:eastAsia="宋体"/>
                <w:sz w:val="21"/>
                <w:szCs w:val="21"/>
              </w:rPr>
              <w:t>地方标准</w:t>
            </w:r>
            <w:r>
              <w:rPr>
                <w:rFonts w:hint="eastAsia" w:ascii="Times New Roman" w:eastAsia="宋体"/>
                <w:sz w:val="21"/>
                <w:szCs w:val="21"/>
              </w:rPr>
              <w:t>☑</w:t>
            </w:r>
          </w:p>
        </w:tc>
        <w:tc>
          <w:tcPr>
            <w:tcW w:w="816" w:type="pct"/>
            <w:gridSpan w:val="4"/>
            <w:vAlign w:val="center"/>
          </w:tcPr>
          <w:p w14:paraId="32621FED">
            <w:pPr>
              <w:adjustRightInd w:val="0"/>
              <w:snapToGrid w:val="0"/>
              <w:spacing w:line="280" w:lineRule="exact"/>
              <w:jc w:val="center"/>
              <w:rPr>
                <w:rFonts w:ascii="Times New Roman" w:eastAsia="宋体"/>
                <w:sz w:val="21"/>
                <w:szCs w:val="21"/>
              </w:rPr>
            </w:pPr>
            <w:r>
              <w:rPr>
                <w:rFonts w:ascii="Times New Roman" w:hAnsi="宋体" w:eastAsia="宋体"/>
                <w:sz w:val="21"/>
                <w:szCs w:val="21"/>
              </w:rPr>
              <w:t>附录</w:t>
            </w:r>
            <w:r>
              <w:rPr>
                <w:rFonts w:ascii="Times New Roman" w:eastAsia="宋体"/>
                <w:sz w:val="21"/>
                <w:szCs w:val="21"/>
              </w:rPr>
              <w:t>D</w:t>
            </w:r>
            <w:r>
              <w:rPr>
                <w:rFonts w:ascii="Times New Roman" w:hAnsi="宋体" w:eastAsia="宋体"/>
                <w:sz w:val="21"/>
                <w:szCs w:val="21"/>
              </w:rPr>
              <w:t>☑</w:t>
            </w:r>
          </w:p>
        </w:tc>
        <w:tc>
          <w:tcPr>
            <w:tcW w:w="761" w:type="pct"/>
            <w:gridSpan w:val="6"/>
            <w:vAlign w:val="center"/>
          </w:tcPr>
          <w:p w14:paraId="31D284EC">
            <w:pPr>
              <w:adjustRightInd w:val="0"/>
              <w:snapToGrid w:val="0"/>
              <w:spacing w:line="280" w:lineRule="exact"/>
              <w:jc w:val="center"/>
              <w:rPr>
                <w:rFonts w:ascii="Times New Roman" w:eastAsia="宋体"/>
                <w:sz w:val="21"/>
                <w:szCs w:val="21"/>
              </w:rPr>
            </w:pPr>
            <w:r>
              <w:rPr>
                <w:rFonts w:ascii="Times New Roman" w:hAnsi="宋体" w:eastAsia="宋体"/>
                <w:sz w:val="21"/>
                <w:szCs w:val="21"/>
              </w:rPr>
              <w:t>其他标准</w:t>
            </w:r>
            <w:r>
              <w:rPr>
                <w:rFonts w:ascii="Times New Roman" w:eastAsia="宋体"/>
                <w:sz w:val="21"/>
                <w:szCs w:val="21"/>
              </w:rPr>
              <w:t>□</w:t>
            </w:r>
          </w:p>
        </w:tc>
      </w:tr>
      <w:tr w14:paraId="55E2FF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Merge w:val="restart"/>
            <w:vAlign w:val="center"/>
          </w:tcPr>
          <w:p w14:paraId="0EB1A71A">
            <w:pPr>
              <w:adjustRightInd w:val="0"/>
              <w:snapToGrid w:val="0"/>
              <w:spacing w:line="280" w:lineRule="exact"/>
              <w:jc w:val="center"/>
              <w:rPr>
                <w:rFonts w:ascii="Times New Roman" w:eastAsia="宋体"/>
                <w:sz w:val="21"/>
                <w:szCs w:val="21"/>
              </w:rPr>
            </w:pPr>
            <w:r>
              <w:rPr>
                <w:rFonts w:ascii="Times New Roman" w:hAnsi="宋体" w:eastAsia="宋体"/>
                <w:sz w:val="21"/>
                <w:szCs w:val="21"/>
              </w:rPr>
              <w:t>现状评价</w:t>
            </w:r>
          </w:p>
        </w:tc>
        <w:tc>
          <w:tcPr>
            <w:tcW w:w="617" w:type="pct"/>
            <w:vAlign w:val="center"/>
          </w:tcPr>
          <w:p w14:paraId="7C721553">
            <w:pPr>
              <w:adjustRightInd w:val="0"/>
              <w:snapToGrid w:val="0"/>
              <w:spacing w:line="280" w:lineRule="exact"/>
              <w:jc w:val="center"/>
              <w:rPr>
                <w:rFonts w:ascii="Times New Roman" w:eastAsia="宋体"/>
                <w:sz w:val="21"/>
                <w:szCs w:val="21"/>
              </w:rPr>
            </w:pPr>
            <w:r>
              <w:rPr>
                <w:rFonts w:ascii="Times New Roman" w:hAnsi="宋体" w:eastAsia="宋体"/>
                <w:sz w:val="21"/>
                <w:szCs w:val="21"/>
              </w:rPr>
              <w:t>环境功能区</w:t>
            </w:r>
          </w:p>
        </w:tc>
        <w:tc>
          <w:tcPr>
            <w:tcW w:w="1214" w:type="pct"/>
            <w:gridSpan w:val="3"/>
            <w:vAlign w:val="center"/>
          </w:tcPr>
          <w:p w14:paraId="4328C3D5">
            <w:pPr>
              <w:adjustRightInd w:val="0"/>
              <w:snapToGrid w:val="0"/>
              <w:spacing w:line="280" w:lineRule="exact"/>
              <w:jc w:val="center"/>
              <w:rPr>
                <w:rFonts w:ascii="Times New Roman" w:eastAsia="宋体"/>
                <w:sz w:val="21"/>
                <w:szCs w:val="21"/>
              </w:rPr>
            </w:pPr>
            <w:r>
              <w:rPr>
                <w:rFonts w:ascii="Times New Roman" w:hAnsi="宋体" w:eastAsia="宋体"/>
                <w:sz w:val="21"/>
                <w:szCs w:val="21"/>
              </w:rPr>
              <w:t>一类区</w:t>
            </w:r>
            <w:r>
              <w:rPr>
                <w:rFonts w:ascii="Times New Roman" w:eastAsia="宋体"/>
                <w:sz w:val="21"/>
                <w:szCs w:val="21"/>
              </w:rPr>
              <w:t>□</w:t>
            </w:r>
          </w:p>
        </w:tc>
        <w:tc>
          <w:tcPr>
            <w:tcW w:w="1222" w:type="pct"/>
            <w:gridSpan w:val="6"/>
            <w:vAlign w:val="center"/>
          </w:tcPr>
          <w:p w14:paraId="5CF0436F">
            <w:pPr>
              <w:adjustRightInd w:val="0"/>
              <w:snapToGrid w:val="0"/>
              <w:spacing w:line="280" w:lineRule="exact"/>
              <w:jc w:val="center"/>
              <w:rPr>
                <w:rFonts w:ascii="Times New Roman" w:eastAsia="宋体"/>
                <w:sz w:val="21"/>
                <w:szCs w:val="21"/>
              </w:rPr>
            </w:pPr>
            <w:r>
              <w:rPr>
                <w:rFonts w:ascii="Times New Roman" w:hAnsi="宋体" w:eastAsia="宋体"/>
                <w:sz w:val="21"/>
                <w:szCs w:val="21"/>
              </w:rPr>
              <w:t>二类区☑</w:t>
            </w:r>
          </w:p>
        </w:tc>
        <w:tc>
          <w:tcPr>
            <w:tcW w:w="1578" w:type="pct"/>
            <w:gridSpan w:val="10"/>
            <w:vAlign w:val="center"/>
          </w:tcPr>
          <w:p w14:paraId="1C5456BF">
            <w:pPr>
              <w:adjustRightInd w:val="0"/>
              <w:snapToGrid w:val="0"/>
              <w:spacing w:line="280" w:lineRule="exact"/>
              <w:jc w:val="center"/>
              <w:rPr>
                <w:rFonts w:ascii="Times New Roman" w:eastAsia="宋体"/>
                <w:sz w:val="21"/>
                <w:szCs w:val="21"/>
              </w:rPr>
            </w:pPr>
            <w:r>
              <w:rPr>
                <w:rFonts w:ascii="Times New Roman" w:hAnsi="宋体" w:eastAsia="宋体"/>
                <w:sz w:val="21"/>
                <w:szCs w:val="21"/>
              </w:rPr>
              <w:t>一类区和二类区</w:t>
            </w:r>
            <w:r>
              <w:rPr>
                <w:rFonts w:ascii="Times New Roman" w:eastAsia="宋体"/>
                <w:sz w:val="21"/>
                <w:szCs w:val="21"/>
              </w:rPr>
              <w:t>□</w:t>
            </w:r>
          </w:p>
        </w:tc>
      </w:tr>
      <w:tr w14:paraId="66FF23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Merge w:val="continue"/>
            <w:vAlign w:val="center"/>
          </w:tcPr>
          <w:p w14:paraId="68713407">
            <w:pPr>
              <w:adjustRightInd w:val="0"/>
              <w:snapToGrid w:val="0"/>
              <w:spacing w:line="280" w:lineRule="exact"/>
              <w:jc w:val="center"/>
              <w:rPr>
                <w:rFonts w:ascii="Times New Roman" w:eastAsia="宋体"/>
                <w:sz w:val="21"/>
                <w:szCs w:val="21"/>
              </w:rPr>
            </w:pPr>
          </w:p>
        </w:tc>
        <w:tc>
          <w:tcPr>
            <w:tcW w:w="617" w:type="pct"/>
            <w:vAlign w:val="center"/>
          </w:tcPr>
          <w:p w14:paraId="538CE519">
            <w:pPr>
              <w:adjustRightInd w:val="0"/>
              <w:snapToGrid w:val="0"/>
              <w:spacing w:line="280" w:lineRule="exact"/>
              <w:jc w:val="center"/>
              <w:rPr>
                <w:rFonts w:ascii="Times New Roman" w:eastAsia="宋体"/>
                <w:sz w:val="21"/>
                <w:szCs w:val="21"/>
              </w:rPr>
            </w:pPr>
            <w:r>
              <w:rPr>
                <w:rFonts w:ascii="Times New Roman" w:hAnsi="宋体" w:eastAsia="宋体"/>
                <w:sz w:val="21"/>
                <w:szCs w:val="21"/>
              </w:rPr>
              <w:t>评价基准年</w:t>
            </w:r>
          </w:p>
        </w:tc>
        <w:tc>
          <w:tcPr>
            <w:tcW w:w="4015" w:type="pct"/>
            <w:gridSpan w:val="19"/>
            <w:vAlign w:val="center"/>
          </w:tcPr>
          <w:p w14:paraId="6016AD4E">
            <w:pPr>
              <w:adjustRightInd w:val="0"/>
              <w:snapToGrid w:val="0"/>
              <w:spacing w:line="280" w:lineRule="exact"/>
              <w:jc w:val="center"/>
              <w:rPr>
                <w:rFonts w:ascii="Times New Roman" w:eastAsia="宋体"/>
                <w:sz w:val="21"/>
                <w:szCs w:val="21"/>
              </w:rPr>
            </w:pPr>
            <w:r>
              <w:rPr>
                <w:rFonts w:ascii="Times New Roman" w:hAnsi="宋体" w:eastAsia="宋体"/>
                <w:sz w:val="21"/>
                <w:szCs w:val="21"/>
              </w:rPr>
              <w:t>（</w:t>
            </w:r>
            <w:r>
              <w:rPr>
                <w:rFonts w:ascii="Times New Roman" w:eastAsia="宋体"/>
                <w:sz w:val="21"/>
                <w:szCs w:val="21"/>
              </w:rPr>
              <w:t>20</w:t>
            </w:r>
            <w:r>
              <w:rPr>
                <w:rFonts w:hint="eastAsia" w:ascii="Times New Roman" w:eastAsia="宋体"/>
                <w:sz w:val="21"/>
                <w:szCs w:val="21"/>
              </w:rPr>
              <w:t>23</w:t>
            </w:r>
            <w:r>
              <w:rPr>
                <w:rFonts w:ascii="Times New Roman" w:hAnsi="宋体" w:eastAsia="宋体"/>
                <w:sz w:val="21"/>
                <w:szCs w:val="21"/>
              </w:rPr>
              <w:t>）年</w:t>
            </w:r>
          </w:p>
        </w:tc>
      </w:tr>
      <w:tr w14:paraId="7DDFDB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Merge w:val="continue"/>
            <w:vAlign w:val="center"/>
          </w:tcPr>
          <w:p w14:paraId="48FBF18D">
            <w:pPr>
              <w:adjustRightInd w:val="0"/>
              <w:snapToGrid w:val="0"/>
              <w:spacing w:line="280" w:lineRule="exact"/>
              <w:jc w:val="center"/>
              <w:rPr>
                <w:rFonts w:ascii="Times New Roman" w:eastAsia="宋体"/>
                <w:sz w:val="21"/>
                <w:szCs w:val="21"/>
              </w:rPr>
            </w:pPr>
          </w:p>
        </w:tc>
        <w:tc>
          <w:tcPr>
            <w:tcW w:w="617" w:type="pct"/>
            <w:vAlign w:val="center"/>
          </w:tcPr>
          <w:p w14:paraId="735E4057">
            <w:pPr>
              <w:adjustRightInd w:val="0"/>
              <w:snapToGrid w:val="0"/>
              <w:spacing w:line="280" w:lineRule="exact"/>
              <w:jc w:val="center"/>
              <w:rPr>
                <w:rFonts w:ascii="Times New Roman" w:eastAsia="宋体"/>
                <w:sz w:val="21"/>
                <w:szCs w:val="21"/>
              </w:rPr>
            </w:pPr>
            <w:r>
              <w:rPr>
                <w:rFonts w:ascii="Times New Roman" w:hAnsi="宋体" w:eastAsia="宋体"/>
                <w:sz w:val="21"/>
                <w:szCs w:val="21"/>
              </w:rPr>
              <w:t>环境空气质量现状调查数据来源</w:t>
            </w:r>
          </w:p>
        </w:tc>
        <w:tc>
          <w:tcPr>
            <w:tcW w:w="2237" w:type="pct"/>
            <w:gridSpan w:val="8"/>
            <w:vAlign w:val="center"/>
          </w:tcPr>
          <w:p w14:paraId="05FC199D">
            <w:pPr>
              <w:adjustRightInd w:val="0"/>
              <w:snapToGrid w:val="0"/>
              <w:spacing w:line="280" w:lineRule="exact"/>
              <w:jc w:val="center"/>
              <w:rPr>
                <w:rFonts w:ascii="Times New Roman" w:eastAsia="宋体"/>
                <w:sz w:val="21"/>
                <w:szCs w:val="21"/>
              </w:rPr>
            </w:pPr>
            <w:r>
              <w:rPr>
                <w:rFonts w:ascii="Times New Roman" w:hAnsi="宋体" w:eastAsia="宋体"/>
                <w:sz w:val="21"/>
                <w:szCs w:val="21"/>
              </w:rPr>
              <w:t>长期例行监测数据</w:t>
            </w:r>
            <w:r>
              <w:rPr>
                <w:rFonts w:ascii="Times New Roman" w:eastAsia="宋体"/>
                <w:sz w:val="21"/>
                <w:szCs w:val="21"/>
              </w:rPr>
              <w:t>□</w:t>
            </w:r>
          </w:p>
        </w:tc>
        <w:tc>
          <w:tcPr>
            <w:tcW w:w="1200" w:type="pct"/>
            <w:gridSpan w:val="7"/>
            <w:vAlign w:val="center"/>
          </w:tcPr>
          <w:p w14:paraId="170C70F3">
            <w:pPr>
              <w:adjustRightInd w:val="0"/>
              <w:snapToGrid w:val="0"/>
              <w:spacing w:line="280" w:lineRule="exact"/>
              <w:jc w:val="center"/>
              <w:rPr>
                <w:rFonts w:ascii="Times New Roman" w:eastAsia="宋体"/>
                <w:sz w:val="21"/>
                <w:szCs w:val="21"/>
              </w:rPr>
            </w:pPr>
            <w:r>
              <w:rPr>
                <w:rFonts w:ascii="Times New Roman" w:hAnsi="宋体" w:eastAsia="宋体"/>
                <w:sz w:val="21"/>
                <w:szCs w:val="21"/>
              </w:rPr>
              <w:t>主管部门发布的数据☑</w:t>
            </w:r>
          </w:p>
        </w:tc>
        <w:tc>
          <w:tcPr>
            <w:tcW w:w="576" w:type="pct"/>
            <w:gridSpan w:val="4"/>
            <w:vAlign w:val="center"/>
          </w:tcPr>
          <w:p w14:paraId="279C9E8A">
            <w:pPr>
              <w:adjustRightInd w:val="0"/>
              <w:snapToGrid w:val="0"/>
              <w:spacing w:line="280" w:lineRule="exact"/>
              <w:jc w:val="center"/>
              <w:rPr>
                <w:rFonts w:ascii="Times New Roman" w:eastAsia="宋体"/>
                <w:sz w:val="21"/>
                <w:szCs w:val="21"/>
              </w:rPr>
            </w:pPr>
            <w:r>
              <w:rPr>
                <w:rFonts w:ascii="Times New Roman" w:hAnsi="宋体" w:eastAsia="宋体"/>
                <w:sz w:val="21"/>
                <w:szCs w:val="21"/>
              </w:rPr>
              <w:t>现状补充监测☑</w:t>
            </w:r>
          </w:p>
        </w:tc>
      </w:tr>
      <w:tr w14:paraId="2C8B31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Merge w:val="continue"/>
            <w:vAlign w:val="center"/>
          </w:tcPr>
          <w:p w14:paraId="2F3A7B5B">
            <w:pPr>
              <w:adjustRightInd w:val="0"/>
              <w:snapToGrid w:val="0"/>
              <w:spacing w:line="280" w:lineRule="exact"/>
              <w:jc w:val="center"/>
              <w:rPr>
                <w:rFonts w:ascii="Times New Roman" w:eastAsia="宋体"/>
                <w:sz w:val="21"/>
                <w:szCs w:val="21"/>
              </w:rPr>
            </w:pPr>
          </w:p>
        </w:tc>
        <w:tc>
          <w:tcPr>
            <w:tcW w:w="617" w:type="pct"/>
            <w:vAlign w:val="center"/>
          </w:tcPr>
          <w:p w14:paraId="78714F9E">
            <w:pPr>
              <w:adjustRightInd w:val="0"/>
              <w:snapToGrid w:val="0"/>
              <w:spacing w:line="280" w:lineRule="exact"/>
              <w:jc w:val="center"/>
              <w:rPr>
                <w:rFonts w:ascii="Times New Roman" w:eastAsia="宋体"/>
                <w:sz w:val="21"/>
                <w:szCs w:val="21"/>
              </w:rPr>
            </w:pPr>
            <w:r>
              <w:rPr>
                <w:rFonts w:ascii="Times New Roman" w:hAnsi="宋体" w:eastAsia="宋体"/>
                <w:sz w:val="21"/>
                <w:szCs w:val="21"/>
              </w:rPr>
              <w:t>现状评价</w:t>
            </w:r>
          </w:p>
        </w:tc>
        <w:tc>
          <w:tcPr>
            <w:tcW w:w="2237" w:type="pct"/>
            <w:gridSpan w:val="8"/>
            <w:vAlign w:val="center"/>
          </w:tcPr>
          <w:p w14:paraId="7783BF01">
            <w:pPr>
              <w:adjustRightInd w:val="0"/>
              <w:snapToGrid w:val="0"/>
              <w:spacing w:line="280" w:lineRule="exact"/>
              <w:jc w:val="center"/>
              <w:rPr>
                <w:rFonts w:ascii="Times New Roman" w:eastAsia="宋体"/>
                <w:sz w:val="21"/>
                <w:szCs w:val="21"/>
              </w:rPr>
            </w:pPr>
            <w:r>
              <w:rPr>
                <w:rFonts w:ascii="Times New Roman" w:hAnsi="宋体" w:eastAsia="宋体"/>
                <w:sz w:val="21"/>
                <w:szCs w:val="21"/>
              </w:rPr>
              <w:t>达标区</w:t>
            </w:r>
            <w:r>
              <w:rPr>
                <w:rFonts w:ascii="Times New Roman" w:eastAsia="宋体"/>
                <w:sz w:val="21"/>
                <w:szCs w:val="21"/>
              </w:rPr>
              <w:t>□</w:t>
            </w:r>
          </w:p>
        </w:tc>
        <w:tc>
          <w:tcPr>
            <w:tcW w:w="1777" w:type="pct"/>
            <w:gridSpan w:val="11"/>
            <w:vAlign w:val="center"/>
          </w:tcPr>
          <w:p w14:paraId="2BA0EF8F">
            <w:pPr>
              <w:adjustRightInd w:val="0"/>
              <w:snapToGrid w:val="0"/>
              <w:spacing w:line="280" w:lineRule="exact"/>
              <w:jc w:val="center"/>
              <w:rPr>
                <w:rFonts w:ascii="Times New Roman" w:eastAsia="宋体"/>
                <w:sz w:val="21"/>
                <w:szCs w:val="21"/>
              </w:rPr>
            </w:pPr>
            <w:r>
              <w:rPr>
                <w:rFonts w:ascii="Times New Roman" w:hAnsi="宋体" w:eastAsia="宋体"/>
                <w:sz w:val="21"/>
                <w:szCs w:val="21"/>
              </w:rPr>
              <w:t>不达标区☑</w:t>
            </w:r>
          </w:p>
        </w:tc>
      </w:tr>
      <w:tr w14:paraId="490E7D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Align w:val="center"/>
          </w:tcPr>
          <w:p w14:paraId="4817BC7D">
            <w:pPr>
              <w:adjustRightInd w:val="0"/>
              <w:snapToGrid w:val="0"/>
              <w:spacing w:line="280" w:lineRule="exact"/>
              <w:jc w:val="center"/>
              <w:rPr>
                <w:rFonts w:ascii="Times New Roman" w:eastAsia="宋体"/>
                <w:sz w:val="21"/>
                <w:szCs w:val="21"/>
              </w:rPr>
            </w:pPr>
            <w:r>
              <w:rPr>
                <w:rFonts w:ascii="Times New Roman" w:hAnsi="宋体" w:eastAsia="宋体"/>
                <w:sz w:val="21"/>
                <w:szCs w:val="21"/>
              </w:rPr>
              <w:t>污染源调查</w:t>
            </w:r>
          </w:p>
        </w:tc>
        <w:tc>
          <w:tcPr>
            <w:tcW w:w="617" w:type="pct"/>
            <w:vAlign w:val="center"/>
          </w:tcPr>
          <w:p w14:paraId="05148750">
            <w:pPr>
              <w:adjustRightInd w:val="0"/>
              <w:snapToGrid w:val="0"/>
              <w:spacing w:line="280" w:lineRule="exact"/>
              <w:jc w:val="center"/>
              <w:rPr>
                <w:rFonts w:ascii="Times New Roman" w:eastAsia="宋体"/>
                <w:sz w:val="21"/>
                <w:szCs w:val="21"/>
              </w:rPr>
            </w:pPr>
            <w:r>
              <w:rPr>
                <w:rFonts w:ascii="Times New Roman" w:hAnsi="宋体" w:eastAsia="宋体"/>
                <w:sz w:val="21"/>
                <w:szCs w:val="21"/>
              </w:rPr>
              <w:t>调查内容</w:t>
            </w:r>
          </w:p>
        </w:tc>
        <w:tc>
          <w:tcPr>
            <w:tcW w:w="1499" w:type="pct"/>
            <w:gridSpan w:val="4"/>
            <w:vAlign w:val="center"/>
          </w:tcPr>
          <w:p w14:paraId="5BB0C13A">
            <w:pPr>
              <w:adjustRightInd w:val="0"/>
              <w:snapToGrid w:val="0"/>
              <w:spacing w:line="280" w:lineRule="exact"/>
              <w:jc w:val="center"/>
              <w:rPr>
                <w:rFonts w:ascii="Times New Roman" w:eastAsia="宋体"/>
                <w:sz w:val="21"/>
                <w:szCs w:val="21"/>
              </w:rPr>
            </w:pPr>
            <w:r>
              <w:rPr>
                <w:rFonts w:ascii="Times New Roman" w:hAnsi="宋体" w:eastAsia="宋体"/>
                <w:sz w:val="21"/>
                <w:szCs w:val="21"/>
              </w:rPr>
              <w:t>本项目正常排放源☑</w:t>
            </w:r>
          </w:p>
          <w:p w14:paraId="4DA2D9A8">
            <w:pPr>
              <w:adjustRightInd w:val="0"/>
              <w:snapToGrid w:val="0"/>
              <w:spacing w:line="280" w:lineRule="exact"/>
              <w:jc w:val="center"/>
              <w:rPr>
                <w:rFonts w:ascii="Times New Roman" w:eastAsia="宋体"/>
                <w:sz w:val="21"/>
                <w:szCs w:val="21"/>
              </w:rPr>
            </w:pPr>
            <w:r>
              <w:rPr>
                <w:rFonts w:ascii="Times New Roman" w:hAnsi="宋体" w:eastAsia="宋体"/>
                <w:sz w:val="21"/>
                <w:szCs w:val="21"/>
              </w:rPr>
              <w:t>本项目非正常排放源☑</w:t>
            </w:r>
          </w:p>
          <w:p w14:paraId="51A4A42F">
            <w:pPr>
              <w:adjustRightInd w:val="0"/>
              <w:snapToGrid w:val="0"/>
              <w:spacing w:line="280" w:lineRule="exact"/>
              <w:jc w:val="center"/>
              <w:rPr>
                <w:rFonts w:ascii="Times New Roman" w:eastAsia="宋体"/>
                <w:sz w:val="21"/>
                <w:szCs w:val="21"/>
              </w:rPr>
            </w:pPr>
            <w:r>
              <w:rPr>
                <w:rFonts w:ascii="Times New Roman" w:hAnsi="宋体" w:eastAsia="宋体"/>
                <w:sz w:val="21"/>
                <w:szCs w:val="21"/>
              </w:rPr>
              <w:t>现有污染源</w:t>
            </w:r>
            <w:r>
              <w:rPr>
                <w:rFonts w:ascii="Times New Roman" w:eastAsia="宋体"/>
                <w:sz w:val="21"/>
                <w:szCs w:val="21"/>
              </w:rPr>
              <w:t>□</w:t>
            </w:r>
          </w:p>
        </w:tc>
        <w:tc>
          <w:tcPr>
            <w:tcW w:w="1140" w:type="pct"/>
            <w:gridSpan w:val="6"/>
            <w:vAlign w:val="center"/>
          </w:tcPr>
          <w:p w14:paraId="4DAA32F8">
            <w:pPr>
              <w:adjustRightInd w:val="0"/>
              <w:snapToGrid w:val="0"/>
              <w:spacing w:line="280" w:lineRule="exact"/>
              <w:jc w:val="center"/>
              <w:rPr>
                <w:rFonts w:ascii="Times New Roman" w:eastAsia="宋体"/>
                <w:sz w:val="21"/>
                <w:szCs w:val="21"/>
              </w:rPr>
            </w:pPr>
            <w:r>
              <w:rPr>
                <w:rFonts w:ascii="Times New Roman" w:hAnsi="宋体" w:eastAsia="宋体"/>
                <w:sz w:val="21"/>
                <w:szCs w:val="21"/>
              </w:rPr>
              <w:t>拟替代的污染源</w:t>
            </w:r>
            <w:r>
              <w:rPr>
                <w:rFonts w:ascii="Times New Roman" w:eastAsia="宋体"/>
                <w:sz w:val="21"/>
                <w:szCs w:val="21"/>
              </w:rPr>
              <w:t>□</w:t>
            </w:r>
          </w:p>
        </w:tc>
        <w:tc>
          <w:tcPr>
            <w:tcW w:w="883" w:type="pct"/>
            <w:gridSpan w:val="7"/>
            <w:vAlign w:val="center"/>
          </w:tcPr>
          <w:p w14:paraId="0BAC5585">
            <w:pPr>
              <w:adjustRightInd w:val="0"/>
              <w:snapToGrid w:val="0"/>
              <w:spacing w:line="280" w:lineRule="exact"/>
              <w:jc w:val="center"/>
              <w:rPr>
                <w:rFonts w:ascii="Times New Roman" w:eastAsia="宋体"/>
                <w:sz w:val="21"/>
                <w:szCs w:val="21"/>
              </w:rPr>
            </w:pPr>
            <w:r>
              <w:rPr>
                <w:rFonts w:ascii="Times New Roman" w:hAnsi="宋体" w:eastAsia="宋体"/>
                <w:sz w:val="21"/>
                <w:szCs w:val="21"/>
              </w:rPr>
              <w:t>其他在建、拟建项目污染源</w:t>
            </w:r>
            <w:r>
              <w:rPr>
                <w:rFonts w:ascii="Times New Roman" w:eastAsia="宋体"/>
                <w:sz w:val="21"/>
                <w:szCs w:val="21"/>
              </w:rPr>
              <w:t>□</w:t>
            </w:r>
          </w:p>
        </w:tc>
        <w:tc>
          <w:tcPr>
            <w:tcW w:w="490" w:type="pct"/>
            <w:gridSpan w:val="2"/>
            <w:vAlign w:val="center"/>
          </w:tcPr>
          <w:p w14:paraId="3722D16D">
            <w:pPr>
              <w:adjustRightInd w:val="0"/>
              <w:snapToGrid w:val="0"/>
              <w:spacing w:line="280" w:lineRule="exact"/>
              <w:jc w:val="center"/>
              <w:rPr>
                <w:rFonts w:ascii="Times New Roman" w:eastAsia="宋体"/>
                <w:sz w:val="21"/>
                <w:szCs w:val="21"/>
              </w:rPr>
            </w:pPr>
            <w:r>
              <w:rPr>
                <w:rFonts w:ascii="Times New Roman" w:hAnsi="宋体" w:eastAsia="宋体"/>
                <w:sz w:val="21"/>
                <w:szCs w:val="21"/>
              </w:rPr>
              <w:t>区域污染源</w:t>
            </w:r>
            <w:r>
              <w:rPr>
                <w:rFonts w:ascii="Times New Roman" w:eastAsia="宋体"/>
                <w:sz w:val="21"/>
                <w:szCs w:val="21"/>
              </w:rPr>
              <w:t>□</w:t>
            </w:r>
          </w:p>
        </w:tc>
      </w:tr>
      <w:tr w14:paraId="3A001F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Merge w:val="restart"/>
            <w:vAlign w:val="center"/>
          </w:tcPr>
          <w:p w14:paraId="73781117">
            <w:pPr>
              <w:adjustRightInd w:val="0"/>
              <w:snapToGrid w:val="0"/>
              <w:spacing w:line="280" w:lineRule="exact"/>
              <w:jc w:val="center"/>
              <w:rPr>
                <w:rFonts w:ascii="Times New Roman" w:eastAsia="宋体"/>
                <w:sz w:val="21"/>
                <w:szCs w:val="21"/>
              </w:rPr>
            </w:pPr>
            <w:r>
              <w:rPr>
                <w:rFonts w:ascii="Times New Roman" w:hAnsi="宋体" w:eastAsia="宋体"/>
                <w:sz w:val="21"/>
                <w:szCs w:val="21"/>
              </w:rPr>
              <w:t>大气环境影响预测与评价</w:t>
            </w:r>
          </w:p>
        </w:tc>
        <w:tc>
          <w:tcPr>
            <w:tcW w:w="617" w:type="pct"/>
            <w:vAlign w:val="center"/>
          </w:tcPr>
          <w:p w14:paraId="2276611B">
            <w:pPr>
              <w:adjustRightInd w:val="0"/>
              <w:snapToGrid w:val="0"/>
              <w:spacing w:line="280" w:lineRule="exact"/>
              <w:jc w:val="center"/>
              <w:rPr>
                <w:rFonts w:ascii="Times New Roman" w:eastAsia="宋体"/>
                <w:sz w:val="21"/>
                <w:szCs w:val="21"/>
              </w:rPr>
            </w:pPr>
            <w:r>
              <w:rPr>
                <w:rFonts w:ascii="Times New Roman" w:hAnsi="宋体" w:eastAsia="宋体"/>
                <w:sz w:val="21"/>
                <w:szCs w:val="21"/>
              </w:rPr>
              <w:t>预测模型</w:t>
            </w:r>
          </w:p>
        </w:tc>
        <w:tc>
          <w:tcPr>
            <w:tcW w:w="751" w:type="pct"/>
            <w:vAlign w:val="center"/>
          </w:tcPr>
          <w:p w14:paraId="196FA76F">
            <w:pPr>
              <w:adjustRightInd w:val="0"/>
              <w:snapToGrid w:val="0"/>
              <w:spacing w:line="280" w:lineRule="exact"/>
              <w:jc w:val="center"/>
              <w:rPr>
                <w:rFonts w:ascii="Times New Roman" w:eastAsia="宋体"/>
                <w:sz w:val="21"/>
                <w:szCs w:val="21"/>
              </w:rPr>
            </w:pPr>
            <w:r>
              <w:rPr>
                <w:rFonts w:ascii="Times New Roman" w:eastAsia="宋体"/>
                <w:sz w:val="21"/>
                <w:szCs w:val="21"/>
              </w:rPr>
              <w:t>AERMOD</w:t>
            </w:r>
            <w:r>
              <w:rPr>
                <w:rFonts w:hint="eastAsia" w:ascii="Times New Roman" w:eastAsia="宋体"/>
                <w:sz w:val="21"/>
                <w:szCs w:val="21"/>
              </w:rPr>
              <w:t>☑</w:t>
            </w:r>
          </w:p>
        </w:tc>
        <w:tc>
          <w:tcPr>
            <w:tcW w:w="462" w:type="pct"/>
            <w:gridSpan w:val="2"/>
            <w:vAlign w:val="center"/>
          </w:tcPr>
          <w:p w14:paraId="7FEC6BF0">
            <w:pPr>
              <w:adjustRightInd w:val="0"/>
              <w:snapToGrid w:val="0"/>
              <w:spacing w:line="280" w:lineRule="exact"/>
              <w:jc w:val="center"/>
              <w:rPr>
                <w:rFonts w:ascii="Times New Roman" w:eastAsia="宋体"/>
                <w:sz w:val="21"/>
                <w:szCs w:val="21"/>
              </w:rPr>
            </w:pPr>
            <w:r>
              <w:rPr>
                <w:rFonts w:ascii="Times New Roman" w:eastAsia="宋体"/>
                <w:sz w:val="21"/>
                <w:szCs w:val="21"/>
              </w:rPr>
              <w:t>ADMS</w:t>
            </w:r>
          </w:p>
          <w:p w14:paraId="633572CF">
            <w:pPr>
              <w:adjustRightInd w:val="0"/>
              <w:snapToGrid w:val="0"/>
              <w:spacing w:line="280" w:lineRule="exact"/>
              <w:jc w:val="center"/>
              <w:rPr>
                <w:rFonts w:ascii="Times New Roman" w:eastAsia="宋体"/>
                <w:sz w:val="21"/>
                <w:szCs w:val="21"/>
              </w:rPr>
            </w:pPr>
            <w:r>
              <w:rPr>
                <w:rFonts w:ascii="Times New Roman" w:eastAsia="宋体"/>
                <w:sz w:val="21"/>
                <w:szCs w:val="21"/>
              </w:rPr>
              <w:t>□</w:t>
            </w:r>
          </w:p>
        </w:tc>
        <w:tc>
          <w:tcPr>
            <w:tcW w:w="814" w:type="pct"/>
            <w:gridSpan w:val="4"/>
            <w:vAlign w:val="center"/>
          </w:tcPr>
          <w:p w14:paraId="37277735">
            <w:pPr>
              <w:adjustRightInd w:val="0"/>
              <w:snapToGrid w:val="0"/>
              <w:spacing w:line="280" w:lineRule="exact"/>
              <w:jc w:val="center"/>
              <w:rPr>
                <w:rFonts w:ascii="Times New Roman" w:eastAsia="宋体"/>
                <w:sz w:val="21"/>
                <w:szCs w:val="21"/>
              </w:rPr>
            </w:pPr>
            <w:r>
              <w:rPr>
                <w:rFonts w:ascii="Times New Roman" w:eastAsia="宋体"/>
                <w:sz w:val="21"/>
                <w:szCs w:val="21"/>
              </w:rPr>
              <w:t>AUSTAL2000</w:t>
            </w:r>
          </w:p>
          <w:p w14:paraId="4DD914EB">
            <w:pPr>
              <w:adjustRightInd w:val="0"/>
              <w:snapToGrid w:val="0"/>
              <w:spacing w:line="280" w:lineRule="exact"/>
              <w:jc w:val="center"/>
              <w:rPr>
                <w:rFonts w:ascii="Times New Roman" w:eastAsia="宋体"/>
                <w:sz w:val="21"/>
                <w:szCs w:val="21"/>
              </w:rPr>
            </w:pPr>
            <w:r>
              <w:rPr>
                <w:rFonts w:ascii="Times New Roman" w:eastAsia="宋体"/>
                <w:sz w:val="21"/>
                <w:szCs w:val="21"/>
              </w:rPr>
              <w:t>□</w:t>
            </w:r>
          </w:p>
        </w:tc>
        <w:tc>
          <w:tcPr>
            <w:tcW w:w="797" w:type="pct"/>
            <w:gridSpan w:val="5"/>
            <w:vAlign w:val="center"/>
          </w:tcPr>
          <w:p w14:paraId="29E743AB">
            <w:pPr>
              <w:adjustRightInd w:val="0"/>
              <w:snapToGrid w:val="0"/>
              <w:spacing w:line="280" w:lineRule="exact"/>
              <w:jc w:val="center"/>
              <w:rPr>
                <w:rFonts w:ascii="Times New Roman" w:eastAsia="宋体"/>
                <w:sz w:val="21"/>
                <w:szCs w:val="21"/>
              </w:rPr>
            </w:pPr>
            <w:r>
              <w:rPr>
                <w:rFonts w:ascii="Times New Roman" w:eastAsia="宋体"/>
                <w:sz w:val="21"/>
                <w:szCs w:val="21"/>
              </w:rPr>
              <w:t>EDMS/AEDT</w:t>
            </w:r>
          </w:p>
          <w:p w14:paraId="6438EF3E">
            <w:pPr>
              <w:adjustRightInd w:val="0"/>
              <w:snapToGrid w:val="0"/>
              <w:spacing w:line="280" w:lineRule="exact"/>
              <w:jc w:val="center"/>
              <w:rPr>
                <w:rFonts w:ascii="Times New Roman" w:eastAsia="宋体"/>
                <w:sz w:val="21"/>
                <w:szCs w:val="21"/>
              </w:rPr>
            </w:pPr>
            <w:r>
              <w:rPr>
                <w:rFonts w:ascii="Times New Roman" w:eastAsia="宋体"/>
                <w:sz w:val="21"/>
                <w:szCs w:val="21"/>
              </w:rPr>
              <w:t>□</w:t>
            </w:r>
          </w:p>
        </w:tc>
        <w:tc>
          <w:tcPr>
            <w:tcW w:w="640" w:type="pct"/>
            <w:gridSpan w:val="4"/>
            <w:vAlign w:val="center"/>
          </w:tcPr>
          <w:p w14:paraId="4790BA5A">
            <w:pPr>
              <w:adjustRightInd w:val="0"/>
              <w:snapToGrid w:val="0"/>
              <w:spacing w:line="280" w:lineRule="exact"/>
              <w:jc w:val="center"/>
              <w:rPr>
                <w:rFonts w:ascii="Times New Roman" w:eastAsia="宋体"/>
                <w:sz w:val="21"/>
                <w:szCs w:val="21"/>
              </w:rPr>
            </w:pPr>
            <w:r>
              <w:rPr>
                <w:rFonts w:ascii="Times New Roman" w:eastAsia="宋体"/>
                <w:sz w:val="21"/>
                <w:szCs w:val="21"/>
              </w:rPr>
              <w:t>CALPUFF</w:t>
            </w:r>
          </w:p>
          <w:p w14:paraId="35E62991">
            <w:pPr>
              <w:adjustRightInd w:val="0"/>
              <w:snapToGrid w:val="0"/>
              <w:spacing w:line="280" w:lineRule="exact"/>
              <w:jc w:val="center"/>
              <w:rPr>
                <w:rFonts w:ascii="Times New Roman" w:eastAsia="宋体"/>
                <w:sz w:val="21"/>
                <w:szCs w:val="21"/>
              </w:rPr>
            </w:pPr>
            <w:r>
              <w:rPr>
                <w:rFonts w:ascii="Times New Roman" w:eastAsia="宋体"/>
                <w:sz w:val="21"/>
                <w:szCs w:val="21"/>
              </w:rPr>
              <w:t>□</w:t>
            </w:r>
          </w:p>
        </w:tc>
        <w:tc>
          <w:tcPr>
            <w:tcW w:w="286" w:type="pct"/>
            <w:gridSpan w:val="2"/>
            <w:vAlign w:val="center"/>
          </w:tcPr>
          <w:p w14:paraId="3587C7E9">
            <w:pPr>
              <w:adjustRightInd w:val="0"/>
              <w:snapToGrid w:val="0"/>
              <w:spacing w:line="280" w:lineRule="exact"/>
              <w:jc w:val="center"/>
              <w:rPr>
                <w:rFonts w:ascii="Times New Roman" w:eastAsia="宋体"/>
                <w:sz w:val="21"/>
                <w:szCs w:val="21"/>
              </w:rPr>
            </w:pPr>
            <w:r>
              <w:rPr>
                <w:rFonts w:ascii="Times New Roman" w:hAnsi="宋体" w:eastAsia="宋体"/>
                <w:sz w:val="21"/>
                <w:szCs w:val="21"/>
              </w:rPr>
              <w:t>网格模型</w:t>
            </w:r>
          </w:p>
          <w:p w14:paraId="1AE72A9D">
            <w:pPr>
              <w:adjustRightInd w:val="0"/>
              <w:snapToGrid w:val="0"/>
              <w:spacing w:line="280" w:lineRule="exact"/>
              <w:jc w:val="center"/>
              <w:rPr>
                <w:rFonts w:ascii="Times New Roman" w:eastAsia="宋体"/>
                <w:sz w:val="21"/>
                <w:szCs w:val="21"/>
              </w:rPr>
            </w:pPr>
            <w:r>
              <w:rPr>
                <w:rFonts w:ascii="Times New Roman" w:eastAsia="宋体"/>
                <w:sz w:val="21"/>
                <w:szCs w:val="21"/>
              </w:rPr>
              <w:t>□</w:t>
            </w:r>
          </w:p>
        </w:tc>
        <w:tc>
          <w:tcPr>
            <w:tcW w:w="261" w:type="pct"/>
            <w:vAlign w:val="center"/>
          </w:tcPr>
          <w:p w14:paraId="4FB2D78E">
            <w:pPr>
              <w:adjustRightInd w:val="0"/>
              <w:snapToGrid w:val="0"/>
              <w:spacing w:line="280" w:lineRule="exact"/>
              <w:jc w:val="center"/>
              <w:rPr>
                <w:rFonts w:ascii="Times New Roman" w:eastAsia="宋体"/>
                <w:sz w:val="21"/>
                <w:szCs w:val="21"/>
              </w:rPr>
            </w:pPr>
            <w:r>
              <w:rPr>
                <w:rFonts w:ascii="Times New Roman" w:hAnsi="宋体" w:eastAsia="宋体"/>
                <w:sz w:val="21"/>
                <w:szCs w:val="21"/>
              </w:rPr>
              <w:t>其他</w:t>
            </w:r>
          </w:p>
          <w:p w14:paraId="4614FB31">
            <w:pPr>
              <w:adjustRightInd w:val="0"/>
              <w:snapToGrid w:val="0"/>
              <w:spacing w:line="280" w:lineRule="exact"/>
              <w:jc w:val="center"/>
              <w:rPr>
                <w:rFonts w:ascii="Times New Roman" w:eastAsia="宋体"/>
                <w:sz w:val="21"/>
                <w:szCs w:val="21"/>
              </w:rPr>
            </w:pPr>
            <w:r>
              <w:rPr>
                <w:rFonts w:ascii="Times New Roman" w:hAnsi="宋体" w:eastAsia="宋体"/>
                <w:sz w:val="21"/>
                <w:szCs w:val="21"/>
              </w:rPr>
              <w:t>☑</w:t>
            </w:r>
          </w:p>
        </w:tc>
      </w:tr>
      <w:tr w14:paraId="463BCB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Merge w:val="continue"/>
            <w:vAlign w:val="center"/>
          </w:tcPr>
          <w:p w14:paraId="26763281">
            <w:pPr>
              <w:adjustRightInd w:val="0"/>
              <w:snapToGrid w:val="0"/>
              <w:spacing w:line="280" w:lineRule="exact"/>
              <w:jc w:val="center"/>
              <w:rPr>
                <w:rFonts w:ascii="Times New Roman" w:eastAsia="宋体"/>
                <w:sz w:val="21"/>
                <w:szCs w:val="21"/>
              </w:rPr>
            </w:pPr>
          </w:p>
        </w:tc>
        <w:tc>
          <w:tcPr>
            <w:tcW w:w="617" w:type="pct"/>
            <w:vAlign w:val="center"/>
          </w:tcPr>
          <w:p w14:paraId="2541691F">
            <w:pPr>
              <w:adjustRightInd w:val="0"/>
              <w:snapToGrid w:val="0"/>
              <w:spacing w:line="280" w:lineRule="exact"/>
              <w:jc w:val="center"/>
              <w:rPr>
                <w:rFonts w:ascii="Times New Roman" w:eastAsia="宋体"/>
                <w:sz w:val="21"/>
                <w:szCs w:val="21"/>
              </w:rPr>
            </w:pPr>
            <w:r>
              <w:rPr>
                <w:rFonts w:ascii="Times New Roman" w:hAnsi="宋体" w:eastAsia="宋体"/>
                <w:sz w:val="21"/>
                <w:szCs w:val="21"/>
              </w:rPr>
              <w:t>预测范围</w:t>
            </w:r>
          </w:p>
        </w:tc>
        <w:tc>
          <w:tcPr>
            <w:tcW w:w="1214" w:type="pct"/>
            <w:gridSpan w:val="3"/>
            <w:vAlign w:val="center"/>
          </w:tcPr>
          <w:p w14:paraId="56AD97AF">
            <w:pPr>
              <w:adjustRightInd w:val="0"/>
              <w:snapToGrid w:val="0"/>
              <w:spacing w:line="280" w:lineRule="exact"/>
              <w:jc w:val="center"/>
              <w:rPr>
                <w:rFonts w:ascii="Times New Roman" w:eastAsia="宋体"/>
                <w:sz w:val="21"/>
                <w:szCs w:val="21"/>
              </w:rPr>
            </w:pPr>
            <w:r>
              <w:rPr>
                <w:rFonts w:ascii="Times New Roman" w:hAnsi="宋体" w:eastAsia="宋体"/>
                <w:sz w:val="21"/>
                <w:szCs w:val="21"/>
              </w:rPr>
              <w:t>边长</w:t>
            </w:r>
            <w:r>
              <w:rPr>
                <w:rFonts w:ascii="Times New Roman" w:eastAsia="宋体"/>
                <w:sz w:val="21"/>
                <w:szCs w:val="21"/>
              </w:rPr>
              <w:t>≥50km□</w:t>
            </w:r>
          </w:p>
        </w:tc>
        <w:tc>
          <w:tcPr>
            <w:tcW w:w="2252" w:type="pct"/>
            <w:gridSpan w:val="13"/>
            <w:vAlign w:val="center"/>
          </w:tcPr>
          <w:p w14:paraId="2BDB2771">
            <w:pPr>
              <w:adjustRightInd w:val="0"/>
              <w:snapToGrid w:val="0"/>
              <w:spacing w:line="280" w:lineRule="exact"/>
              <w:jc w:val="center"/>
              <w:rPr>
                <w:rFonts w:ascii="Times New Roman" w:eastAsia="宋体"/>
                <w:sz w:val="21"/>
                <w:szCs w:val="21"/>
              </w:rPr>
            </w:pPr>
            <w:r>
              <w:rPr>
                <w:rFonts w:ascii="Times New Roman" w:hAnsi="宋体" w:eastAsia="宋体"/>
                <w:sz w:val="21"/>
                <w:szCs w:val="21"/>
              </w:rPr>
              <w:t>边长</w:t>
            </w:r>
            <w:r>
              <w:rPr>
                <w:rFonts w:ascii="Times New Roman" w:eastAsia="宋体"/>
                <w:sz w:val="21"/>
                <w:szCs w:val="21"/>
              </w:rPr>
              <w:t>5~50km□</w:t>
            </w:r>
          </w:p>
        </w:tc>
        <w:tc>
          <w:tcPr>
            <w:tcW w:w="548" w:type="pct"/>
            <w:gridSpan w:val="3"/>
            <w:vAlign w:val="center"/>
          </w:tcPr>
          <w:p w14:paraId="2DF490F1">
            <w:pPr>
              <w:adjustRightInd w:val="0"/>
              <w:snapToGrid w:val="0"/>
              <w:spacing w:line="280" w:lineRule="exact"/>
              <w:jc w:val="center"/>
              <w:rPr>
                <w:rFonts w:ascii="Times New Roman" w:eastAsia="宋体"/>
                <w:sz w:val="21"/>
                <w:szCs w:val="21"/>
              </w:rPr>
            </w:pPr>
            <w:r>
              <w:rPr>
                <w:rFonts w:ascii="Times New Roman" w:hAnsi="宋体" w:eastAsia="宋体"/>
                <w:sz w:val="21"/>
                <w:szCs w:val="21"/>
              </w:rPr>
              <w:t>边长</w:t>
            </w:r>
            <w:r>
              <w:rPr>
                <w:rFonts w:ascii="Times New Roman" w:eastAsia="宋体"/>
                <w:sz w:val="21"/>
                <w:szCs w:val="21"/>
              </w:rPr>
              <w:t>=5km</w:t>
            </w:r>
            <w:r>
              <w:rPr>
                <w:rFonts w:ascii="Times New Roman" w:hAnsi="宋体" w:eastAsia="宋体"/>
                <w:sz w:val="21"/>
                <w:szCs w:val="21"/>
              </w:rPr>
              <w:t>☑</w:t>
            </w:r>
          </w:p>
        </w:tc>
      </w:tr>
      <w:tr w14:paraId="189211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Merge w:val="continue"/>
            <w:vAlign w:val="center"/>
          </w:tcPr>
          <w:p w14:paraId="609AB04C">
            <w:pPr>
              <w:adjustRightInd w:val="0"/>
              <w:snapToGrid w:val="0"/>
              <w:spacing w:line="280" w:lineRule="exact"/>
              <w:jc w:val="center"/>
              <w:rPr>
                <w:rFonts w:ascii="Times New Roman" w:eastAsia="宋体"/>
                <w:sz w:val="21"/>
                <w:szCs w:val="21"/>
              </w:rPr>
            </w:pPr>
          </w:p>
        </w:tc>
        <w:tc>
          <w:tcPr>
            <w:tcW w:w="617" w:type="pct"/>
            <w:vAlign w:val="center"/>
          </w:tcPr>
          <w:p w14:paraId="27B6F2BC">
            <w:pPr>
              <w:adjustRightInd w:val="0"/>
              <w:snapToGrid w:val="0"/>
              <w:spacing w:line="280" w:lineRule="exact"/>
              <w:jc w:val="center"/>
              <w:rPr>
                <w:rFonts w:ascii="Times New Roman" w:eastAsia="宋体"/>
                <w:sz w:val="21"/>
                <w:szCs w:val="21"/>
              </w:rPr>
            </w:pPr>
            <w:r>
              <w:rPr>
                <w:rFonts w:ascii="Times New Roman" w:hAnsi="宋体" w:eastAsia="宋体"/>
                <w:sz w:val="21"/>
                <w:szCs w:val="21"/>
              </w:rPr>
              <w:t>预测因子</w:t>
            </w:r>
          </w:p>
        </w:tc>
        <w:tc>
          <w:tcPr>
            <w:tcW w:w="2797" w:type="pct"/>
            <w:gridSpan w:val="11"/>
            <w:vAlign w:val="center"/>
          </w:tcPr>
          <w:p w14:paraId="3F17D1D7">
            <w:pPr>
              <w:adjustRightInd w:val="0"/>
              <w:snapToGrid w:val="0"/>
              <w:spacing w:line="280" w:lineRule="exact"/>
              <w:jc w:val="center"/>
              <w:rPr>
                <w:rFonts w:ascii="Times New Roman" w:eastAsia="宋体"/>
                <w:sz w:val="21"/>
                <w:szCs w:val="21"/>
              </w:rPr>
            </w:pPr>
            <w:r>
              <w:rPr>
                <w:rFonts w:ascii="Times New Roman" w:hAnsi="宋体" w:eastAsia="宋体"/>
                <w:sz w:val="21"/>
                <w:szCs w:val="21"/>
              </w:rPr>
              <w:t>预测因子（烟尘、</w:t>
            </w:r>
            <w:r>
              <w:rPr>
                <w:rFonts w:ascii="Times New Roman" w:eastAsia="宋体"/>
                <w:sz w:val="21"/>
                <w:szCs w:val="21"/>
              </w:rPr>
              <w:t>SO</w:t>
            </w:r>
            <w:r>
              <w:rPr>
                <w:rFonts w:ascii="Times New Roman" w:eastAsia="宋体"/>
                <w:sz w:val="21"/>
                <w:szCs w:val="21"/>
                <w:vertAlign w:val="subscript"/>
              </w:rPr>
              <w:t>2</w:t>
            </w:r>
            <w:r>
              <w:rPr>
                <w:rFonts w:ascii="Times New Roman" w:hAnsi="宋体" w:eastAsia="宋体"/>
                <w:sz w:val="21"/>
                <w:szCs w:val="21"/>
              </w:rPr>
              <w:t>、</w:t>
            </w:r>
            <w:r>
              <w:rPr>
                <w:rFonts w:ascii="Times New Roman" w:eastAsia="宋体"/>
                <w:sz w:val="21"/>
                <w:szCs w:val="21"/>
              </w:rPr>
              <w:t>NOx</w:t>
            </w:r>
            <w:r>
              <w:rPr>
                <w:rFonts w:ascii="Times New Roman" w:hAnsi="宋体" w:eastAsia="宋体"/>
                <w:sz w:val="21"/>
                <w:szCs w:val="21"/>
              </w:rPr>
              <w:t>、</w:t>
            </w:r>
            <w:r>
              <w:rPr>
                <w:rFonts w:ascii="Times New Roman" w:eastAsia="宋体"/>
                <w:sz w:val="21"/>
                <w:szCs w:val="21"/>
              </w:rPr>
              <w:t>NO</w:t>
            </w:r>
            <w:r>
              <w:rPr>
                <w:rFonts w:hint="eastAsia" w:ascii="Times New Roman" w:eastAsia="宋体"/>
                <w:sz w:val="21"/>
                <w:szCs w:val="21"/>
                <w:vertAlign w:val="subscript"/>
              </w:rPr>
              <w:t>2</w:t>
            </w:r>
            <w:r>
              <w:rPr>
                <w:rFonts w:ascii="Times New Roman" w:hAnsi="宋体" w:eastAsia="宋体"/>
                <w:sz w:val="21"/>
                <w:szCs w:val="21"/>
              </w:rPr>
              <w:t>、</w:t>
            </w:r>
            <w:r>
              <w:rPr>
                <w:rFonts w:hint="eastAsia" w:ascii="Times New Roman" w:hAnsi="宋体" w:eastAsia="宋体"/>
                <w:sz w:val="21"/>
                <w:szCs w:val="21"/>
              </w:rPr>
              <w:t>汞及其化合物</w:t>
            </w:r>
            <w:r>
              <w:rPr>
                <w:rFonts w:ascii="Times New Roman" w:hAnsi="宋体" w:eastAsia="宋体"/>
                <w:sz w:val="21"/>
                <w:szCs w:val="21"/>
              </w:rPr>
              <w:t>、</w:t>
            </w:r>
            <w:r>
              <w:rPr>
                <w:rFonts w:hint="eastAsia" w:ascii="Times New Roman" w:hAnsi="宋体" w:eastAsia="宋体"/>
                <w:sz w:val="21"/>
                <w:szCs w:val="21"/>
              </w:rPr>
              <w:t>硫化氢</w:t>
            </w:r>
            <w:r>
              <w:rPr>
                <w:rFonts w:ascii="Times New Roman" w:hAnsi="宋体" w:eastAsia="宋体"/>
                <w:sz w:val="21"/>
                <w:szCs w:val="21"/>
              </w:rPr>
              <w:t>、氨气）</w:t>
            </w:r>
          </w:p>
        </w:tc>
        <w:tc>
          <w:tcPr>
            <w:tcW w:w="1217" w:type="pct"/>
            <w:gridSpan w:val="8"/>
            <w:vAlign w:val="center"/>
          </w:tcPr>
          <w:p w14:paraId="4918ACA8">
            <w:pPr>
              <w:adjustRightInd w:val="0"/>
              <w:snapToGrid w:val="0"/>
              <w:spacing w:line="280" w:lineRule="exact"/>
              <w:jc w:val="center"/>
              <w:rPr>
                <w:rFonts w:ascii="Times New Roman" w:eastAsia="宋体"/>
                <w:sz w:val="21"/>
                <w:szCs w:val="21"/>
              </w:rPr>
            </w:pPr>
            <w:r>
              <w:rPr>
                <w:rFonts w:ascii="Times New Roman" w:hAnsi="宋体" w:eastAsia="宋体"/>
                <w:sz w:val="21"/>
                <w:szCs w:val="21"/>
              </w:rPr>
              <w:t>包括二次</w:t>
            </w:r>
            <w:r>
              <w:rPr>
                <w:rFonts w:ascii="Times New Roman" w:eastAsia="宋体"/>
                <w:sz w:val="21"/>
                <w:szCs w:val="21"/>
              </w:rPr>
              <w:t>PM</w:t>
            </w:r>
            <w:r>
              <w:rPr>
                <w:rFonts w:ascii="Times New Roman" w:eastAsia="宋体"/>
                <w:sz w:val="21"/>
                <w:szCs w:val="21"/>
                <w:vertAlign w:val="subscript"/>
              </w:rPr>
              <w:t>2.5</w:t>
            </w:r>
            <w:r>
              <w:rPr>
                <w:rFonts w:ascii="Times New Roman" w:eastAsia="宋体"/>
                <w:sz w:val="21"/>
                <w:szCs w:val="21"/>
              </w:rPr>
              <w:t>□</w:t>
            </w:r>
          </w:p>
          <w:p w14:paraId="2EAD5EF5">
            <w:pPr>
              <w:adjustRightInd w:val="0"/>
              <w:snapToGrid w:val="0"/>
              <w:spacing w:line="280" w:lineRule="exact"/>
              <w:jc w:val="center"/>
              <w:rPr>
                <w:rFonts w:ascii="Times New Roman" w:eastAsia="宋体"/>
                <w:sz w:val="21"/>
                <w:szCs w:val="21"/>
              </w:rPr>
            </w:pPr>
            <w:r>
              <w:rPr>
                <w:rFonts w:ascii="Times New Roman" w:hAnsi="宋体" w:eastAsia="宋体"/>
                <w:sz w:val="21"/>
                <w:szCs w:val="21"/>
              </w:rPr>
              <w:t>不包括二次</w:t>
            </w:r>
            <w:r>
              <w:rPr>
                <w:rFonts w:ascii="Times New Roman" w:eastAsia="宋体"/>
                <w:sz w:val="21"/>
                <w:szCs w:val="21"/>
              </w:rPr>
              <w:t>PM</w:t>
            </w:r>
            <w:r>
              <w:rPr>
                <w:rFonts w:ascii="Times New Roman" w:eastAsia="宋体"/>
                <w:sz w:val="21"/>
                <w:szCs w:val="21"/>
                <w:vertAlign w:val="subscript"/>
              </w:rPr>
              <w:t>2.5</w:t>
            </w:r>
            <w:r>
              <w:rPr>
                <w:rFonts w:ascii="Times New Roman" w:hAnsi="宋体" w:eastAsia="宋体"/>
                <w:sz w:val="21"/>
                <w:szCs w:val="21"/>
              </w:rPr>
              <w:t>☑</w:t>
            </w:r>
          </w:p>
        </w:tc>
      </w:tr>
      <w:tr w14:paraId="76F318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Merge w:val="continue"/>
            <w:vAlign w:val="center"/>
          </w:tcPr>
          <w:p w14:paraId="1F1B45D7">
            <w:pPr>
              <w:adjustRightInd w:val="0"/>
              <w:snapToGrid w:val="0"/>
              <w:spacing w:line="280" w:lineRule="exact"/>
              <w:jc w:val="center"/>
              <w:rPr>
                <w:rFonts w:ascii="Times New Roman" w:eastAsia="宋体"/>
                <w:sz w:val="21"/>
                <w:szCs w:val="21"/>
              </w:rPr>
            </w:pPr>
          </w:p>
        </w:tc>
        <w:tc>
          <w:tcPr>
            <w:tcW w:w="617" w:type="pct"/>
            <w:vAlign w:val="center"/>
          </w:tcPr>
          <w:p w14:paraId="2BBD4AC9">
            <w:pPr>
              <w:adjustRightInd w:val="0"/>
              <w:snapToGrid w:val="0"/>
              <w:spacing w:line="280" w:lineRule="exact"/>
              <w:jc w:val="center"/>
              <w:rPr>
                <w:rFonts w:ascii="Times New Roman" w:eastAsia="宋体"/>
                <w:sz w:val="21"/>
                <w:szCs w:val="21"/>
              </w:rPr>
            </w:pPr>
            <w:r>
              <w:rPr>
                <w:rFonts w:ascii="Times New Roman" w:hAnsi="宋体" w:eastAsia="宋体"/>
                <w:sz w:val="21"/>
                <w:szCs w:val="21"/>
              </w:rPr>
              <w:t>正常排放短期浓度贡献值</w:t>
            </w:r>
          </w:p>
        </w:tc>
        <w:tc>
          <w:tcPr>
            <w:tcW w:w="2797" w:type="pct"/>
            <w:gridSpan w:val="11"/>
            <w:vAlign w:val="center"/>
          </w:tcPr>
          <w:p w14:paraId="3582D9A2">
            <w:pPr>
              <w:adjustRightInd w:val="0"/>
              <w:snapToGrid w:val="0"/>
              <w:spacing w:line="280" w:lineRule="exact"/>
              <w:jc w:val="center"/>
              <w:rPr>
                <w:rFonts w:ascii="Times New Roman" w:eastAsia="宋体"/>
                <w:sz w:val="21"/>
                <w:szCs w:val="21"/>
              </w:rPr>
            </w:pPr>
            <w:r>
              <w:rPr>
                <w:rFonts w:ascii="Times New Roman" w:eastAsia="宋体"/>
                <w:sz w:val="21"/>
                <w:szCs w:val="21"/>
              </w:rPr>
              <w:t>C</w:t>
            </w:r>
            <w:r>
              <w:rPr>
                <w:rFonts w:ascii="Times New Roman" w:hAnsi="宋体" w:eastAsia="宋体"/>
                <w:sz w:val="21"/>
                <w:szCs w:val="21"/>
                <w:vertAlign w:val="subscript"/>
              </w:rPr>
              <w:t>本项目</w:t>
            </w:r>
            <w:r>
              <w:rPr>
                <w:rFonts w:ascii="Times New Roman" w:hAnsi="宋体" w:eastAsia="宋体"/>
                <w:sz w:val="21"/>
                <w:szCs w:val="21"/>
              </w:rPr>
              <w:t>最大占标率</w:t>
            </w:r>
            <w:r>
              <w:rPr>
                <w:rFonts w:ascii="Times New Roman" w:eastAsia="宋体"/>
                <w:sz w:val="21"/>
                <w:szCs w:val="21"/>
              </w:rPr>
              <w:t>≤100%</w:t>
            </w:r>
            <w:r>
              <w:rPr>
                <w:rFonts w:ascii="Times New Roman" w:hAnsi="宋体" w:eastAsia="宋体"/>
                <w:sz w:val="21"/>
                <w:szCs w:val="21"/>
              </w:rPr>
              <w:t>☑</w:t>
            </w:r>
          </w:p>
        </w:tc>
        <w:tc>
          <w:tcPr>
            <w:tcW w:w="1217" w:type="pct"/>
            <w:gridSpan w:val="8"/>
            <w:vAlign w:val="center"/>
          </w:tcPr>
          <w:p w14:paraId="6E61DAD5">
            <w:pPr>
              <w:adjustRightInd w:val="0"/>
              <w:snapToGrid w:val="0"/>
              <w:spacing w:line="280" w:lineRule="exact"/>
              <w:jc w:val="center"/>
              <w:rPr>
                <w:rFonts w:ascii="Times New Roman" w:eastAsia="宋体"/>
                <w:sz w:val="21"/>
                <w:szCs w:val="21"/>
              </w:rPr>
            </w:pPr>
            <w:r>
              <w:rPr>
                <w:rFonts w:ascii="Times New Roman" w:eastAsia="宋体"/>
                <w:sz w:val="21"/>
                <w:szCs w:val="21"/>
              </w:rPr>
              <w:t>C</w:t>
            </w:r>
            <w:r>
              <w:rPr>
                <w:rFonts w:ascii="Times New Roman" w:hAnsi="宋体" w:eastAsia="宋体"/>
                <w:sz w:val="21"/>
                <w:szCs w:val="21"/>
                <w:vertAlign w:val="subscript"/>
              </w:rPr>
              <w:t>本项目</w:t>
            </w:r>
            <w:r>
              <w:rPr>
                <w:rFonts w:ascii="Times New Roman" w:hAnsi="宋体" w:eastAsia="宋体"/>
                <w:sz w:val="21"/>
                <w:szCs w:val="21"/>
              </w:rPr>
              <w:t>最大占标率＞</w:t>
            </w:r>
            <w:r>
              <w:rPr>
                <w:rFonts w:ascii="Times New Roman" w:eastAsia="宋体"/>
                <w:sz w:val="21"/>
                <w:szCs w:val="21"/>
              </w:rPr>
              <w:t>100%□</w:t>
            </w:r>
          </w:p>
        </w:tc>
      </w:tr>
      <w:tr w14:paraId="0D3B36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Merge w:val="continue"/>
            <w:vAlign w:val="center"/>
          </w:tcPr>
          <w:p w14:paraId="1CA82988">
            <w:pPr>
              <w:adjustRightInd w:val="0"/>
              <w:snapToGrid w:val="0"/>
              <w:spacing w:line="280" w:lineRule="exact"/>
              <w:jc w:val="center"/>
              <w:rPr>
                <w:rFonts w:ascii="Times New Roman" w:eastAsia="宋体"/>
                <w:sz w:val="21"/>
                <w:szCs w:val="21"/>
              </w:rPr>
            </w:pPr>
          </w:p>
        </w:tc>
        <w:tc>
          <w:tcPr>
            <w:tcW w:w="617" w:type="pct"/>
            <w:vMerge w:val="restart"/>
            <w:vAlign w:val="center"/>
          </w:tcPr>
          <w:p w14:paraId="4109F496">
            <w:pPr>
              <w:adjustRightInd w:val="0"/>
              <w:snapToGrid w:val="0"/>
              <w:spacing w:line="300" w:lineRule="exact"/>
              <w:jc w:val="center"/>
              <w:rPr>
                <w:rFonts w:ascii="Times New Roman" w:eastAsia="宋体"/>
                <w:sz w:val="21"/>
                <w:szCs w:val="21"/>
              </w:rPr>
            </w:pPr>
            <w:r>
              <w:rPr>
                <w:rFonts w:ascii="Times New Roman" w:hAnsi="宋体" w:eastAsia="宋体"/>
                <w:sz w:val="21"/>
                <w:szCs w:val="21"/>
              </w:rPr>
              <w:t>正常排放年均浓度贡献值</w:t>
            </w:r>
          </w:p>
        </w:tc>
        <w:tc>
          <w:tcPr>
            <w:tcW w:w="1130" w:type="pct"/>
            <w:gridSpan w:val="2"/>
            <w:vAlign w:val="center"/>
          </w:tcPr>
          <w:p w14:paraId="409A0722">
            <w:pPr>
              <w:adjustRightInd w:val="0"/>
              <w:snapToGrid w:val="0"/>
              <w:spacing w:line="300" w:lineRule="exact"/>
              <w:jc w:val="center"/>
              <w:rPr>
                <w:rFonts w:ascii="Times New Roman" w:eastAsia="宋体"/>
                <w:sz w:val="21"/>
                <w:szCs w:val="21"/>
              </w:rPr>
            </w:pPr>
            <w:r>
              <w:rPr>
                <w:rFonts w:ascii="Times New Roman" w:hAnsi="宋体" w:eastAsia="宋体"/>
                <w:sz w:val="21"/>
                <w:szCs w:val="21"/>
              </w:rPr>
              <w:t>一类区</w:t>
            </w:r>
          </w:p>
        </w:tc>
        <w:tc>
          <w:tcPr>
            <w:tcW w:w="1667" w:type="pct"/>
            <w:gridSpan w:val="9"/>
            <w:vAlign w:val="center"/>
          </w:tcPr>
          <w:p w14:paraId="055AB8E9">
            <w:pPr>
              <w:adjustRightInd w:val="0"/>
              <w:snapToGrid w:val="0"/>
              <w:spacing w:line="300" w:lineRule="exact"/>
              <w:jc w:val="center"/>
              <w:rPr>
                <w:rFonts w:ascii="Times New Roman" w:eastAsia="宋体"/>
                <w:sz w:val="21"/>
                <w:szCs w:val="21"/>
              </w:rPr>
            </w:pPr>
            <w:r>
              <w:rPr>
                <w:rFonts w:ascii="Times New Roman" w:eastAsia="宋体"/>
                <w:sz w:val="21"/>
                <w:szCs w:val="21"/>
              </w:rPr>
              <w:t>C</w:t>
            </w:r>
            <w:r>
              <w:rPr>
                <w:rFonts w:ascii="Times New Roman" w:hAnsi="宋体" w:eastAsia="宋体"/>
                <w:sz w:val="21"/>
                <w:szCs w:val="21"/>
                <w:vertAlign w:val="subscript"/>
              </w:rPr>
              <w:t>本项目</w:t>
            </w:r>
            <w:r>
              <w:rPr>
                <w:rFonts w:ascii="Times New Roman" w:hAnsi="宋体" w:eastAsia="宋体"/>
                <w:sz w:val="21"/>
                <w:szCs w:val="21"/>
              </w:rPr>
              <w:t>最大占标率</w:t>
            </w:r>
            <w:r>
              <w:rPr>
                <w:rFonts w:ascii="Times New Roman" w:eastAsia="宋体"/>
                <w:sz w:val="21"/>
                <w:szCs w:val="21"/>
              </w:rPr>
              <w:t>≤10%□</w:t>
            </w:r>
          </w:p>
        </w:tc>
        <w:tc>
          <w:tcPr>
            <w:tcW w:w="1217" w:type="pct"/>
            <w:gridSpan w:val="8"/>
            <w:vAlign w:val="center"/>
          </w:tcPr>
          <w:p w14:paraId="4ADEF4F3">
            <w:pPr>
              <w:adjustRightInd w:val="0"/>
              <w:snapToGrid w:val="0"/>
              <w:spacing w:line="300" w:lineRule="exact"/>
              <w:jc w:val="center"/>
              <w:rPr>
                <w:rFonts w:ascii="Times New Roman" w:eastAsia="宋体"/>
                <w:sz w:val="21"/>
                <w:szCs w:val="21"/>
              </w:rPr>
            </w:pPr>
            <w:r>
              <w:rPr>
                <w:rFonts w:ascii="Times New Roman" w:eastAsia="宋体"/>
                <w:sz w:val="21"/>
                <w:szCs w:val="21"/>
              </w:rPr>
              <w:t>C</w:t>
            </w:r>
            <w:r>
              <w:rPr>
                <w:rFonts w:ascii="Times New Roman" w:hAnsi="宋体" w:eastAsia="宋体"/>
                <w:sz w:val="21"/>
                <w:szCs w:val="21"/>
                <w:vertAlign w:val="subscript"/>
              </w:rPr>
              <w:t>本项目</w:t>
            </w:r>
            <w:r>
              <w:rPr>
                <w:rFonts w:ascii="Times New Roman" w:hAnsi="宋体" w:eastAsia="宋体"/>
                <w:sz w:val="21"/>
                <w:szCs w:val="21"/>
              </w:rPr>
              <w:t>最大占标率＞</w:t>
            </w:r>
            <w:r>
              <w:rPr>
                <w:rFonts w:ascii="Times New Roman" w:eastAsia="宋体"/>
                <w:sz w:val="21"/>
                <w:szCs w:val="21"/>
              </w:rPr>
              <w:t>10%□</w:t>
            </w:r>
          </w:p>
        </w:tc>
      </w:tr>
      <w:tr w14:paraId="2687E6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Merge w:val="continue"/>
            <w:vAlign w:val="center"/>
          </w:tcPr>
          <w:p w14:paraId="2B133D4A">
            <w:pPr>
              <w:adjustRightInd w:val="0"/>
              <w:snapToGrid w:val="0"/>
              <w:spacing w:line="280" w:lineRule="exact"/>
              <w:jc w:val="center"/>
              <w:rPr>
                <w:rFonts w:ascii="Times New Roman" w:eastAsia="宋体"/>
                <w:sz w:val="21"/>
                <w:szCs w:val="21"/>
              </w:rPr>
            </w:pPr>
          </w:p>
        </w:tc>
        <w:tc>
          <w:tcPr>
            <w:tcW w:w="617" w:type="pct"/>
            <w:vMerge w:val="continue"/>
            <w:vAlign w:val="center"/>
          </w:tcPr>
          <w:p w14:paraId="3F863118">
            <w:pPr>
              <w:adjustRightInd w:val="0"/>
              <w:snapToGrid w:val="0"/>
              <w:spacing w:line="300" w:lineRule="exact"/>
              <w:jc w:val="center"/>
              <w:rPr>
                <w:rFonts w:ascii="Times New Roman" w:eastAsia="宋体"/>
                <w:sz w:val="21"/>
                <w:szCs w:val="21"/>
              </w:rPr>
            </w:pPr>
          </w:p>
        </w:tc>
        <w:tc>
          <w:tcPr>
            <w:tcW w:w="1130" w:type="pct"/>
            <w:gridSpan w:val="2"/>
            <w:vAlign w:val="center"/>
          </w:tcPr>
          <w:p w14:paraId="2BC8D2A3">
            <w:pPr>
              <w:adjustRightInd w:val="0"/>
              <w:snapToGrid w:val="0"/>
              <w:spacing w:line="300" w:lineRule="exact"/>
              <w:jc w:val="center"/>
              <w:rPr>
                <w:rFonts w:ascii="Times New Roman" w:eastAsia="宋体"/>
                <w:sz w:val="21"/>
                <w:szCs w:val="21"/>
              </w:rPr>
            </w:pPr>
            <w:r>
              <w:rPr>
                <w:rFonts w:ascii="Times New Roman" w:hAnsi="宋体" w:eastAsia="宋体"/>
                <w:sz w:val="21"/>
                <w:szCs w:val="21"/>
              </w:rPr>
              <w:t>二类区</w:t>
            </w:r>
          </w:p>
        </w:tc>
        <w:tc>
          <w:tcPr>
            <w:tcW w:w="1667" w:type="pct"/>
            <w:gridSpan w:val="9"/>
            <w:vAlign w:val="center"/>
          </w:tcPr>
          <w:p w14:paraId="467D211A">
            <w:pPr>
              <w:adjustRightInd w:val="0"/>
              <w:snapToGrid w:val="0"/>
              <w:spacing w:line="300" w:lineRule="exact"/>
              <w:jc w:val="center"/>
              <w:rPr>
                <w:rFonts w:ascii="Times New Roman" w:eastAsia="宋体"/>
                <w:sz w:val="21"/>
                <w:szCs w:val="21"/>
              </w:rPr>
            </w:pPr>
            <w:r>
              <w:rPr>
                <w:rFonts w:ascii="Times New Roman" w:eastAsia="宋体"/>
                <w:sz w:val="21"/>
                <w:szCs w:val="21"/>
              </w:rPr>
              <w:t>C</w:t>
            </w:r>
            <w:r>
              <w:rPr>
                <w:rFonts w:ascii="Times New Roman" w:hAnsi="宋体" w:eastAsia="宋体"/>
                <w:sz w:val="21"/>
                <w:szCs w:val="21"/>
                <w:vertAlign w:val="subscript"/>
              </w:rPr>
              <w:t>本项目</w:t>
            </w:r>
            <w:r>
              <w:rPr>
                <w:rFonts w:ascii="Times New Roman" w:hAnsi="宋体" w:eastAsia="宋体"/>
                <w:sz w:val="21"/>
                <w:szCs w:val="21"/>
              </w:rPr>
              <w:t>最大占标率</w:t>
            </w:r>
            <w:r>
              <w:rPr>
                <w:rFonts w:ascii="Times New Roman" w:eastAsia="宋体"/>
                <w:sz w:val="21"/>
                <w:szCs w:val="21"/>
              </w:rPr>
              <w:t>≤30%</w:t>
            </w:r>
            <w:r>
              <w:rPr>
                <w:rFonts w:ascii="Times New Roman" w:hAnsi="宋体" w:eastAsia="宋体"/>
                <w:sz w:val="21"/>
                <w:szCs w:val="21"/>
              </w:rPr>
              <w:t>☑</w:t>
            </w:r>
          </w:p>
        </w:tc>
        <w:tc>
          <w:tcPr>
            <w:tcW w:w="1217" w:type="pct"/>
            <w:gridSpan w:val="8"/>
            <w:vAlign w:val="center"/>
          </w:tcPr>
          <w:p w14:paraId="7DF484F1">
            <w:pPr>
              <w:adjustRightInd w:val="0"/>
              <w:snapToGrid w:val="0"/>
              <w:spacing w:line="300" w:lineRule="exact"/>
              <w:jc w:val="center"/>
              <w:rPr>
                <w:rFonts w:ascii="Times New Roman" w:eastAsia="宋体"/>
                <w:sz w:val="21"/>
                <w:szCs w:val="21"/>
              </w:rPr>
            </w:pPr>
            <w:r>
              <w:rPr>
                <w:rFonts w:ascii="Times New Roman" w:eastAsia="宋体"/>
                <w:sz w:val="21"/>
                <w:szCs w:val="21"/>
              </w:rPr>
              <w:t>C</w:t>
            </w:r>
            <w:r>
              <w:rPr>
                <w:rFonts w:ascii="Times New Roman" w:hAnsi="宋体" w:eastAsia="宋体"/>
                <w:sz w:val="21"/>
                <w:szCs w:val="21"/>
                <w:vertAlign w:val="subscript"/>
              </w:rPr>
              <w:t>本项目</w:t>
            </w:r>
            <w:r>
              <w:rPr>
                <w:rFonts w:ascii="Times New Roman" w:hAnsi="宋体" w:eastAsia="宋体"/>
                <w:sz w:val="21"/>
                <w:szCs w:val="21"/>
              </w:rPr>
              <w:t>最大占标率＞</w:t>
            </w:r>
            <w:r>
              <w:rPr>
                <w:rFonts w:ascii="Times New Roman" w:eastAsia="宋体"/>
                <w:sz w:val="21"/>
                <w:szCs w:val="21"/>
              </w:rPr>
              <w:t>30%□</w:t>
            </w:r>
          </w:p>
        </w:tc>
      </w:tr>
      <w:tr w14:paraId="655627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Merge w:val="continue"/>
            <w:vAlign w:val="center"/>
          </w:tcPr>
          <w:p w14:paraId="2C0CF021">
            <w:pPr>
              <w:adjustRightInd w:val="0"/>
              <w:snapToGrid w:val="0"/>
              <w:spacing w:line="280" w:lineRule="exact"/>
              <w:jc w:val="center"/>
              <w:rPr>
                <w:rFonts w:ascii="Times New Roman" w:eastAsia="宋体"/>
                <w:sz w:val="21"/>
                <w:szCs w:val="21"/>
              </w:rPr>
            </w:pPr>
          </w:p>
        </w:tc>
        <w:tc>
          <w:tcPr>
            <w:tcW w:w="617" w:type="pct"/>
            <w:vAlign w:val="center"/>
          </w:tcPr>
          <w:p w14:paraId="4A7E93D7">
            <w:pPr>
              <w:adjustRightInd w:val="0"/>
              <w:snapToGrid w:val="0"/>
              <w:spacing w:line="300" w:lineRule="exact"/>
              <w:jc w:val="center"/>
              <w:rPr>
                <w:rFonts w:ascii="Times New Roman" w:eastAsia="宋体"/>
                <w:sz w:val="21"/>
                <w:szCs w:val="21"/>
              </w:rPr>
            </w:pPr>
            <w:r>
              <w:rPr>
                <w:rFonts w:ascii="Times New Roman" w:hAnsi="宋体" w:eastAsia="宋体"/>
                <w:sz w:val="21"/>
                <w:szCs w:val="21"/>
              </w:rPr>
              <w:t>非正常排放</w:t>
            </w:r>
            <w:r>
              <w:rPr>
                <w:rFonts w:ascii="Times New Roman" w:eastAsia="宋体"/>
                <w:sz w:val="21"/>
                <w:szCs w:val="21"/>
              </w:rPr>
              <w:t>1h</w:t>
            </w:r>
            <w:r>
              <w:rPr>
                <w:rFonts w:ascii="Times New Roman" w:hAnsi="宋体" w:eastAsia="宋体"/>
                <w:sz w:val="21"/>
                <w:szCs w:val="21"/>
              </w:rPr>
              <w:t>浓度贡献值</w:t>
            </w:r>
          </w:p>
        </w:tc>
        <w:tc>
          <w:tcPr>
            <w:tcW w:w="1130" w:type="pct"/>
            <w:gridSpan w:val="2"/>
            <w:vAlign w:val="center"/>
          </w:tcPr>
          <w:p w14:paraId="29EADD5D">
            <w:pPr>
              <w:adjustRightInd w:val="0"/>
              <w:snapToGrid w:val="0"/>
              <w:spacing w:line="300" w:lineRule="exact"/>
              <w:jc w:val="center"/>
              <w:rPr>
                <w:rFonts w:ascii="Times New Roman" w:eastAsia="宋体"/>
                <w:sz w:val="21"/>
                <w:szCs w:val="21"/>
              </w:rPr>
            </w:pPr>
            <w:r>
              <w:rPr>
                <w:rFonts w:ascii="Times New Roman" w:hAnsi="宋体" w:eastAsia="宋体"/>
                <w:sz w:val="21"/>
                <w:szCs w:val="21"/>
              </w:rPr>
              <w:t>非正常持续时长（</w:t>
            </w:r>
            <w:r>
              <w:rPr>
                <w:rFonts w:ascii="Times New Roman" w:eastAsia="宋体"/>
                <w:sz w:val="21"/>
                <w:szCs w:val="21"/>
              </w:rPr>
              <w:t>0.5</w:t>
            </w:r>
            <w:r>
              <w:rPr>
                <w:rFonts w:ascii="Times New Roman" w:hAnsi="宋体" w:eastAsia="宋体"/>
                <w:sz w:val="21"/>
                <w:szCs w:val="21"/>
              </w:rPr>
              <w:t>）</w:t>
            </w:r>
            <w:r>
              <w:rPr>
                <w:rFonts w:ascii="Times New Roman" w:eastAsia="宋体"/>
                <w:sz w:val="21"/>
                <w:szCs w:val="21"/>
              </w:rPr>
              <w:t>h</w:t>
            </w:r>
          </w:p>
        </w:tc>
        <w:tc>
          <w:tcPr>
            <w:tcW w:w="1667" w:type="pct"/>
            <w:gridSpan w:val="9"/>
            <w:vAlign w:val="center"/>
          </w:tcPr>
          <w:p w14:paraId="2E782E5E">
            <w:pPr>
              <w:adjustRightInd w:val="0"/>
              <w:snapToGrid w:val="0"/>
              <w:spacing w:line="300" w:lineRule="exact"/>
              <w:jc w:val="center"/>
              <w:rPr>
                <w:rFonts w:ascii="Times New Roman" w:eastAsia="宋体"/>
                <w:sz w:val="21"/>
                <w:szCs w:val="21"/>
              </w:rPr>
            </w:pPr>
            <w:r>
              <w:rPr>
                <w:rFonts w:ascii="Times New Roman" w:eastAsia="宋体"/>
                <w:sz w:val="21"/>
                <w:szCs w:val="21"/>
              </w:rPr>
              <w:t>C</w:t>
            </w:r>
            <w:r>
              <w:rPr>
                <w:rFonts w:ascii="Times New Roman" w:hAnsi="宋体" w:eastAsia="宋体"/>
                <w:sz w:val="21"/>
                <w:szCs w:val="21"/>
                <w:vertAlign w:val="subscript"/>
              </w:rPr>
              <w:t>非正常</w:t>
            </w:r>
            <w:r>
              <w:rPr>
                <w:rFonts w:ascii="Times New Roman" w:hAnsi="宋体" w:eastAsia="宋体"/>
                <w:sz w:val="21"/>
                <w:szCs w:val="21"/>
              </w:rPr>
              <w:t>占标率</w:t>
            </w:r>
            <w:r>
              <w:rPr>
                <w:rFonts w:ascii="Times New Roman" w:eastAsia="宋体"/>
                <w:sz w:val="21"/>
                <w:szCs w:val="21"/>
              </w:rPr>
              <w:t>≤100%</w:t>
            </w:r>
            <w:r>
              <w:rPr>
                <w:rFonts w:ascii="Times New Roman" w:hAnsi="宋体" w:eastAsia="宋体"/>
                <w:sz w:val="21"/>
                <w:szCs w:val="21"/>
              </w:rPr>
              <w:t>☑</w:t>
            </w:r>
          </w:p>
        </w:tc>
        <w:tc>
          <w:tcPr>
            <w:tcW w:w="1217" w:type="pct"/>
            <w:gridSpan w:val="8"/>
            <w:vAlign w:val="center"/>
          </w:tcPr>
          <w:p w14:paraId="0ABC15EC">
            <w:pPr>
              <w:adjustRightInd w:val="0"/>
              <w:snapToGrid w:val="0"/>
              <w:spacing w:line="300" w:lineRule="exact"/>
              <w:jc w:val="center"/>
              <w:rPr>
                <w:rFonts w:ascii="Times New Roman" w:eastAsia="宋体"/>
                <w:sz w:val="21"/>
                <w:szCs w:val="21"/>
              </w:rPr>
            </w:pPr>
            <w:r>
              <w:rPr>
                <w:rFonts w:ascii="Times New Roman" w:eastAsia="宋体"/>
                <w:sz w:val="21"/>
                <w:szCs w:val="21"/>
              </w:rPr>
              <w:t>C</w:t>
            </w:r>
            <w:r>
              <w:rPr>
                <w:rFonts w:ascii="Times New Roman" w:hAnsi="宋体" w:eastAsia="宋体"/>
                <w:sz w:val="21"/>
                <w:szCs w:val="21"/>
                <w:vertAlign w:val="subscript"/>
              </w:rPr>
              <w:t>非正常</w:t>
            </w:r>
            <w:r>
              <w:rPr>
                <w:rFonts w:ascii="Times New Roman" w:hAnsi="宋体" w:eastAsia="宋体"/>
                <w:sz w:val="21"/>
                <w:szCs w:val="21"/>
              </w:rPr>
              <w:t>占标率＞</w:t>
            </w:r>
            <w:r>
              <w:rPr>
                <w:rFonts w:ascii="Times New Roman" w:eastAsia="宋体"/>
                <w:sz w:val="21"/>
                <w:szCs w:val="21"/>
              </w:rPr>
              <w:t>100%□</w:t>
            </w:r>
          </w:p>
        </w:tc>
      </w:tr>
      <w:tr w14:paraId="7D20A3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Merge w:val="continue"/>
            <w:vAlign w:val="center"/>
          </w:tcPr>
          <w:p w14:paraId="63DA2857">
            <w:pPr>
              <w:adjustRightInd w:val="0"/>
              <w:snapToGrid w:val="0"/>
              <w:spacing w:line="280" w:lineRule="exact"/>
              <w:jc w:val="center"/>
              <w:rPr>
                <w:rFonts w:ascii="Times New Roman" w:eastAsia="宋体"/>
                <w:sz w:val="21"/>
                <w:szCs w:val="21"/>
              </w:rPr>
            </w:pPr>
          </w:p>
        </w:tc>
        <w:tc>
          <w:tcPr>
            <w:tcW w:w="617" w:type="pct"/>
            <w:vAlign w:val="center"/>
          </w:tcPr>
          <w:p w14:paraId="25E35A6E">
            <w:pPr>
              <w:adjustRightInd w:val="0"/>
              <w:snapToGrid w:val="0"/>
              <w:spacing w:line="300" w:lineRule="exact"/>
              <w:jc w:val="center"/>
              <w:rPr>
                <w:rFonts w:ascii="Times New Roman" w:eastAsia="宋体"/>
                <w:sz w:val="21"/>
                <w:szCs w:val="21"/>
              </w:rPr>
            </w:pPr>
            <w:r>
              <w:rPr>
                <w:rFonts w:ascii="Times New Roman" w:hAnsi="宋体" w:eastAsia="宋体"/>
                <w:sz w:val="21"/>
                <w:szCs w:val="21"/>
              </w:rPr>
              <w:t>保证率日平均浓度和年平均浓度叠加值</w:t>
            </w:r>
          </w:p>
        </w:tc>
        <w:tc>
          <w:tcPr>
            <w:tcW w:w="2437" w:type="pct"/>
            <w:gridSpan w:val="9"/>
            <w:vAlign w:val="center"/>
          </w:tcPr>
          <w:p w14:paraId="6EB59516">
            <w:pPr>
              <w:adjustRightInd w:val="0"/>
              <w:snapToGrid w:val="0"/>
              <w:spacing w:line="300" w:lineRule="exact"/>
              <w:jc w:val="center"/>
              <w:rPr>
                <w:rFonts w:ascii="Times New Roman" w:eastAsia="宋体"/>
                <w:sz w:val="21"/>
                <w:szCs w:val="21"/>
              </w:rPr>
            </w:pPr>
            <w:r>
              <w:rPr>
                <w:rFonts w:ascii="Times New Roman" w:eastAsia="宋体"/>
                <w:sz w:val="21"/>
                <w:szCs w:val="21"/>
              </w:rPr>
              <w:t>C</w:t>
            </w:r>
            <w:r>
              <w:rPr>
                <w:rFonts w:ascii="Times New Roman" w:hAnsi="宋体" w:eastAsia="宋体"/>
                <w:sz w:val="21"/>
                <w:szCs w:val="21"/>
                <w:vertAlign w:val="subscript"/>
              </w:rPr>
              <w:t>叠加</w:t>
            </w:r>
            <w:r>
              <w:rPr>
                <w:rFonts w:ascii="Times New Roman" w:hAnsi="宋体" w:eastAsia="宋体"/>
                <w:sz w:val="21"/>
                <w:szCs w:val="21"/>
              </w:rPr>
              <w:t>达标</w:t>
            </w:r>
            <w:r>
              <w:rPr>
                <w:rFonts w:ascii="Times New Roman" w:eastAsia="宋体"/>
                <w:sz w:val="21"/>
                <w:szCs w:val="21"/>
              </w:rPr>
              <w:t>□</w:t>
            </w:r>
          </w:p>
        </w:tc>
        <w:tc>
          <w:tcPr>
            <w:tcW w:w="1578" w:type="pct"/>
            <w:gridSpan w:val="10"/>
            <w:vAlign w:val="center"/>
          </w:tcPr>
          <w:p w14:paraId="71F8389F">
            <w:pPr>
              <w:adjustRightInd w:val="0"/>
              <w:snapToGrid w:val="0"/>
              <w:spacing w:line="300" w:lineRule="exact"/>
              <w:jc w:val="center"/>
              <w:rPr>
                <w:rFonts w:ascii="Times New Roman" w:eastAsia="宋体"/>
                <w:sz w:val="21"/>
                <w:szCs w:val="21"/>
              </w:rPr>
            </w:pPr>
            <w:r>
              <w:rPr>
                <w:rFonts w:ascii="Times New Roman" w:eastAsia="宋体"/>
                <w:sz w:val="21"/>
                <w:szCs w:val="21"/>
              </w:rPr>
              <w:t>C</w:t>
            </w:r>
            <w:r>
              <w:rPr>
                <w:rFonts w:ascii="Times New Roman" w:hAnsi="宋体" w:eastAsia="宋体"/>
                <w:sz w:val="21"/>
                <w:szCs w:val="21"/>
                <w:vertAlign w:val="subscript"/>
              </w:rPr>
              <w:t>叠加</w:t>
            </w:r>
            <w:r>
              <w:rPr>
                <w:rFonts w:ascii="Times New Roman" w:hAnsi="宋体" w:eastAsia="宋体"/>
                <w:sz w:val="21"/>
                <w:szCs w:val="21"/>
              </w:rPr>
              <w:t>不达标</w:t>
            </w:r>
            <w:r>
              <w:rPr>
                <w:rFonts w:ascii="Times New Roman" w:eastAsia="宋体"/>
                <w:sz w:val="21"/>
                <w:szCs w:val="21"/>
              </w:rPr>
              <w:t>□</w:t>
            </w:r>
          </w:p>
        </w:tc>
      </w:tr>
      <w:tr w14:paraId="68D096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Merge w:val="continue"/>
            <w:vAlign w:val="center"/>
          </w:tcPr>
          <w:p w14:paraId="336F5507">
            <w:pPr>
              <w:adjustRightInd w:val="0"/>
              <w:snapToGrid w:val="0"/>
              <w:spacing w:line="280" w:lineRule="exact"/>
              <w:jc w:val="center"/>
              <w:rPr>
                <w:rFonts w:ascii="Times New Roman" w:eastAsia="宋体"/>
                <w:sz w:val="21"/>
                <w:szCs w:val="21"/>
              </w:rPr>
            </w:pPr>
          </w:p>
        </w:tc>
        <w:tc>
          <w:tcPr>
            <w:tcW w:w="617" w:type="pct"/>
            <w:vAlign w:val="center"/>
          </w:tcPr>
          <w:p w14:paraId="69EBE22C">
            <w:pPr>
              <w:adjustRightInd w:val="0"/>
              <w:snapToGrid w:val="0"/>
              <w:spacing w:line="260" w:lineRule="exact"/>
              <w:jc w:val="center"/>
              <w:rPr>
                <w:rFonts w:ascii="Times New Roman" w:eastAsia="宋体"/>
                <w:sz w:val="21"/>
                <w:szCs w:val="21"/>
              </w:rPr>
            </w:pPr>
            <w:r>
              <w:rPr>
                <w:rFonts w:ascii="Times New Roman" w:hAnsi="宋体" w:eastAsia="宋体"/>
                <w:sz w:val="21"/>
                <w:szCs w:val="21"/>
              </w:rPr>
              <w:t>区域环境质量的整体变化情况</w:t>
            </w:r>
          </w:p>
        </w:tc>
        <w:tc>
          <w:tcPr>
            <w:tcW w:w="2437" w:type="pct"/>
            <w:gridSpan w:val="9"/>
            <w:vAlign w:val="center"/>
          </w:tcPr>
          <w:p w14:paraId="5C348F5B">
            <w:pPr>
              <w:adjustRightInd w:val="0"/>
              <w:snapToGrid w:val="0"/>
              <w:spacing w:line="260" w:lineRule="exact"/>
              <w:jc w:val="center"/>
              <w:rPr>
                <w:rFonts w:ascii="Times New Roman" w:eastAsia="宋体"/>
                <w:sz w:val="21"/>
                <w:szCs w:val="21"/>
              </w:rPr>
            </w:pPr>
            <w:r>
              <w:rPr>
                <w:rFonts w:ascii="Times New Roman" w:eastAsia="宋体"/>
                <w:sz w:val="21"/>
                <w:szCs w:val="21"/>
              </w:rPr>
              <w:t>k≤-20%□</w:t>
            </w:r>
          </w:p>
        </w:tc>
        <w:tc>
          <w:tcPr>
            <w:tcW w:w="1578" w:type="pct"/>
            <w:gridSpan w:val="10"/>
            <w:vAlign w:val="center"/>
          </w:tcPr>
          <w:p w14:paraId="69C68E36">
            <w:pPr>
              <w:adjustRightInd w:val="0"/>
              <w:snapToGrid w:val="0"/>
              <w:spacing w:line="260" w:lineRule="exact"/>
              <w:jc w:val="center"/>
              <w:rPr>
                <w:rFonts w:ascii="Times New Roman" w:eastAsia="宋体"/>
                <w:sz w:val="21"/>
                <w:szCs w:val="21"/>
              </w:rPr>
            </w:pPr>
            <w:r>
              <w:rPr>
                <w:rFonts w:ascii="Times New Roman" w:eastAsia="宋体"/>
                <w:sz w:val="21"/>
                <w:szCs w:val="21"/>
              </w:rPr>
              <w:t>k</w:t>
            </w:r>
            <w:r>
              <w:rPr>
                <w:rFonts w:ascii="Times New Roman" w:hAnsi="宋体" w:eastAsia="宋体"/>
                <w:sz w:val="21"/>
                <w:szCs w:val="21"/>
              </w:rPr>
              <w:t>＞</w:t>
            </w:r>
            <w:r>
              <w:rPr>
                <w:rFonts w:ascii="Times New Roman" w:eastAsia="宋体"/>
                <w:sz w:val="21"/>
                <w:szCs w:val="21"/>
              </w:rPr>
              <w:t>-20%□</w:t>
            </w:r>
          </w:p>
        </w:tc>
      </w:tr>
      <w:tr w14:paraId="37855F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Merge w:val="restart"/>
            <w:vAlign w:val="center"/>
          </w:tcPr>
          <w:p w14:paraId="5ABCC053">
            <w:pPr>
              <w:adjustRightInd w:val="0"/>
              <w:snapToGrid w:val="0"/>
              <w:spacing w:line="280" w:lineRule="exact"/>
              <w:jc w:val="center"/>
              <w:rPr>
                <w:rFonts w:ascii="Times New Roman" w:eastAsia="宋体"/>
                <w:sz w:val="21"/>
                <w:szCs w:val="21"/>
              </w:rPr>
            </w:pPr>
            <w:r>
              <w:rPr>
                <w:rFonts w:ascii="Times New Roman" w:hAnsi="宋体" w:eastAsia="宋体"/>
                <w:sz w:val="21"/>
                <w:szCs w:val="21"/>
              </w:rPr>
              <w:t>环境监测计划</w:t>
            </w:r>
          </w:p>
        </w:tc>
        <w:tc>
          <w:tcPr>
            <w:tcW w:w="617" w:type="pct"/>
            <w:vAlign w:val="center"/>
          </w:tcPr>
          <w:p w14:paraId="0F3BE7B2">
            <w:pPr>
              <w:adjustRightInd w:val="0"/>
              <w:snapToGrid w:val="0"/>
              <w:spacing w:line="260" w:lineRule="exact"/>
              <w:jc w:val="center"/>
              <w:rPr>
                <w:rFonts w:ascii="Times New Roman" w:eastAsia="宋体"/>
                <w:sz w:val="21"/>
                <w:szCs w:val="21"/>
              </w:rPr>
            </w:pPr>
            <w:r>
              <w:rPr>
                <w:rFonts w:ascii="Times New Roman" w:hAnsi="宋体" w:eastAsia="宋体"/>
                <w:sz w:val="21"/>
                <w:szCs w:val="21"/>
              </w:rPr>
              <w:t>污染源监测</w:t>
            </w:r>
          </w:p>
        </w:tc>
        <w:tc>
          <w:tcPr>
            <w:tcW w:w="1811" w:type="pct"/>
            <w:gridSpan w:val="6"/>
            <w:vAlign w:val="center"/>
          </w:tcPr>
          <w:p w14:paraId="5BD7E3DB">
            <w:pPr>
              <w:adjustRightInd w:val="0"/>
              <w:snapToGrid w:val="0"/>
              <w:spacing w:line="260" w:lineRule="exact"/>
              <w:jc w:val="center"/>
              <w:rPr>
                <w:rFonts w:ascii="Times New Roman" w:eastAsia="宋体"/>
                <w:sz w:val="21"/>
                <w:szCs w:val="21"/>
              </w:rPr>
            </w:pPr>
            <w:r>
              <w:rPr>
                <w:rFonts w:ascii="Times New Roman" w:hAnsi="宋体" w:eastAsia="宋体"/>
                <w:sz w:val="21"/>
                <w:szCs w:val="21"/>
              </w:rPr>
              <w:t>监测因子：（</w:t>
            </w:r>
            <w:r>
              <w:rPr>
                <w:rFonts w:hint="eastAsia" w:ascii="Times New Roman" w:hAnsi="宋体" w:eastAsia="宋体"/>
                <w:sz w:val="21"/>
                <w:szCs w:val="21"/>
              </w:rPr>
              <w:t>颗粒物</w:t>
            </w:r>
            <w:r>
              <w:rPr>
                <w:rFonts w:ascii="Times New Roman" w:hAnsi="宋体" w:eastAsia="宋体"/>
                <w:sz w:val="21"/>
                <w:szCs w:val="21"/>
              </w:rPr>
              <w:t>、</w:t>
            </w:r>
            <w:r>
              <w:rPr>
                <w:rFonts w:ascii="Times New Roman" w:eastAsia="宋体"/>
                <w:sz w:val="21"/>
                <w:szCs w:val="21"/>
              </w:rPr>
              <w:t>SO</w:t>
            </w:r>
            <w:r>
              <w:rPr>
                <w:rFonts w:ascii="Times New Roman" w:eastAsia="宋体"/>
                <w:sz w:val="21"/>
                <w:szCs w:val="21"/>
                <w:vertAlign w:val="subscript"/>
              </w:rPr>
              <w:t>2</w:t>
            </w:r>
            <w:r>
              <w:rPr>
                <w:rFonts w:ascii="Times New Roman" w:hAnsi="宋体" w:eastAsia="宋体"/>
                <w:sz w:val="21"/>
                <w:szCs w:val="21"/>
              </w:rPr>
              <w:t>、</w:t>
            </w:r>
            <w:r>
              <w:rPr>
                <w:rFonts w:ascii="Times New Roman" w:eastAsia="宋体"/>
                <w:sz w:val="21"/>
                <w:szCs w:val="21"/>
              </w:rPr>
              <w:t>NOx</w:t>
            </w:r>
            <w:r>
              <w:rPr>
                <w:rFonts w:ascii="Times New Roman" w:hAnsi="宋体" w:eastAsia="宋体"/>
                <w:sz w:val="21"/>
                <w:szCs w:val="21"/>
              </w:rPr>
              <w:t>、</w:t>
            </w:r>
            <w:r>
              <w:rPr>
                <w:rFonts w:hint="eastAsia" w:ascii="Times New Roman" w:hAnsi="宋体" w:eastAsia="宋体"/>
                <w:sz w:val="21"/>
                <w:szCs w:val="21"/>
              </w:rPr>
              <w:t>汞及其化合物、</w:t>
            </w:r>
            <w:r>
              <w:rPr>
                <w:rFonts w:ascii="Times New Roman" w:hAnsi="Times New Roman" w:eastAsia="宋体" w:cs="Times New Roman"/>
                <w:sz w:val="21"/>
                <w:szCs w:val="21"/>
              </w:rPr>
              <w:t>NH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S、臭气浓度 </w:t>
            </w:r>
            <w:r>
              <w:rPr>
                <w:rFonts w:ascii="Times New Roman" w:hAnsi="宋体" w:eastAsia="宋体"/>
                <w:sz w:val="21"/>
                <w:szCs w:val="21"/>
              </w:rPr>
              <w:t>）</w:t>
            </w:r>
          </w:p>
        </w:tc>
        <w:tc>
          <w:tcPr>
            <w:tcW w:w="1520" w:type="pct"/>
            <w:gridSpan w:val="8"/>
            <w:vAlign w:val="center"/>
          </w:tcPr>
          <w:p w14:paraId="01D42484">
            <w:pPr>
              <w:adjustRightInd w:val="0"/>
              <w:snapToGrid w:val="0"/>
              <w:spacing w:line="260" w:lineRule="exact"/>
              <w:jc w:val="center"/>
              <w:rPr>
                <w:rFonts w:ascii="Times New Roman" w:eastAsia="宋体"/>
                <w:sz w:val="21"/>
                <w:szCs w:val="21"/>
              </w:rPr>
            </w:pPr>
            <w:r>
              <w:rPr>
                <w:rFonts w:ascii="Times New Roman" w:hAnsi="宋体" w:eastAsia="宋体"/>
                <w:sz w:val="21"/>
                <w:szCs w:val="21"/>
              </w:rPr>
              <w:t>有组织废气监测☑</w:t>
            </w:r>
          </w:p>
          <w:p w14:paraId="2DFAC504">
            <w:pPr>
              <w:adjustRightInd w:val="0"/>
              <w:snapToGrid w:val="0"/>
              <w:spacing w:line="260" w:lineRule="exact"/>
              <w:jc w:val="center"/>
              <w:rPr>
                <w:rFonts w:ascii="Times New Roman" w:eastAsia="宋体"/>
                <w:sz w:val="21"/>
                <w:szCs w:val="21"/>
              </w:rPr>
            </w:pPr>
            <w:r>
              <w:rPr>
                <w:rFonts w:ascii="Times New Roman" w:hAnsi="宋体" w:eastAsia="宋体"/>
                <w:sz w:val="21"/>
                <w:szCs w:val="21"/>
              </w:rPr>
              <w:t>无组织废气监测☑</w:t>
            </w:r>
          </w:p>
        </w:tc>
        <w:tc>
          <w:tcPr>
            <w:tcW w:w="683" w:type="pct"/>
            <w:gridSpan w:val="5"/>
            <w:vAlign w:val="center"/>
          </w:tcPr>
          <w:p w14:paraId="75012B7E">
            <w:pPr>
              <w:adjustRightInd w:val="0"/>
              <w:snapToGrid w:val="0"/>
              <w:spacing w:line="260" w:lineRule="exact"/>
              <w:jc w:val="center"/>
              <w:rPr>
                <w:rFonts w:ascii="Times New Roman" w:eastAsia="宋体"/>
                <w:sz w:val="21"/>
                <w:szCs w:val="21"/>
              </w:rPr>
            </w:pPr>
            <w:r>
              <w:rPr>
                <w:rFonts w:ascii="Times New Roman" w:hAnsi="宋体" w:eastAsia="宋体"/>
                <w:sz w:val="21"/>
                <w:szCs w:val="21"/>
              </w:rPr>
              <w:t>无监测</w:t>
            </w:r>
            <w:r>
              <w:rPr>
                <w:rFonts w:ascii="Times New Roman" w:eastAsia="宋体"/>
                <w:sz w:val="21"/>
                <w:szCs w:val="21"/>
              </w:rPr>
              <w:t>□</w:t>
            </w:r>
          </w:p>
        </w:tc>
      </w:tr>
      <w:tr w14:paraId="2D9623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Merge w:val="continue"/>
            <w:vAlign w:val="center"/>
          </w:tcPr>
          <w:p w14:paraId="0582943D">
            <w:pPr>
              <w:adjustRightInd w:val="0"/>
              <w:snapToGrid w:val="0"/>
              <w:spacing w:line="280" w:lineRule="exact"/>
              <w:jc w:val="center"/>
              <w:rPr>
                <w:rFonts w:ascii="Times New Roman" w:eastAsia="宋体"/>
                <w:sz w:val="21"/>
                <w:szCs w:val="21"/>
              </w:rPr>
            </w:pPr>
          </w:p>
        </w:tc>
        <w:tc>
          <w:tcPr>
            <w:tcW w:w="617" w:type="pct"/>
            <w:vAlign w:val="center"/>
          </w:tcPr>
          <w:p w14:paraId="4892D3E2">
            <w:pPr>
              <w:adjustRightInd w:val="0"/>
              <w:snapToGrid w:val="0"/>
              <w:spacing w:line="260" w:lineRule="exact"/>
              <w:jc w:val="center"/>
              <w:rPr>
                <w:rFonts w:ascii="Times New Roman" w:eastAsia="宋体"/>
                <w:sz w:val="21"/>
                <w:szCs w:val="21"/>
              </w:rPr>
            </w:pPr>
            <w:r>
              <w:rPr>
                <w:rFonts w:ascii="Times New Roman" w:hAnsi="宋体" w:eastAsia="宋体"/>
                <w:sz w:val="21"/>
                <w:szCs w:val="21"/>
              </w:rPr>
              <w:t>环境质量检测</w:t>
            </w:r>
          </w:p>
        </w:tc>
        <w:tc>
          <w:tcPr>
            <w:tcW w:w="1811" w:type="pct"/>
            <w:gridSpan w:val="6"/>
            <w:vAlign w:val="center"/>
          </w:tcPr>
          <w:p w14:paraId="757ACCAF">
            <w:pPr>
              <w:adjustRightInd w:val="0"/>
              <w:snapToGrid w:val="0"/>
              <w:spacing w:line="260" w:lineRule="exact"/>
              <w:jc w:val="center"/>
              <w:rPr>
                <w:rFonts w:ascii="Times New Roman" w:eastAsia="宋体"/>
                <w:sz w:val="21"/>
                <w:szCs w:val="21"/>
              </w:rPr>
            </w:pPr>
            <w:r>
              <w:rPr>
                <w:rFonts w:ascii="Times New Roman" w:hAnsi="宋体" w:eastAsia="宋体"/>
                <w:sz w:val="21"/>
                <w:szCs w:val="21"/>
              </w:rPr>
              <w:t>监测因子：（</w:t>
            </w:r>
            <w:r>
              <w:rPr>
                <w:rFonts w:hint="eastAsia" w:ascii="Times New Roman" w:hAnsi="宋体" w:eastAsia="宋体"/>
                <w:sz w:val="21"/>
                <w:szCs w:val="21"/>
              </w:rPr>
              <w:t>/</w:t>
            </w:r>
            <w:r>
              <w:rPr>
                <w:rFonts w:ascii="Times New Roman" w:hAnsi="宋体" w:eastAsia="宋体"/>
                <w:sz w:val="21"/>
                <w:szCs w:val="21"/>
              </w:rPr>
              <w:t>）</w:t>
            </w:r>
          </w:p>
        </w:tc>
        <w:tc>
          <w:tcPr>
            <w:tcW w:w="1520" w:type="pct"/>
            <w:gridSpan w:val="8"/>
            <w:vAlign w:val="center"/>
          </w:tcPr>
          <w:p w14:paraId="70334F24">
            <w:pPr>
              <w:adjustRightInd w:val="0"/>
              <w:snapToGrid w:val="0"/>
              <w:spacing w:line="260" w:lineRule="exact"/>
              <w:jc w:val="center"/>
              <w:rPr>
                <w:rFonts w:ascii="Times New Roman" w:eastAsia="宋体"/>
                <w:sz w:val="21"/>
                <w:szCs w:val="21"/>
              </w:rPr>
            </w:pPr>
            <w:r>
              <w:rPr>
                <w:rFonts w:ascii="Times New Roman" w:hAnsi="宋体" w:eastAsia="宋体"/>
                <w:sz w:val="21"/>
                <w:szCs w:val="21"/>
              </w:rPr>
              <w:t>监测点位数（</w:t>
            </w:r>
            <w:r>
              <w:rPr>
                <w:rFonts w:hint="eastAsia" w:ascii="Times New Roman" w:eastAsia="宋体"/>
                <w:sz w:val="21"/>
                <w:szCs w:val="21"/>
              </w:rPr>
              <w:t>/</w:t>
            </w:r>
            <w:r>
              <w:rPr>
                <w:rFonts w:ascii="Times New Roman" w:hAnsi="宋体" w:eastAsia="宋体"/>
                <w:sz w:val="21"/>
                <w:szCs w:val="21"/>
              </w:rPr>
              <w:t>）</w:t>
            </w:r>
          </w:p>
        </w:tc>
        <w:tc>
          <w:tcPr>
            <w:tcW w:w="683" w:type="pct"/>
            <w:gridSpan w:val="5"/>
            <w:vAlign w:val="center"/>
          </w:tcPr>
          <w:p w14:paraId="1B76A48B">
            <w:pPr>
              <w:adjustRightInd w:val="0"/>
              <w:snapToGrid w:val="0"/>
              <w:spacing w:line="260" w:lineRule="exact"/>
              <w:jc w:val="center"/>
              <w:rPr>
                <w:rFonts w:ascii="Times New Roman" w:eastAsia="宋体"/>
                <w:sz w:val="21"/>
                <w:szCs w:val="21"/>
              </w:rPr>
            </w:pPr>
            <w:r>
              <w:rPr>
                <w:rFonts w:ascii="Times New Roman" w:hAnsi="宋体" w:eastAsia="宋体"/>
                <w:sz w:val="21"/>
                <w:szCs w:val="21"/>
              </w:rPr>
              <w:t>无监测☑</w:t>
            </w:r>
          </w:p>
        </w:tc>
      </w:tr>
      <w:tr w14:paraId="5C55A1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Merge w:val="restart"/>
            <w:vAlign w:val="center"/>
          </w:tcPr>
          <w:p w14:paraId="160590A9">
            <w:pPr>
              <w:adjustRightInd w:val="0"/>
              <w:snapToGrid w:val="0"/>
              <w:spacing w:line="280" w:lineRule="exact"/>
              <w:jc w:val="center"/>
              <w:rPr>
                <w:rFonts w:ascii="Times New Roman" w:eastAsia="宋体"/>
                <w:sz w:val="21"/>
                <w:szCs w:val="21"/>
              </w:rPr>
            </w:pPr>
            <w:r>
              <w:rPr>
                <w:rFonts w:ascii="Times New Roman" w:hAnsi="宋体" w:eastAsia="宋体"/>
                <w:sz w:val="21"/>
                <w:szCs w:val="21"/>
              </w:rPr>
              <w:t>评价</w:t>
            </w:r>
          </w:p>
          <w:p w14:paraId="31AEC52A">
            <w:pPr>
              <w:adjustRightInd w:val="0"/>
              <w:snapToGrid w:val="0"/>
              <w:spacing w:line="280" w:lineRule="exact"/>
              <w:jc w:val="center"/>
              <w:rPr>
                <w:rFonts w:ascii="Times New Roman" w:eastAsia="宋体"/>
                <w:sz w:val="21"/>
                <w:szCs w:val="21"/>
              </w:rPr>
            </w:pPr>
            <w:r>
              <w:rPr>
                <w:rFonts w:ascii="Times New Roman" w:hAnsi="宋体" w:eastAsia="宋体"/>
                <w:sz w:val="21"/>
                <w:szCs w:val="21"/>
              </w:rPr>
              <w:t>结论</w:t>
            </w:r>
          </w:p>
        </w:tc>
        <w:tc>
          <w:tcPr>
            <w:tcW w:w="617" w:type="pct"/>
            <w:vAlign w:val="center"/>
          </w:tcPr>
          <w:p w14:paraId="048B399C">
            <w:pPr>
              <w:adjustRightInd w:val="0"/>
              <w:snapToGrid w:val="0"/>
              <w:spacing w:line="260" w:lineRule="exact"/>
              <w:jc w:val="center"/>
              <w:rPr>
                <w:rFonts w:ascii="Times New Roman" w:eastAsia="宋体"/>
                <w:sz w:val="21"/>
                <w:szCs w:val="21"/>
              </w:rPr>
            </w:pPr>
            <w:r>
              <w:rPr>
                <w:rFonts w:ascii="Times New Roman" w:hAnsi="宋体" w:eastAsia="宋体"/>
                <w:sz w:val="21"/>
                <w:szCs w:val="21"/>
              </w:rPr>
              <w:t>环境影响</w:t>
            </w:r>
          </w:p>
        </w:tc>
        <w:tc>
          <w:tcPr>
            <w:tcW w:w="4015" w:type="pct"/>
            <w:gridSpan w:val="19"/>
            <w:vAlign w:val="center"/>
          </w:tcPr>
          <w:p w14:paraId="6BEC5632">
            <w:pPr>
              <w:adjustRightInd w:val="0"/>
              <w:snapToGrid w:val="0"/>
              <w:spacing w:line="260" w:lineRule="exact"/>
              <w:jc w:val="center"/>
              <w:rPr>
                <w:rFonts w:ascii="Times New Roman" w:eastAsia="宋体"/>
                <w:sz w:val="21"/>
                <w:szCs w:val="21"/>
              </w:rPr>
            </w:pPr>
            <w:r>
              <w:rPr>
                <w:rFonts w:ascii="Times New Roman" w:hAnsi="宋体" w:eastAsia="宋体"/>
                <w:sz w:val="21"/>
                <w:szCs w:val="21"/>
              </w:rPr>
              <w:t>可以接受☑</w:t>
            </w:r>
            <w:r>
              <w:rPr>
                <w:rFonts w:ascii="Times New Roman" w:eastAsia="宋体"/>
                <w:sz w:val="21"/>
                <w:szCs w:val="21"/>
              </w:rPr>
              <w:t xml:space="preserve">             </w:t>
            </w:r>
            <w:r>
              <w:rPr>
                <w:rFonts w:ascii="Times New Roman" w:hAnsi="宋体" w:eastAsia="宋体"/>
                <w:sz w:val="21"/>
                <w:szCs w:val="21"/>
              </w:rPr>
              <w:t>不可接受</w:t>
            </w:r>
            <w:r>
              <w:rPr>
                <w:rFonts w:ascii="Times New Roman" w:eastAsia="宋体"/>
                <w:sz w:val="21"/>
                <w:szCs w:val="21"/>
              </w:rPr>
              <w:t>□</w:t>
            </w:r>
          </w:p>
        </w:tc>
      </w:tr>
      <w:tr w14:paraId="09F475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Merge w:val="continue"/>
            <w:vAlign w:val="center"/>
          </w:tcPr>
          <w:p w14:paraId="58DC4049">
            <w:pPr>
              <w:adjustRightInd w:val="0"/>
              <w:snapToGrid w:val="0"/>
              <w:spacing w:line="280" w:lineRule="exact"/>
              <w:jc w:val="center"/>
              <w:rPr>
                <w:rFonts w:ascii="Times New Roman" w:eastAsia="宋体"/>
                <w:sz w:val="21"/>
                <w:szCs w:val="21"/>
              </w:rPr>
            </w:pPr>
          </w:p>
        </w:tc>
        <w:tc>
          <w:tcPr>
            <w:tcW w:w="617" w:type="pct"/>
            <w:vAlign w:val="center"/>
          </w:tcPr>
          <w:p w14:paraId="7E82DF84">
            <w:pPr>
              <w:adjustRightInd w:val="0"/>
              <w:snapToGrid w:val="0"/>
              <w:spacing w:line="260" w:lineRule="exact"/>
              <w:jc w:val="center"/>
              <w:rPr>
                <w:rFonts w:ascii="Times New Roman" w:eastAsia="宋体"/>
                <w:sz w:val="21"/>
                <w:szCs w:val="21"/>
              </w:rPr>
            </w:pPr>
            <w:r>
              <w:rPr>
                <w:rFonts w:ascii="Times New Roman" w:hAnsi="宋体" w:eastAsia="宋体"/>
                <w:sz w:val="21"/>
                <w:szCs w:val="21"/>
              </w:rPr>
              <w:t>大气环境防护距离</w:t>
            </w:r>
          </w:p>
        </w:tc>
        <w:tc>
          <w:tcPr>
            <w:tcW w:w="4015" w:type="pct"/>
            <w:gridSpan w:val="19"/>
            <w:vAlign w:val="center"/>
          </w:tcPr>
          <w:p w14:paraId="4796E6BC">
            <w:pPr>
              <w:adjustRightInd w:val="0"/>
              <w:snapToGrid w:val="0"/>
              <w:spacing w:line="260" w:lineRule="exact"/>
              <w:jc w:val="center"/>
              <w:rPr>
                <w:rFonts w:ascii="Times New Roman" w:eastAsia="宋体"/>
                <w:sz w:val="21"/>
                <w:szCs w:val="21"/>
              </w:rPr>
            </w:pPr>
            <w:r>
              <w:rPr>
                <w:rFonts w:ascii="Times New Roman" w:hAnsi="宋体" w:eastAsia="宋体"/>
                <w:sz w:val="21"/>
                <w:szCs w:val="21"/>
              </w:rPr>
              <w:t>距（</w:t>
            </w:r>
            <w:r>
              <w:rPr>
                <w:rFonts w:ascii="Times New Roman" w:eastAsia="宋体"/>
                <w:sz w:val="21"/>
                <w:szCs w:val="21"/>
              </w:rPr>
              <w:t xml:space="preserve"> /  </w:t>
            </w:r>
            <w:r>
              <w:rPr>
                <w:rFonts w:ascii="Times New Roman" w:hAnsi="宋体" w:eastAsia="宋体"/>
                <w:sz w:val="21"/>
                <w:szCs w:val="21"/>
              </w:rPr>
              <w:t>）厂界最远（</w:t>
            </w:r>
            <w:r>
              <w:rPr>
                <w:rFonts w:ascii="Times New Roman" w:eastAsia="宋体"/>
                <w:sz w:val="21"/>
                <w:szCs w:val="21"/>
              </w:rPr>
              <w:t xml:space="preserve"> /  </w:t>
            </w:r>
            <w:r>
              <w:rPr>
                <w:rFonts w:ascii="Times New Roman" w:hAnsi="宋体" w:eastAsia="宋体"/>
                <w:sz w:val="21"/>
                <w:szCs w:val="21"/>
              </w:rPr>
              <w:t>）</w:t>
            </w:r>
            <w:r>
              <w:rPr>
                <w:rFonts w:ascii="Times New Roman" w:eastAsia="宋体"/>
                <w:sz w:val="21"/>
                <w:szCs w:val="21"/>
              </w:rPr>
              <w:t>m</w:t>
            </w:r>
          </w:p>
        </w:tc>
      </w:tr>
      <w:tr w14:paraId="5A6B8A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67" w:type="pct"/>
            <w:vMerge w:val="continue"/>
            <w:vAlign w:val="center"/>
          </w:tcPr>
          <w:p w14:paraId="6EA9A7CB">
            <w:pPr>
              <w:adjustRightInd w:val="0"/>
              <w:snapToGrid w:val="0"/>
              <w:spacing w:line="280" w:lineRule="exact"/>
              <w:jc w:val="center"/>
              <w:rPr>
                <w:rFonts w:ascii="Times New Roman" w:eastAsia="宋体"/>
                <w:sz w:val="21"/>
                <w:szCs w:val="21"/>
              </w:rPr>
            </w:pPr>
          </w:p>
        </w:tc>
        <w:tc>
          <w:tcPr>
            <w:tcW w:w="617" w:type="pct"/>
            <w:vAlign w:val="center"/>
          </w:tcPr>
          <w:p w14:paraId="1B1F82AD">
            <w:pPr>
              <w:adjustRightInd w:val="0"/>
              <w:snapToGrid w:val="0"/>
              <w:spacing w:line="260" w:lineRule="exact"/>
              <w:jc w:val="center"/>
              <w:rPr>
                <w:rFonts w:ascii="Times New Roman" w:eastAsia="宋体"/>
                <w:sz w:val="21"/>
                <w:szCs w:val="21"/>
              </w:rPr>
            </w:pPr>
            <w:r>
              <w:rPr>
                <w:rFonts w:ascii="Times New Roman" w:hAnsi="宋体" w:eastAsia="宋体"/>
                <w:sz w:val="21"/>
                <w:szCs w:val="21"/>
              </w:rPr>
              <w:t>污染源年排放量</w:t>
            </w:r>
          </w:p>
        </w:tc>
        <w:tc>
          <w:tcPr>
            <w:tcW w:w="1811" w:type="pct"/>
            <w:gridSpan w:val="6"/>
            <w:vAlign w:val="center"/>
          </w:tcPr>
          <w:p w14:paraId="19E129A8">
            <w:pPr>
              <w:adjustRightInd w:val="0"/>
              <w:snapToGrid w:val="0"/>
              <w:spacing w:line="260" w:lineRule="exact"/>
              <w:jc w:val="center"/>
              <w:rPr>
                <w:rFonts w:ascii="Times New Roman" w:eastAsia="宋体"/>
                <w:sz w:val="21"/>
                <w:szCs w:val="21"/>
              </w:rPr>
            </w:pPr>
            <w:r>
              <w:rPr>
                <w:rFonts w:hint="eastAsia" w:ascii="Times New Roman" w:eastAsia="宋体"/>
                <w:sz w:val="21"/>
                <w:szCs w:val="21"/>
              </w:rPr>
              <w:t>硫化氢</w:t>
            </w:r>
            <w:r>
              <w:rPr>
                <w:rFonts w:ascii="Times New Roman" w:hAnsi="宋体" w:eastAsia="宋体"/>
                <w:sz w:val="21"/>
                <w:szCs w:val="21"/>
              </w:rPr>
              <w:t>：</w:t>
            </w:r>
            <w:r>
              <w:rPr>
                <w:rFonts w:hint="eastAsia" w:ascii="Times New Roman" w:hAnsi="宋体" w:eastAsia="宋体"/>
                <w:sz w:val="21"/>
                <w:szCs w:val="21"/>
              </w:rPr>
              <w:t>0.00231</w:t>
            </w:r>
            <w:r>
              <w:rPr>
                <w:rFonts w:ascii="Times New Roman" w:eastAsia="宋体"/>
                <w:sz w:val="21"/>
                <w:szCs w:val="21"/>
              </w:rPr>
              <w:t>t/a</w:t>
            </w:r>
          </w:p>
        </w:tc>
        <w:tc>
          <w:tcPr>
            <w:tcW w:w="2203" w:type="pct"/>
            <w:gridSpan w:val="13"/>
            <w:vAlign w:val="center"/>
          </w:tcPr>
          <w:p w14:paraId="11660A9B">
            <w:pPr>
              <w:adjustRightInd w:val="0"/>
              <w:snapToGrid w:val="0"/>
              <w:spacing w:line="260" w:lineRule="exact"/>
              <w:jc w:val="center"/>
              <w:rPr>
                <w:rFonts w:ascii="Times New Roman" w:eastAsia="宋体"/>
                <w:sz w:val="21"/>
                <w:szCs w:val="21"/>
              </w:rPr>
            </w:pPr>
            <w:r>
              <w:rPr>
                <w:rFonts w:ascii="Times New Roman" w:hAnsi="宋体" w:eastAsia="宋体"/>
                <w:sz w:val="21"/>
                <w:szCs w:val="21"/>
              </w:rPr>
              <w:t>氨气：</w:t>
            </w:r>
            <w:r>
              <w:rPr>
                <w:rFonts w:hint="eastAsia" w:ascii="Times New Roman" w:eastAsia="宋体"/>
                <w:sz w:val="21"/>
                <w:szCs w:val="21"/>
              </w:rPr>
              <w:t>0.0</w:t>
            </w:r>
            <w:r>
              <w:rPr>
                <w:rFonts w:hint="eastAsia" w:ascii="Times New Roman" w:eastAsia="宋体"/>
                <w:sz w:val="21"/>
                <w:szCs w:val="21"/>
                <w:lang w:val="en-US" w:eastAsia="zh-CN"/>
              </w:rPr>
              <w:t>235</w:t>
            </w:r>
            <w:r>
              <w:rPr>
                <w:rFonts w:ascii="Times New Roman" w:eastAsia="宋体"/>
                <w:sz w:val="21"/>
                <w:szCs w:val="21"/>
              </w:rPr>
              <w:t>t/a</w:t>
            </w:r>
          </w:p>
        </w:tc>
      </w:tr>
      <w:tr w14:paraId="662F1C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21"/>
            <w:vAlign w:val="center"/>
          </w:tcPr>
          <w:p w14:paraId="49B9DBFB">
            <w:pPr>
              <w:adjustRightInd w:val="0"/>
              <w:snapToGrid w:val="0"/>
              <w:spacing w:line="280" w:lineRule="exact"/>
              <w:jc w:val="center"/>
              <w:rPr>
                <w:rFonts w:ascii="Times New Roman" w:eastAsia="宋体"/>
                <w:sz w:val="21"/>
                <w:szCs w:val="21"/>
              </w:rPr>
            </w:pPr>
            <w:r>
              <w:rPr>
                <w:rFonts w:ascii="Times New Roman" w:hAnsi="宋体" w:eastAsia="宋体"/>
                <w:sz w:val="21"/>
                <w:szCs w:val="21"/>
              </w:rPr>
              <w:t>注：</w:t>
            </w:r>
            <w:r>
              <w:rPr>
                <w:rFonts w:ascii="Times New Roman" w:eastAsia="宋体"/>
                <w:sz w:val="21"/>
                <w:szCs w:val="21"/>
              </w:rPr>
              <w:t>“□”</w:t>
            </w:r>
            <w:r>
              <w:rPr>
                <w:rFonts w:ascii="Times New Roman" w:hAnsi="宋体" w:eastAsia="宋体"/>
                <w:sz w:val="21"/>
                <w:szCs w:val="21"/>
              </w:rPr>
              <w:t>为勾选项，填</w:t>
            </w:r>
            <w:r>
              <w:rPr>
                <w:rFonts w:ascii="Times New Roman" w:eastAsia="宋体"/>
                <w:sz w:val="21"/>
                <w:szCs w:val="21"/>
              </w:rPr>
              <w:t>“√”</w:t>
            </w:r>
            <w:r>
              <w:rPr>
                <w:rFonts w:ascii="Times New Roman" w:hAnsi="宋体" w:eastAsia="宋体"/>
                <w:sz w:val="21"/>
                <w:szCs w:val="21"/>
              </w:rPr>
              <w:t>；</w:t>
            </w:r>
            <w:r>
              <w:rPr>
                <w:rFonts w:ascii="Times New Roman" w:eastAsia="宋体"/>
                <w:sz w:val="21"/>
                <w:szCs w:val="21"/>
              </w:rPr>
              <w:t>“</w:t>
            </w:r>
            <w:r>
              <w:rPr>
                <w:rFonts w:ascii="Times New Roman" w:hAnsi="宋体" w:eastAsia="宋体"/>
                <w:sz w:val="21"/>
                <w:szCs w:val="21"/>
              </w:rPr>
              <w:t>（</w:t>
            </w:r>
            <w:r>
              <w:rPr>
                <w:rFonts w:ascii="Times New Roman" w:eastAsia="宋体"/>
                <w:sz w:val="21"/>
                <w:szCs w:val="21"/>
              </w:rPr>
              <w:t xml:space="preserve">    </w:t>
            </w:r>
            <w:r>
              <w:rPr>
                <w:rFonts w:ascii="Times New Roman" w:hAnsi="宋体" w:eastAsia="宋体"/>
                <w:sz w:val="21"/>
                <w:szCs w:val="21"/>
              </w:rPr>
              <w:t>）</w:t>
            </w:r>
            <w:r>
              <w:rPr>
                <w:rFonts w:ascii="Times New Roman" w:eastAsia="宋体"/>
                <w:sz w:val="21"/>
                <w:szCs w:val="21"/>
              </w:rPr>
              <w:t>”</w:t>
            </w:r>
            <w:r>
              <w:rPr>
                <w:rFonts w:ascii="Times New Roman" w:hAnsi="宋体" w:eastAsia="宋体"/>
                <w:sz w:val="21"/>
                <w:szCs w:val="21"/>
              </w:rPr>
              <w:t>为内容填写项</w:t>
            </w:r>
          </w:p>
        </w:tc>
      </w:tr>
    </w:tbl>
    <w:p w14:paraId="550202E4">
      <w:pPr>
        <w:pStyle w:val="4"/>
        <w:pageBreakBefore w:val="0"/>
        <w:kinsoku/>
        <w:wordWrap/>
        <w:overflowPunct/>
        <w:topLinePunct w:val="0"/>
        <w:autoSpaceDE/>
        <w:autoSpaceDN/>
        <w:bidi w:val="0"/>
        <w:adjustRightInd/>
        <w:snapToGrid/>
        <w:spacing w:after="0" w:line="480" w:lineRule="exact"/>
        <w:jc w:val="both"/>
        <w:textAlignment w:val="auto"/>
      </w:pPr>
      <w:bookmarkStart w:id="109" w:name="_Toc15722"/>
      <w:r>
        <w:rPr>
          <w:rFonts w:hint="eastAsia"/>
        </w:rPr>
        <w:t>5</w:t>
      </w:r>
      <w:r>
        <w:t xml:space="preserve">.3 </w:t>
      </w:r>
      <w:r>
        <w:rPr>
          <w:rFonts w:hint="eastAsia"/>
        </w:rPr>
        <w:t>营运期地表水环境影响评价</w:t>
      </w:r>
      <w:bookmarkEnd w:id="109"/>
    </w:p>
    <w:p w14:paraId="49F10AEA">
      <w:pPr>
        <w:pageBreakBefore w:val="0"/>
        <w:widowControl/>
        <w:kinsoku/>
        <w:wordWrap/>
        <w:overflowPunct/>
        <w:topLinePunct w:val="0"/>
        <w:autoSpaceDE/>
        <w:autoSpaceDN/>
        <w:bidi w:val="0"/>
        <w:adjustRightInd/>
        <w:snapToGrid/>
        <w:spacing w:line="480" w:lineRule="exact"/>
        <w:ind w:firstLine="480" w:firstLineChars="200"/>
        <w:textAlignment w:val="auto"/>
      </w:pPr>
      <w:r>
        <w:rPr>
          <w:rFonts w:hint="eastAsia"/>
        </w:rPr>
        <w:t>由于本项目养殖废水、喷淋废水、初期雨水及生活污水收集后排入污水处理系统，处理后</w:t>
      </w:r>
      <w:bookmarkStart w:id="110" w:name="_Hlk37928948"/>
      <w:r>
        <w:rPr>
          <w:rFonts w:hint="eastAsia"/>
        </w:rPr>
        <w:t>用于周边农田灌溉，废水不外排地表水体</w:t>
      </w:r>
      <w:bookmarkEnd w:id="110"/>
      <w:r>
        <w:rPr>
          <w:rFonts w:hint="eastAsia"/>
        </w:rPr>
        <w:t>。根据《环境影响评价技术导则 地表水环境》中评价等级确定本项目为三级B，故本地表水环境可不做预测，仅对养殖污水实行的资源化利用可行性进行论证。</w:t>
      </w:r>
    </w:p>
    <w:p w14:paraId="7A552DC6">
      <w:pPr>
        <w:pStyle w:val="7"/>
        <w:pageBreakBefore w:val="0"/>
        <w:kinsoku/>
        <w:wordWrap/>
        <w:overflowPunct/>
        <w:topLinePunct w:val="0"/>
        <w:autoSpaceDE/>
        <w:autoSpaceDN/>
        <w:bidi w:val="0"/>
        <w:adjustRightInd/>
        <w:snapToGrid/>
        <w:spacing w:line="480" w:lineRule="exact"/>
        <w:textAlignment w:val="auto"/>
      </w:pPr>
      <w:r>
        <w:rPr>
          <w:rFonts w:hint="eastAsia"/>
        </w:rPr>
        <w:t>5</w:t>
      </w:r>
      <w:r>
        <w:t>.</w:t>
      </w:r>
      <w:r>
        <w:rPr>
          <w:rFonts w:hint="eastAsia"/>
        </w:rPr>
        <w:t>3.1项目废水受纳去向分析</w:t>
      </w:r>
    </w:p>
    <w:p w14:paraId="3F369648">
      <w:pPr>
        <w:pageBreakBefore w:val="0"/>
        <w:widowControl/>
        <w:kinsoku/>
        <w:wordWrap/>
        <w:overflowPunct/>
        <w:topLinePunct w:val="0"/>
        <w:autoSpaceDE/>
        <w:autoSpaceDN/>
        <w:bidi w:val="0"/>
        <w:adjustRightInd/>
        <w:snapToGrid/>
        <w:spacing w:line="480" w:lineRule="exact"/>
        <w:ind w:firstLine="480" w:firstLineChars="200"/>
        <w:textAlignment w:val="auto"/>
      </w:pPr>
      <w:r>
        <w:rPr>
          <w:rFonts w:hint="eastAsia"/>
        </w:rPr>
        <w:t>根据工程分析、污染防治措施内容，本项目废水量为1361.4t/a，</w:t>
      </w:r>
      <w:r>
        <w:rPr>
          <w:rFonts w:hAnsi="宋体"/>
          <w:color w:val="000000"/>
          <w:szCs w:val="24"/>
        </w:rPr>
        <w:t>经厂内</w:t>
      </w:r>
      <w:r>
        <w:rPr>
          <w:rFonts w:hint="eastAsia" w:hAnsi="宋体"/>
          <w:color w:val="000000"/>
          <w:szCs w:val="24"/>
        </w:rPr>
        <w:t>污水处理站</w:t>
      </w:r>
      <w:r>
        <w:rPr>
          <w:rFonts w:hAnsi="宋体"/>
          <w:color w:val="000000"/>
          <w:szCs w:val="24"/>
        </w:rPr>
        <w:t>处理后</w:t>
      </w:r>
      <w:r>
        <w:rPr>
          <w:rFonts w:hint="eastAsia" w:hAnsi="宋体"/>
          <w:color w:val="000000"/>
          <w:szCs w:val="24"/>
        </w:rPr>
        <w:t>通</w:t>
      </w:r>
      <w:r>
        <w:rPr>
          <w:rFonts w:hint="eastAsia" w:hAnsi="宋体"/>
          <w:color w:val="000000"/>
          <w:szCs w:val="24"/>
          <w:lang w:eastAsia="zh-CN"/>
        </w:rPr>
        <w:t>过管道输送至项目配套农田</w:t>
      </w:r>
      <w:r>
        <w:rPr>
          <w:rFonts w:hint="eastAsia" w:hAnsi="宋体"/>
          <w:color w:val="000000"/>
          <w:szCs w:val="24"/>
        </w:rPr>
        <w:t>作为</w:t>
      </w:r>
      <w:r>
        <w:rPr>
          <w:rFonts w:hAnsi="宋体"/>
          <w:color w:val="000000"/>
          <w:szCs w:val="24"/>
        </w:rPr>
        <w:t>灌溉</w:t>
      </w:r>
      <w:r>
        <w:rPr>
          <w:rFonts w:hint="eastAsia" w:hAnsi="宋体"/>
          <w:color w:val="000000"/>
          <w:szCs w:val="24"/>
        </w:rPr>
        <w:t>用水</w:t>
      </w:r>
      <w:r>
        <w:rPr>
          <w:rFonts w:hint="eastAsia"/>
        </w:rPr>
        <w:t>，废水不外排，能做到废水产纳平衡，符合《畜禽养殖业污染防治技术规范》中“畜禽养殖过程中产生的污水应坚持种养结合的原则，经无害化处理后尽量充分还田，实现污水资源化利用”的要求，以及“污水作为灌溉用水排入农田前，必须采取有效措施进行净化处理，并须符合《农田灌溉水质标准》的要求”。</w:t>
      </w:r>
    </w:p>
    <w:p w14:paraId="16DC9CDC">
      <w:pPr>
        <w:pStyle w:val="7"/>
        <w:pageBreakBefore w:val="0"/>
        <w:kinsoku/>
        <w:wordWrap/>
        <w:overflowPunct/>
        <w:topLinePunct w:val="0"/>
        <w:autoSpaceDE/>
        <w:autoSpaceDN/>
        <w:bidi w:val="0"/>
        <w:adjustRightInd/>
        <w:snapToGrid/>
        <w:spacing w:line="480" w:lineRule="exact"/>
        <w:textAlignment w:val="auto"/>
      </w:pPr>
      <w:r>
        <w:rPr>
          <w:rFonts w:hint="eastAsia"/>
        </w:rPr>
        <w:t>5.3.2污水处理站出水作为灌溉用水的可行性分析</w:t>
      </w:r>
    </w:p>
    <w:p w14:paraId="3E5866B2">
      <w:pPr>
        <w:pageBreakBefore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cs="Times New Roman"/>
          <w:szCs w:val="24"/>
        </w:rPr>
      </w:pPr>
      <w:r>
        <w:rPr>
          <w:rFonts w:hint="eastAsia"/>
          <w:szCs w:val="24"/>
        </w:rPr>
        <w:t>本</w:t>
      </w:r>
      <w:r>
        <w:rPr>
          <w:szCs w:val="24"/>
        </w:rPr>
        <w:t>项目排放</w:t>
      </w:r>
      <w:r>
        <w:rPr>
          <w:rFonts w:hint="eastAsia"/>
          <w:szCs w:val="24"/>
        </w:rPr>
        <w:t>的</w:t>
      </w:r>
      <w:r>
        <w:rPr>
          <w:szCs w:val="24"/>
        </w:rPr>
        <w:t>污水主要是</w:t>
      </w:r>
      <w:r>
        <w:rPr>
          <w:rFonts w:hint="eastAsia"/>
          <w:szCs w:val="24"/>
        </w:rPr>
        <w:t>鸡舍冲洗废水</w:t>
      </w:r>
      <w:r>
        <w:rPr>
          <w:szCs w:val="24"/>
        </w:rPr>
        <w:t>、</w:t>
      </w:r>
      <w:r>
        <w:rPr>
          <w:rFonts w:hint="eastAsia"/>
          <w:szCs w:val="24"/>
        </w:rPr>
        <w:t>初期雨水、喷淋废水及</w:t>
      </w:r>
      <w:r>
        <w:rPr>
          <w:szCs w:val="24"/>
        </w:rPr>
        <w:t>生活污水，经处理后无有毒有害物质，排放的污水中不仅含有一定的氮、磷、钾等元素，而且还含有钙、镁、锰等多种微量元素，对</w:t>
      </w:r>
      <w:r>
        <w:rPr>
          <w:rFonts w:hint="eastAsia"/>
          <w:szCs w:val="24"/>
        </w:rPr>
        <w:t>农作物</w:t>
      </w:r>
      <w:r>
        <w:rPr>
          <w:szCs w:val="24"/>
        </w:rPr>
        <w:t>的生长是有利的。将经处理后</w:t>
      </w:r>
      <w:r>
        <w:rPr>
          <w:rFonts w:hint="eastAsia"/>
          <w:szCs w:val="24"/>
        </w:rPr>
        <w:t>的污水</w:t>
      </w:r>
      <w:r>
        <w:rPr>
          <w:szCs w:val="24"/>
        </w:rPr>
        <w:t>用于</w:t>
      </w:r>
      <w:r>
        <w:rPr>
          <w:rFonts w:hint="eastAsia"/>
          <w:szCs w:val="24"/>
        </w:rPr>
        <w:t>农田</w:t>
      </w:r>
      <w:r>
        <w:rPr>
          <w:szCs w:val="24"/>
        </w:rPr>
        <w:t>灌溉，可以节省大量化肥，提高作物产量，还可以改善土壤的物理化学性质，提高土壤肥力，有利于农作物的生长，节约水资源，减少污染物排放量，为</w:t>
      </w:r>
      <w:r>
        <w:rPr>
          <w:rFonts w:hint="eastAsia"/>
          <w:szCs w:val="24"/>
        </w:rPr>
        <w:t>“</w:t>
      </w:r>
      <w:r>
        <w:rPr>
          <w:szCs w:val="24"/>
        </w:rPr>
        <w:t>一举两得</w:t>
      </w:r>
      <w:r>
        <w:rPr>
          <w:rFonts w:hint="eastAsia"/>
          <w:szCs w:val="24"/>
        </w:rPr>
        <w:t>”</w:t>
      </w:r>
      <w:r>
        <w:rPr>
          <w:szCs w:val="24"/>
        </w:rPr>
        <w:t>的措施。</w:t>
      </w:r>
      <w:r>
        <w:rPr>
          <w:rFonts w:ascii="Times New Roman" w:hAnsi="Times New Roman" w:cs="Times New Roman"/>
          <w:szCs w:val="24"/>
        </w:rPr>
        <w:t>下面将从以下几个方面对污水处理</w:t>
      </w:r>
      <w:r>
        <w:rPr>
          <w:rFonts w:hint="eastAsia" w:ascii="Times New Roman" w:hAnsi="Times New Roman" w:cs="Times New Roman"/>
          <w:szCs w:val="24"/>
        </w:rPr>
        <w:t>系统</w:t>
      </w:r>
      <w:r>
        <w:rPr>
          <w:rFonts w:ascii="Times New Roman" w:hAnsi="Times New Roman" w:cs="Times New Roman"/>
          <w:szCs w:val="24"/>
        </w:rPr>
        <w:t>尾水</w:t>
      </w:r>
      <w:r>
        <w:rPr>
          <w:rFonts w:hint="eastAsia" w:ascii="Times New Roman" w:hAnsi="Times New Roman" w:cs="Times New Roman"/>
          <w:szCs w:val="24"/>
        </w:rPr>
        <w:t>用于农田</w:t>
      </w:r>
      <w:r>
        <w:rPr>
          <w:rFonts w:ascii="Times New Roman" w:hAnsi="Times New Roman" w:cs="Times New Roman"/>
          <w:szCs w:val="24"/>
        </w:rPr>
        <w:t>灌溉进行分析：</w:t>
      </w:r>
    </w:p>
    <w:p w14:paraId="2575FD98">
      <w:pPr>
        <w:pageBreakBefore w:val="0"/>
        <w:widowControl w:val="0"/>
        <w:numPr>
          <w:ilvl w:val="0"/>
          <w:numId w:val="9"/>
        </w:numPr>
        <w:kinsoku/>
        <w:wordWrap/>
        <w:overflowPunct/>
        <w:topLinePunct w:val="0"/>
        <w:autoSpaceDE/>
        <w:autoSpaceDN/>
        <w:bidi w:val="0"/>
        <w:snapToGrid/>
        <w:spacing w:line="500" w:lineRule="exact"/>
        <w:ind w:firstLine="480" w:firstLineChars="200"/>
        <w:textAlignment w:val="auto"/>
        <w:outlineLvl w:val="1"/>
        <w:rPr>
          <w:rFonts w:ascii="Times New Roman" w:hAnsi="Times New Roman" w:cs="Times New Roman"/>
          <w:szCs w:val="24"/>
        </w:rPr>
      </w:pPr>
      <w:bookmarkStart w:id="111" w:name="_Toc5018"/>
      <w:bookmarkStart w:id="112" w:name="_Toc14843"/>
      <w:bookmarkStart w:id="113" w:name="_Toc6643"/>
      <w:bookmarkStart w:id="114" w:name="_Toc13284"/>
      <w:r>
        <w:rPr>
          <w:rFonts w:hint="eastAsia" w:ascii="Times New Roman" w:hAnsi="Times New Roman" w:cs="Times New Roman"/>
          <w:szCs w:val="24"/>
        </w:rPr>
        <w:t>尾水</w:t>
      </w:r>
      <w:r>
        <w:rPr>
          <w:rFonts w:ascii="Times New Roman" w:hAnsi="Times New Roman" w:cs="Times New Roman"/>
          <w:szCs w:val="24"/>
        </w:rPr>
        <w:t>受纳</w:t>
      </w:r>
      <w:r>
        <w:rPr>
          <w:rFonts w:hint="eastAsia" w:ascii="Times New Roman" w:hAnsi="Times New Roman" w:cs="Times New Roman"/>
          <w:szCs w:val="24"/>
        </w:rPr>
        <w:t>可行</w:t>
      </w:r>
      <w:r>
        <w:rPr>
          <w:rFonts w:ascii="Times New Roman" w:hAnsi="Times New Roman" w:cs="Times New Roman"/>
          <w:szCs w:val="24"/>
        </w:rPr>
        <w:t>性分析</w:t>
      </w:r>
      <w:bookmarkEnd w:id="111"/>
      <w:bookmarkEnd w:id="112"/>
      <w:bookmarkEnd w:id="113"/>
      <w:bookmarkEnd w:id="114"/>
    </w:p>
    <w:p w14:paraId="4D292FD7">
      <w:pPr>
        <w:pStyle w:val="2"/>
        <w:widowControl w:val="0"/>
        <w:numPr>
          <w:numId w:val="0"/>
        </w:numPr>
        <w:autoSpaceDE w:val="0"/>
        <w:autoSpaceDN w:val="0"/>
        <w:spacing w:after="120" w:line="240" w:lineRule="auto"/>
        <w:jc w:val="left"/>
      </w:pPr>
    </w:p>
    <w:p w14:paraId="79DB6444"/>
    <w:p w14:paraId="199A1073">
      <w:pPr>
        <w:pStyle w:val="2"/>
      </w:pPr>
    </w:p>
    <w:p w14:paraId="4D903625">
      <w:pPr>
        <w:pStyle w:val="7"/>
        <w:pageBreakBefore w:val="0"/>
        <w:widowControl w:val="0"/>
        <w:kinsoku/>
        <w:wordWrap/>
        <w:overflowPunct/>
        <w:topLinePunct w:val="0"/>
        <w:autoSpaceDE/>
        <w:autoSpaceDN/>
        <w:bidi w:val="0"/>
        <w:snapToGrid/>
        <w:spacing w:line="480" w:lineRule="exact"/>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以下内容涉密</w:t>
      </w:r>
    </w:p>
    <w:p w14:paraId="43372FE5">
      <w:pPr>
        <w:rPr>
          <w:rFonts w:hint="eastAsia" w:ascii="Times New Roman" w:hAnsi="Times New Roman" w:cs="Times New Roman"/>
          <w:sz w:val="24"/>
          <w:szCs w:val="24"/>
          <w:lang w:val="en-US" w:eastAsia="zh-CN"/>
        </w:rPr>
      </w:pPr>
    </w:p>
    <w:p w14:paraId="4197CE51">
      <w:pPr>
        <w:pStyle w:val="2"/>
        <w:rPr>
          <w:rFonts w:hint="eastAsia" w:ascii="Times New Roman" w:hAnsi="Times New Roman" w:cs="Times New Roman"/>
          <w:sz w:val="24"/>
          <w:szCs w:val="24"/>
          <w:lang w:val="en-US" w:eastAsia="zh-CN"/>
        </w:rPr>
      </w:pPr>
    </w:p>
    <w:p w14:paraId="2CF2F944">
      <w:pPr>
        <w:rPr>
          <w:rFonts w:hint="eastAsia" w:ascii="Times New Roman" w:hAnsi="Times New Roman" w:cs="Times New Roman"/>
          <w:sz w:val="24"/>
          <w:szCs w:val="24"/>
          <w:lang w:val="en-US" w:eastAsia="zh-CN"/>
        </w:rPr>
      </w:pPr>
    </w:p>
    <w:p w14:paraId="038CC6AA">
      <w:pPr>
        <w:pStyle w:val="2"/>
        <w:rPr>
          <w:rFonts w:hint="eastAsia" w:ascii="Times New Roman" w:hAnsi="Times New Roman" w:cs="Times New Roman"/>
          <w:sz w:val="24"/>
          <w:szCs w:val="24"/>
          <w:lang w:val="en-US" w:eastAsia="zh-CN"/>
        </w:rPr>
      </w:pPr>
    </w:p>
    <w:p w14:paraId="4F8FF4CC">
      <w:pPr>
        <w:rPr>
          <w:rFonts w:hint="eastAsia" w:ascii="Times New Roman" w:hAnsi="Times New Roman" w:cs="Times New Roman"/>
          <w:sz w:val="24"/>
          <w:szCs w:val="24"/>
          <w:lang w:val="en-US" w:eastAsia="zh-CN"/>
        </w:rPr>
      </w:pPr>
    </w:p>
    <w:p w14:paraId="251F3788">
      <w:pPr>
        <w:pStyle w:val="2"/>
        <w:rPr>
          <w:rFonts w:hint="eastAsia" w:ascii="Times New Roman" w:hAnsi="Times New Roman" w:cs="Times New Roman"/>
          <w:sz w:val="24"/>
          <w:szCs w:val="24"/>
          <w:lang w:val="en-US" w:eastAsia="zh-CN"/>
        </w:rPr>
      </w:pPr>
    </w:p>
    <w:p w14:paraId="6FC3FB20">
      <w:pPr>
        <w:rPr>
          <w:rFonts w:hint="eastAsia" w:ascii="Times New Roman" w:hAnsi="Times New Roman" w:cs="Times New Roman"/>
          <w:sz w:val="24"/>
          <w:szCs w:val="24"/>
          <w:lang w:val="en-US" w:eastAsia="zh-CN"/>
        </w:rPr>
      </w:pPr>
    </w:p>
    <w:p w14:paraId="70C900CF">
      <w:pPr>
        <w:pStyle w:val="2"/>
        <w:rPr>
          <w:rFonts w:hint="eastAsia" w:ascii="Times New Roman" w:hAnsi="Times New Roman" w:cs="Times New Roman"/>
          <w:sz w:val="24"/>
          <w:szCs w:val="24"/>
          <w:lang w:val="en-US" w:eastAsia="zh-CN"/>
        </w:rPr>
      </w:pPr>
    </w:p>
    <w:p w14:paraId="48BC9504">
      <w:pPr>
        <w:rPr>
          <w:rFonts w:hint="eastAsia" w:ascii="Times New Roman" w:hAnsi="Times New Roman" w:cs="Times New Roman"/>
          <w:sz w:val="24"/>
          <w:szCs w:val="24"/>
          <w:lang w:val="en-US" w:eastAsia="zh-CN"/>
        </w:rPr>
      </w:pPr>
    </w:p>
    <w:p w14:paraId="2AED1257">
      <w:pPr>
        <w:pStyle w:val="2"/>
        <w:rPr>
          <w:rFonts w:hint="eastAsia" w:ascii="Times New Roman" w:hAnsi="Times New Roman" w:cs="Times New Roman"/>
          <w:sz w:val="24"/>
          <w:szCs w:val="24"/>
          <w:lang w:val="en-US" w:eastAsia="zh-CN"/>
        </w:rPr>
      </w:pPr>
    </w:p>
    <w:p w14:paraId="4617D768">
      <w:pPr>
        <w:rPr>
          <w:rFonts w:hint="eastAsia" w:ascii="Times New Roman" w:hAnsi="Times New Roman" w:cs="Times New Roman"/>
          <w:sz w:val="24"/>
          <w:szCs w:val="24"/>
          <w:lang w:val="en-US" w:eastAsia="zh-CN"/>
        </w:rPr>
      </w:pPr>
    </w:p>
    <w:p w14:paraId="030C6468">
      <w:pPr>
        <w:pStyle w:val="2"/>
        <w:rPr>
          <w:rFonts w:hint="eastAsia" w:ascii="Times New Roman" w:hAnsi="Times New Roman" w:cs="Times New Roman"/>
          <w:sz w:val="24"/>
          <w:szCs w:val="24"/>
          <w:lang w:val="en-US" w:eastAsia="zh-CN"/>
        </w:rPr>
      </w:pPr>
    </w:p>
    <w:p w14:paraId="139037A2">
      <w:pPr>
        <w:rPr>
          <w:rFonts w:hint="eastAsia" w:ascii="Times New Roman" w:hAnsi="Times New Roman" w:cs="Times New Roman"/>
          <w:sz w:val="24"/>
          <w:szCs w:val="24"/>
          <w:lang w:val="en-US" w:eastAsia="zh-CN"/>
        </w:rPr>
      </w:pPr>
    </w:p>
    <w:p w14:paraId="3D49B051">
      <w:pPr>
        <w:pStyle w:val="2"/>
        <w:rPr>
          <w:rFonts w:hint="eastAsia" w:ascii="Times New Roman" w:hAnsi="Times New Roman" w:cs="Times New Roman"/>
          <w:sz w:val="24"/>
          <w:szCs w:val="24"/>
          <w:lang w:val="en-US" w:eastAsia="zh-CN"/>
        </w:rPr>
      </w:pPr>
    </w:p>
    <w:p w14:paraId="5E698188">
      <w:pPr>
        <w:rPr>
          <w:rFonts w:hint="eastAsia" w:ascii="Times New Roman" w:hAnsi="Times New Roman" w:cs="Times New Roman"/>
          <w:sz w:val="24"/>
          <w:szCs w:val="24"/>
          <w:lang w:val="en-US" w:eastAsia="zh-CN"/>
        </w:rPr>
      </w:pPr>
    </w:p>
    <w:p w14:paraId="179DEC82">
      <w:pPr>
        <w:pStyle w:val="2"/>
        <w:rPr>
          <w:rFonts w:hint="eastAsia" w:ascii="Times New Roman" w:hAnsi="Times New Roman" w:cs="Times New Roman"/>
          <w:sz w:val="24"/>
          <w:szCs w:val="24"/>
          <w:lang w:val="en-US" w:eastAsia="zh-CN"/>
        </w:rPr>
      </w:pPr>
    </w:p>
    <w:p w14:paraId="49403AA3">
      <w:pPr>
        <w:rPr>
          <w:rFonts w:hint="eastAsia" w:ascii="Times New Roman" w:hAnsi="Times New Roman" w:cs="Times New Roman"/>
          <w:sz w:val="24"/>
          <w:szCs w:val="24"/>
          <w:lang w:val="en-US" w:eastAsia="zh-CN"/>
        </w:rPr>
      </w:pPr>
    </w:p>
    <w:p w14:paraId="64AB60BA">
      <w:pPr>
        <w:pStyle w:val="2"/>
        <w:rPr>
          <w:rFonts w:hint="eastAsia" w:ascii="Times New Roman" w:hAnsi="Times New Roman" w:cs="Times New Roman"/>
          <w:sz w:val="24"/>
          <w:szCs w:val="24"/>
          <w:lang w:val="en-US" w:eastAsia="zh-CN"/>
        </w:rPr>
      </w:pPr>
    </w:p>
    <w:p w14:paraId="6D3AF928">
      <w:pPr>
        <w:rPr>
          <w:rFonts w:hint="eastAsia" w:ascii="Times New Roman" w:hAnsi="Times New Roman" w:cs="Times New Roman"/>
          <w:sz w:val="24"/>
          <w:szCs w:val="24"/>
          <w:lang w:val="en-US" w:eastAsia="zh-CN"/>
        </w:rPr>
      </w:pPr>
    </w:p>
    <w:p w14:paraId="01E523F5">
      <w:pPr>
        <w:pStyle w:val="2"/>
        <w:rPr>
          <w:rFonts w:hint="eastAsia" w:ascii="Times New Roman" w:hAnsi="Times New Roman" w:cs="Times New Roman"/>
          <w:sz w:val="24"/>
          <w:szCs w:val="24"/>
          <w:lang w:val="en-US" w:eastAsia="zh-CN"/>
        </w:rPr>
      </w:pPr>
    </w:p>
    <w:p w14:paraId="268AC9D4">
      <w:pPr>
        <w:rPr>
          <w:rFonts w:hint="eastAsia" w:ascii="Times New Roman" w:hAnsi="Times New Roman" w:cs="Times New Roman"/>
          <w:sz w:val="24"/>
          <w:szCs w:val="24"/>
          <w:lang w:val="en-US" w:eastAsia="zh-CN"/>
        </w:rPr>
      </w:pPr>
    </w:p>
    <w:p w14:paraId="2EC54736">
      <w:pPr>
        <w:pStyle w:val="2"/>
        <w:rPr>
          <w:rFonts w:hint="eastAsia"/>
          <w:lang w:val="en-US" w:eastAsia="zh-CN"/>
        </w:rPr>
      </w:pPr>
    </w:p>
    <w:p w14:paraId="68F15905">
      <w:pPr>
        <w:pStyle w:val="7"/>
        <w:pageBreakBefore w:val="0"/>
        <w:widowControl w:val="0"/>
        <w:kinsoku/>
        <w:wordWrap/>
        <w:overflowPunct/>
        <w:topLinePunct w:val="0"/>
        <w:autoSpaceDE/>
        <w:autoSpaceDN/>
        <w:bidi w:val="0"/>
        <w:snapToGrid/>
        <w:spacing w:line="480" w:lineRule="exact"/>
        <w:textAlignment w:val="auto"/>
      </w:pPr>
      <w:r>
        <w:rPr>
          <w:rFonts w:hint="eastAsia"/>
        </w:rPr>
        <w:t>5.3.3地表水环境影响评价自查表</w:t>
      </w:r>
    </w:p>
    <w:p w14:paraId="246B5C75">
      <w:pPr>
        <w:pageBreakBefore w:val="0"/>
        <w:widowControl w:val="0"/>
        <w:kinsoku/>
        <w:wordWrap/>
        <w:overflowPunct/>
        <w:topLinePunct w:val="0"/>
        <w:autoSpaceDE/>
        <w:autoSpaceDN/>
        <w:bidi w:val="0"/>
        <w:snapToGrid/>
        <w:spacing w:line="480" w:lineRule="exact"/>
        <w:ind w:firstLine="480" w:firstLineChars="200"/>
        <w:textAlignment w:val="auto"/>
        <w:rPr>
          <w:rFonts w:ascii="Times New Roman" w:hAnsi="Times New Roman" w:cs="Times New Roman"/>
        </w:rPr>
      </w:pPr>
      <w:r>
        <w:rPr>
          <w:rFonts w:hint="eastAsia" w:ascii="Times New Roman" w:hAnsi="Times New Roman" w:cs="Times New Roman"/>
          <w:szCs w:val="24"/>
        </w:rPr>
        <w:t>项目地表水环境影响评价自查表见5.3-1表。</w:t>
      </w:r>
    </w:p>
    <w:p w14:paraId="0FB2AAF9">
      <w:pPr>
        <w:pageBreakBefore w:val="0"/>
        <w:widowControl w:val="0"/>
        <w:kinsoku/>
        <w:wordWrap/>
        <w:overflowPunct/>
        <w:topLinePunct w:val="0"/>
        <w:autoSpaceDE/>
        <w:autoSpaceDN/>
        <w:bidi w:val="0"/>
        <w:snapToGrid/>
        <w:spacing w:line="440" w:lineRule="exact"/>
        <w:jc w:val="center"/>
        <w:textAlignment w:val="auto"/>
        <w:rPr>
          <w:rFonts w:ascii="Times New Roman" w:hAnsi="Times New Roman" w:cs="Times New Roman"/>
          <w:b/>
          <w:bCs/>
          <w:szCs w:val="24"/>
        </w:rPr>
      </w:pPr>
      <w:r>
        <w:rPr>
          <w:rFonts w:hint="eastAsia" w:ascii="Times New Roman" w:hAnsi="Times New Roman" w:cs="Times New Roman"/>
          <w:b/>
          <w:bCs/>
          <w:szCs w:val="24"/>
        </w:rPr>
        <w:t>表</w:t>
      </w:r>
      <w:r>
        <w:rPr>
          <w:rFonts w:ascii="Times New Roman" w:hAnsi="Times New Roman" w:cs="Times New Roman"/>
          <w:b/>
          <w:bCs/>
          <w:szCs w:val="24"/>
        </w:rPr>
        <w:t>5.</w:t>
      </w:r>
      <w:r>
        <w:rPr>
          <w:rFonts w:hint="eastAsia" w:ascii="Times New Roman" w:hAnsi="Times New Roman" w:cs="Times New Roman"/>
          <w:b/>
          <w:bCs/>
          <w:szCs w:val="24"/>
        </w:rPr>
        <w:t>3</w:t>
      </w:r>
      <w:r>
        <w:rPr>
          <w:rFonts w:ascii="Times New Roman" w:hAnsi="Times New Roman" w:cs="Times New Roman"/>
          <w:b/>
          <w:bCs/>
          <w:szCs w:val="24"/>
        </w:rPr>
        <w:t xml:space="preserve">-1   </w:t>
      </w:r>
      <w:r>
        <w:rPr>
          <w:rFonts w:hint="eastAsia" w:ascii="Times New Roman" w:hAnsi="Times New Roman" w:cs="Times New Roman"/>
          <w:b/>
          <w:bCs/>
          <w:szCs w:val="24"/>
        </w:rPr>
        <w:t>地表水环境影响评价自查表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1435"/>
        <w:gridCol w:w="1191"/>
        <w:gridCol w:w="396"/>
        <w:gridCol w:w="528"/>
        <w:gridCol w:w="504"/>
        <w:gridCol w:w="685"/>
        <w:gridCol w:w="418"/>
        <w:gridCol w:w="206"/>
        <w:gridCol w:w="481"/>
        <w:gridCol w:w="650"/>
        <w:gridCol w:w="139"/>
        <w:gridCol w:w="642"/>
        <w:gridCol w:w="992"/>
      </w:tblGrid>
      <w:tr w14:paraId="4CB4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pct"/>
            <w:gridSpan w:val="2"/>
            <w:tcBorders>
              <w:top w:val="single" w:color="auto" w:sz="12" w:space="0"/>
              <w:left w:val="nil"/>
              <w:bottom w:val="single" w:color="auto" w:sz="4" w:space="0"/>
              <w:right w:val="single" w:color="auto" w:sz="4" w:space="0"/>
            </w:tcBorders>
            <w:vAlign w:val="center"/>
          </w:tcPr>
          <w:p w14:paraId="4614A4C2">
            <w:pPr>
              <w:keepNext w:val="0"/>
              <w:keepLines w:val="0"/>
              <w:pageBreakBefore w:val="0"/>
              <w:widowControl w:val="0"/>
              <w:kinsoku/>
              <w:wordWrap/>
              <w:overflowPunct/>
              <w:topLinePunct w:val="0"/>
              <w:autoSpaceDE/>
              <w:autoSpaceDN/>
              <w:bidi w:val="0"/>
              <w:adjustRightInd w:val="0"/>
              <w:snapToGrid/>
              <w:spacing w:line="26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工作内容</w:t>
            </w:r>
          </w:p>
        </w:tc>
        <w:tc>
          <w:tcPr>
            <w:tcW w:w="3918" w:type="pct"/>
            <w:gridSpan w:val="12"/>
            <w:tcBorders>
              <w:top w:val="single" w:color="auto" w:sz="12" w:space="0"/>
              <w:left w:val="nil"/>
              <w:bottom w:val="single" w:color="auto" w:sz="4" w:space="0"/>
              <w:right w:val="nil"/>
            </w:tcBorders>
            <w:vAlign w:val="center"/>
          </w:tcPr>
          <w:p w14:paraId="2FB64EE7">
            <w:pPr>
              <w:keepNext w:val="0"/>
              <w:keepLines w:val="0"/>
              <w:pageBreakBefore w:val="0"/>
              <w:widowControl w:val="0"/>
              <w:kinsoku/>
              <w:wordWrap/>
              <w:overflowPunct/>
              <w:topLinePunct w:val="0"/>
              <w:autoSpaceDE/>
              <w:autoSpaceDN/>
              <w:bidi w:val="0"/>
              <w:adjustRightInd w:val="0"/>
              <w:snapToGrid/>
              <w:spacing w:line="26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自查项目</w:t>
            </w:r>
          </w:p>
        </w:tc>
      </w:tr>
      <w:tr w14:paraId="5673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restart"/>
            <w:tcBorders>
              <w:top w:val="nil"/>
              <w:left w:val="nil"/>
              <w:bottom w:val="single" w:color="auto" w:sz="4" w:space="0"/>
              <w:right w:val="single" w:color="auto" w:sz="4" w:space="0"/>
            </w:tcBorders>
            <w:vAlign w:val="center"/>
          </w:tcPr>
          <w:p w14:paraId="2E480E6B">
            <w:pPr>
              <w:keepNext w:val="0"/>
              <w:keepLines w:val="0"/>
              <w:pageBreakBefore w:val="0"/>
              <w:widowControl w:val="0"/>
              <w:kinsoku/>
              <w:wordWrap/>
              <w:overflowPunct/>
              <w:topLinePunct w:val="0"/>
              <w:autoSpaceDE/>
              <w:autoSpaceDN/>
              <w:bidi w:val="0"/>
              <w:adjustRightInd w:val="0"/>
              <w:snapToGrid/>
              <w:spacing w:line="26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影响识别</w:t>
            </w:r>
          </w:p>
        </w:tc>
        <w:tc>
          <w:tcPr>
            <w:tcW w:w="823" w:type="pct"/>
            <w:tcBorders>
              <w:top w:val="single" w:color="auto" w:sz="4" w:space="0"/>
              <w:left w:val="nil"/>
              <w:bottom w:val="single" w:color="auto" w:sz="4" w:space="0"/>
              <w:right w:val="single" w:color="auto" w:sz="4" w:space="0"/>
            </w:tcBorders>
            <w:vAlign w:val="center"/>
          </w:tcPr>
          <w:p w14:paraId="2DFF09F5">
            <w:pPr>
              <w:keepNext w:val="0"/>
              <w:keepLines w:val="0"/>
              <w:pageBreakBefore w:val="0"/>
              <w:widowControl w:val="0"/>
              <w:kinsoku/>
              <w:wordWrap/>
              <w:overflowPunct/>
              <w:topLinePunct w:val="0"/>
              <w:autoSpaceDE/>
              <w:autoSpaceDN/>
              <w:bidi w:val="0"/>
              <w:adjustRightInd w:val="0"/>
              <w:snapToGrid/>
              <w:spacing w:line="26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影响类型</w:t>
            </w:r>
          </w:p>
        </w:tc>
        <w:tc>
          <w:tcPr>
            <w:tcW w:w="3918" w:type="pct"/>
            <w:gridSpan w:val="12"/>
            <w:tcBorders>
              <w:top w:val="single" w:color="auto" w:sz="4" w:space="0"/>
              <w:left w:val="nil"/>
              <w:bottom w:val="single" w:color="auto" w:sz="4" w:space="0"/>
              <w:right w:val="nil"/>
            </w:tcBorders>
            <w:vAlign w:val="center"/>
          </w:tcPr>
          <w:p w14:paraId="6E867602">
            <w:pPr>
              <w:keepNext w:val="0"/>
              <w:keepLines w:val="0"/>
              <w:pageBreakBefore w:val="0"/>
              <w:widowControl w:val="0"/>
              <w:kinsoku/>
              <w:wordWrap/>
              <w:overflowPunct/>
              <w:topLinePunct w:val="0"/>
              <w:autoSpaceDE/>
              <w:autoSpaceDN/>
              <w:bidi w:val="0"/>
              <w:adjustRightInd w:val="0"/>
              <w:snapToGrid/>
              <w:spacing w:line="26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水污染影响型</w:t>
            </w:r>
            <w:r>
              <w:rPr>
                <w:color w:val="000000"/>
                <w:szCs w:val="21"/>
              </w:rPr>
              <w:sym w:font="Wingdings 2" w:char="F052"/>
            </w:r>
            <w:r>
              <w:rPr>
                <w:rFonts w:hint="eastAsia" w:ascii="Times New Roman" w:hAnsi="Times New Roman" w:cs="Times New Roman"/>
                <w:sz w:val="21"/>
                <w:szCs w:val="21"/>
              </w:rPr>
              <w:t>；水文要素影响型</w:t>
            </w:r>
            <w:r>
              <w:rPr>
                <w:rFonts w:ascii="Times New Roman" w:hAnsi="Times New Roman" w:cs="Times New Roman"/>
                <w:sz w:val="21"/>
                <w:szCs w:val="21"/>
              </w:rPr>
              <w:t>□</w:t>
            </w:r>
          </w:p>
        </w:tc>
      </w:tr>
      <w:tr w14:paraId="2926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0371AF2D">
            <w:pPr>
              <w:keepNext w:val="0"/>
              <w:keepLines w:val="0"/>
              <w:pageBreakBefore w:val="0"/>
              <w:widowControl w:val="0"/>
              <w:kinsoku/>
              <w:wordWrap/>
              <w:overflowPunct/>
              <w:topLinePunct w:val="0"/>
              <w:autoSpaceDE/>
              <w:autoSpaceDN/>
              <w:bidi w:val="0"/>
              <w:snapToGrid/>
              <w:spacing w:line="260" w:lineRule="exact"/>
              <w:jc w:val="center"/>
              <w:textAlignment w:val="auto"/>
              <w:rPr>
                <w:rFonts w:ascii="Times New Roman" w:hAnsi="Times New Roman" w:cs="Times New Roman"/>
                <w:sz w:val="21"/>
                <w:szCs w:val="21"/>
              </w:rPr>
            </w:pPr>
          </w:p>
        </w:tc>
        <w:tc>
          <w:tcPr>
            <w:tcW w:w="823" w:type="pct"/>
            <w:tcBorders>
              <w:top w:val="single" w:color="auto" w:sz="4" w:space="0"/>
              <w:left w:val="nil"/>
              <w:bottom w:val="single" w:color="auto" w:sz="4" w:space="0"/>
              <w:right w:val="single" w:color="auto" w:sz="4" w:space="0"/>
            </w:tcBorders>
            <w:vAlign w:val="center"/>
          </w:tcPr>
          <w:p w14:paraId="7E272B0A">
            <w:pPr>
              <w:keepNext w:val="0"/>
              <w:keepLines w:val="0"/>
              <w:pageBreakBefore w:val="0"/>
              <w:widowControl w:val="0"/>
              <w:kinsoku/>
              <w:wordWrap/>
              <w:overflowPunct/>
              <w:topLinePunct w:val="0"/>
              <w:autoSpaceDE/>
              <w:autoSpaceDN/>
              <w:bidi w:val="0"/>
              <w:adjustRightInd w:val="0"/>
              <w:snapToGrid/>
              <w:spacing w:line="26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水环境保护目标</w:t>
            </w:r>
          </w:p>
        </w:tc>
        <w:tc>
          <w:tcPr>
            <w:tcW w:w="3918" w:type="pct"/>
            <w:gridSpan w:val="12"/>
            <w:tcBorders>
              <w:top w:val="single" w:color="auto" w:sz="4" w:space="0"/>
              <w:left w:val="nil"/>
              <w:bottom w:val="single" w:color="auto" w:sz="4" w:space="0"/>
              <w:right w:val="nil"/>
            </w:tcBorders>
            <w:vAlign w:val="center"/>
          </w:tcPr>
          <w:p w14:paraId="4603667F">
            <w:pPr>
              <w:keepNext w:val="0"/>
              <w:keepLines w:val="0"/>
              <w:pageBreakBefore w:val="0"/>
              <w:widowControl w:val="0"/>
              <w:kinsoku/>
              <w:wordWrap/>
              <w:overflowPunct/>
              <w:topLinePunct w:val="0"/>
              <w:autoSpaceDE/>
              <w:autoSpaceDN/>
              <w:bidi w:val="0"/>
              <w:adjustRightInd w:val="0"/>
              <w:snapToGrid/>
              <w:spacing w:line="26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饮用水水源保护区</w:t>
            </w:r>
            <w:r>
              <w:rPr>
                <w:rFonts w:ascii="Times New Roman" w:hAnsi="Times New Roman" w:cs="Times New Roman"/>
                <w:sz w:val="21"/>
                <w:szCs w:val="21"/>
              </w:rPr>
              <w:t>□</w:t>
            </w:r>
            <w:r>
              <w:rPr>
                <w:rFonts w:hint="eastAsia" w:ascii="Times New Roman" w:hAnsi="Times New Roman" w:cs="Times New Roman"/>
                <w:sz w:val="21"/>
                <w:szCs w:val="21"/>
              </w:rPr>
              <w:t>；饮用水取水口；涉水的自然保护区</w:t>
            </w:r>
            <w:r>
              <w:rPr>
                <w:rFonts w:ascii="Times New Roman" w:hAnsi="Times New Roman" w:cs="Times New Roman"/>
                <w:sz w:val="21"/>
                <w:szCs w:val="21"/>
              </w:rPr>
              <w:t>□</w:t>
            </w:r>
            <w:r>
              <w:rPr>
                <w:rFonts w:hint="eastAsia" w:ascii="Times New Roman" w:hAnsi="Times New Roman" w:cs="Times New Roman"/>
                <w:sz w:val="21"/>
                <w:szCs w:val="21"/>
              </w:rPr>
              <w:t>；重要湿地；</w:t>
            </w:r>
          </w:p>
          <w:p w14:paraId="0FCFBAE3">
            <w:pPr>
              <w:keepNext w:val="0"/>
              <w:keepLines w:val="0"/>
              <w:pageBreakBefore w:val="0"/>
              <w:widowControl w:val="0"/>
              <w:kinsoku/>
              <w:wordWrap/>
              <w:overflowPunct/>
              <w:topLinePunct w:val="0"/>
              <w:autoSpaceDE/>
              <w:autoSpaceDN/>
              <w:bidi w:val="0"/>
              <w:adjustRightInd w:val="0"/>
              <w:snapToGrid/>
              <w:spacing w:line="26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重点保护与珍稀水生生物的栖息地</w:t>
            </w:r>
            <w:r>
              <w:rPr>
                <w:rFonts w:ascii="Times New Roman" w:hAnsi="Times New Roman" w:cs="Times New Roman"/>
                <w:sz w:val="21"/>
                <w:szCs w:val="21"/>
              </w:rPr>
              <w:t>□</w:t>
            </w:r>
            <w:r>
              <w:rPr>
                <w:rFonts w:hint="eastAsia" w:ascii="Times New Roman" w:hAnsi="Times New Roman" w:cs="Times New Roman"/>
                <w:sz w:val="21"/>
                <w:szCs w:val="21"/>
              </w:rPr>
              <w:t>；重要水生生物的自然产卵场及索饵场、越冬场和洄游通道、天然渔场等渔业水体</w:t>
            </w:r>
            <w:r>
              <w:rPr>
                <w:rFonts w:ascii="Times New Roman" w:hAnsi="Times New Roman" w:cs="Times New Roman"/>
                <w:sz w:val="21"/>
                <w:szCs w:val="21"/>
              </w:rPr>
              <w:t>□</w:t>
            </w:r>
            <w:r>
              <w:rPr>
                <w:rFonts w:hint="eastAsia" w:ascii="Times New Roman" w:hAnsi="Times New Roman" w:cs="Times New Roman"/>
                <w:sz w:val="21"/>
                <w:szCs w:val="21"/>
              </w:rPr>
              <w:t>；涉水的风景名胜区</w:t>
            </w:r>
            <w:r>
              <w:rPr>
                <w:rFonts w:ascii="Times New Roman" w:hAnsi="Times New Roman" w:cs="Times New Roman"/>
                <w:sz w:val="21"/>
                <w:szCs w:val="21"/>
              </w:rPr>
              <w:t>□</w:t>
            </w:r>
            <w:r>
              <w:rPr>
                <w:rFonts w:hint="eastAsia" w:ascii="Times New Roman" w:hAnsi="Times New Roman" w:cs="Times New Roman"/>
                <w:sz w:val="21"/>
                <w:szCs w:val="21"/>
              </w:rPr>
              <w:t>；其他</w:t>
            </w:r>
            <w:r>
              <w:rPr>
                <w:color w:val="000000"/>
                <w:szCs w:val="21"/>
              </w:rPr>
              <w:sym w:font="Wingdings 2" w:char="F052"/>
            </w:r>
          </w:p>
        </w:tc>
      </w:tr>
      <w:tr w14:paraId="1B79A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2510889E">
            <w:pPr>
              <w:spacing w:line="300" w:lineRule="exact"/>
              <w:jc w:val="center"/>
              <w:rPr>
                <w:rFonts w:ascii="Times New Roman" w:hAnsi="Times New Roman" w:cs="Times New Roman"/>
                <w:sz w:val="21"/>
                <w:szCs w:val="21"/>
              </w:rPr>
            </w:pPr>
          </w:p>
        </w:tc>
        <w:tc>
          <w:tcPr>
            <w:tcW w:w="823" w:type="pct"/>
            <w:vMerge w:val="restart"/>
            <w:tcBorders>
              <w:top w:val="nil"/>
              <w:left w:val="nil"/>
              <w:bottom w:val="single" w:color="auto" w:sz="4" w:space="0"/>
              <w:right w:val="single" w:color="auto" w:sz="4" w:space="0"/>
            </w:tcBorders>
            <w:vAlign w:val="center"/>
          </w:tcPr>
          <w:p w14:paraId="7599D86B">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影响途径</w:t>
            </w:r>
          </w:p>
        </w:tc>
        <w:tc>
          <w:tcPr>
            <w:tcW w:w="2135" w:type="pct"/>
            <w:gridSpan w:val="6"/>
            <w:tcBorders>
              <w:top w:val="single" w:color="auto" w:sz="4" w:space="0"/>
              <w:left w:val="nil"/>
              <w:bottom w:val="single" w:color="auto" w:sz="4" w:space="0"/>
              <w:right w:val="single" w:color="auto" w:sz="4" w:space="0"/>
            </w:tcBorders>
            <w:vAlign w:val="center"/>
          </w:tcPr>
          <w:p w14:paraId="5AE51974">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水污染影响型</w:t>
            </w:r>
          </w:p>
        </w:tc>
        <w:tc>
          <w:tcPr>
            <w:tcW w:w="1783" w:type="pct"/>
            <w:gridSpan w:val="6"/>
            <w:tcBorders>
              <w:top w:val="single" w:color="auto" w:sz="4" w:space="0"/>
              <w:left w:val="nil"/>
              <w:bottom w:val="single" w:color="auto" w:sz="4" w:space="0"/>
              <w:right w:val="nil"/>
            </w:tcBorders>
            <w:vAlign w:val="center"/>
          </w:tcPr>
          <w:p w14:paraId="1778FCC7">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水文要素影响型</w:t>
            </w:r>
          </w:p>
        </w:tc>
      </w:tr>
      <w:tr w14:paraId="69FD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2188BA90">
            <w:pPr>
              <w:spacing w:line="300" w:lineRule="exact"/>
              <w:jc w:val="center"/>
              <w:rPr>
                <w:rFonts w:ascii="Times New Roman" w:hAnsi="Times New Roman" w:cs="Times New Roman"/>
                <w:sz w:val="21"/>
                <w:szCs w:val="21"/>
              </w:rPr>
            </w:pPr>
          </w:p>
        </w:tc>
        <w:tc>
          <w:tcPr>
            <w:tcW w:w="823" w:type="pct"/>
            <w:vMerge w:val="continue"/>
            <w:tcBorders>
              <w:top w:val="nil"/>
              <w:left w:val="nil"/>
              <w:bottom w:val="single" w:color="auto" w:sz="4" w:space="0"/>
              <w:right w:val="single" w:color="auto" w:sz="4" w:space="0"/>
            </w:tcBorders>
            <w:vAlign w:val="center"/>
          </w:tcPr>
          <w:p w14:paraId="79B8C4AD">
            <w:pPr>
              <w:spacing w:line="300" w:lineRule="exact"/>
              <w:jc w:val="center"/>
              <w:rPr>
                <w:rFonts w:ascii="Times New Roman" w:hAnsi="Times New Roman" w:cs="Times New Roman"/>
                <w:sz w:val="21"/>
                <w:szCs w:val="21"/>
              </w:rPr>
            </w:pPr>
          </w:p>
        </w:tc>
        <w:tc>
          <w:tcPr>
            <w:tcW w:w="2135" w:type="pct"/>
            <w:gridSpan w:val="6"/>
            <w:tcBorders>
              <w:top w:val="single" w:color="auto" w:sz="4" w:space="0"/>
              <w:left w:val="nil"/>
              <w:bottom w:val="single" w:color="auto" w:sz="4" w:space="0"/>
              <w:right w:val="single" w:color="auto" w:sz="4" w:space="0"/>
            </w:tcBorders>
            <w:vAlign w:val="center"/>
          </w:tcPr>
          <w:p w14:paraId="5F3307BC">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直接排放</w:t>
            </w:r>
            <w:r>
              <w:rPr>
                <w:rFonts w:ascii="Times New Roman" w:hAnsi="Times New Roman" w:cs="Times New Roman"/>
                <w:sz w:val="21"/>
                <w:szCs w:val="21"/>
              </w:rPr>
              <w:t>□</w:t>
            </w:r>
            <w:r>
              <w:rPr>
                <w:rFonts w:hint="eastAsia" w:ascii="Times New Roman" w:hAnsi="Times New Roman" w:cs="Times New Roman"/>
                <w:sz w:val="21"/>
                <w:szCs w:val="21"/>
              </w:rPr>
              <w:t>；间接排放</w:t>
            </w:r>
            <w:r>
              <w:rPr>
                <w:rFonts w:ascii="Times New Roman" w:hAnsi="Times New Roman" w:cs="Times New Roman"/>
                <w:sz w:val="21"/>
                <w:szCs w:val="21"/>
              </w:rPr>
              <w:t>□</w:t>
            </w:r>
            <w:r>
              <w:rPr>
                <w:rFonts w:hint="eastAsia" w:ascii="Times New Roman" w:hAnsi="Times New Roman" w:cs="Times New Roman"/>
                <w:sz w:val="21"/>
                <w:szCs w:val="21"/>
              </w:rPr>
              <w:t>；其他</w:t>
            </w:r>
            <w:r>
              <w:rPr>
                <w:color w:val="000000"/>
                <w:szCs w:val="21"/>
              </w:rPr>
              <w:sym w:font="Wingdings 2" w:char="F052"/>
            </w:r>
            <w:r>
              <w:rPr>
                <w:rFonts w:hint="eastAsia" w:ascii="Times New Roman" w:hAnsi="Times New Roman" w:cs="Times New Roman"/>
                <w:sz w:val="21"/>
                <w:szCs w:val="21"/>
              </w:rPr>
              <w:t>；</w:t>
            </w:r>
          </w:p>
        </w:tc>
        <w:tc>
          <w:tcPr>
            <w:tcW w:w="1783" w:type="pct"/>
            <w:gridSpan w:val="6"/>
            <w:tcBorders>
              <w:top w:val="single" w:color="auto" w:sz="4" w:space="0"/>
              <w:left w:val="nil"/>
              <w:bottom w:val="single" w:color="auto" w:sz="4" w:space="0"/>
              <w:right w:val="nil"/>
            </w:tcBorders>
            <w:vAlign w:val="center"/>
          </w:tcPr>
          <w:p w14:paraId="6BE77F64">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水温</w:t>
            </w:r>
            <w:r>
              <w:rPr>
                <w:rFonts w:ascii="Times New Roman" w:hAnsi="Times New Roman" w:cs="Times New Roman"/>
                <w:sz w:val="21"/>
                <w:szCs w:val="21"/>
              </w:rPr>
              <w:t>□</w:t>
            </w:r>
            <w:r>
              <w:rPr>
                <w:rFonts w:hint="eastAsia" w:ascii="Times New Roman" w:hAnsi="Times New Roman" w:cs="Times New Roman"/>
                <w:sz w:val="21"/>
                <w:szCs w:val="21"/>
              </w:rPr>
              <w:t>；径流</w:t>
            </w:r>
            <w:r>
              <w:rPr>
                <w:rFonts w:ascii="Times New Roman" w:hAnsi="Times New Roman" w:cs="Times New Roman"/>
                <w:sz w:val="21"/>
                <w:szCs w:val="21"/>
              </w:rPr>
              <w:t>□</w:t>
            </w:r>
            <w:r>
              <w:rPr>
                <w:rFonts w:hint="eastAsia" w:ascii="Times New Roman" w:hAnsi="Times New Roman" w:cs="Times New Roman"/>
                <w:sz w:val="21"/>
                <w:szCs w:val="21"/>
              </w:rPr>
              <w:t>；水域面积</w:t>
            </w:r>
            <w:r>
              <w:rPr>
                <w:rFonts w:ascii="Times New Roman" w:hAnsi="Times New Roman" w:cs="Times New Roman"/>
                <w:sz w:val="21"/>
                <w:szCs w:val="21"/>
              </w:rPr>
              <w:t>□</w:t>
            </w:r>
          </w:p>
        </w:tc>
      </w:tr>
      <w:tr w14:paraId="21FE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18F03BBB">
            <w:pPr>
              <w:spacing w:line="300" w:lineRule="exact"/>
              <w:jc w:val="center"/>
              <w:rPr>
                <w:rFonts w:ascii="Times New Roman" w:hAnsi="Times New Roman" w:cs="Times New Roman"/>
                <w:sz w:val="21"/>
                <w:szCs w:val="21"/>
              </w:rPr>
            </w:pPr>
          </w:p>
        </w:tc>
        <w:tc>
          <w:tcPr>
            <w:tcW w:w="823" w:type="pct"/>
            <w:tcBorders>
              <w:top w:val="single" w:color="auto" w:sz="4" w:space="0"/>
              <w:left w:val="nil"/>
              <w:bottom w:val="single" w:color="auto" w:sz="4" w:space="0"/>
              <w:right w:val="single" w:color="auto" w:sz="4" w:space="0"/>
            </w:tcBorders>
            <w:vAlign w:val="center"/>
          </w:tcPr>
          <w:p w14:paraId="4B306A83">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影响因子</w:t>
            </w:r>
          </w:p>
        </w:tc>
        <w:tc>
          <w:tcPr>
            <w:tcW w:w="2135" w:type="pct"/>
            <w:gridSpan w:val="6"/>
            <w:tcBorders>
              <w:top w:val="single" w:color="auto" w:sz="4" w:space="0"/>
              <w:left w:val="nil"/>
              <w:bottom w:val="single" w:color="auto" w:sz="4" w:space="0"/>
              <w:right w:val="single" w:color="auto" w:sz="4" w:space="0"/>
            </w:tcBorders>
            <w:vAlign w:val="center"/>
          </w:tcPr>
          <w:p w14:paraId="038F706B">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持久性污染物</w:t>
            </w:r>
            <w:r>
              <w:rPr>
                <w:rFonts w:ascii="Times New Roman" w:hAnsi="Times New Roman" w:cs="Times New Roman"/>
                <w:sz w:val="21"/>
                <w:szCs w:val="21"/>
              </w:rPr>
              <w:t>□</w:t>
            </w:r>
            <w:r>
              <w:rPr>
                <w:rFonts w:hint="eastAsia" w:ascii="Times New Roman" w:hAnsi="Times New Roman" w:cs="Times New Roman"/>
                <w:sz w:val="21"/>
                <w:szCs w:val="21"/>
              </w:rPr>
              <w:t>；有毒有害污染物</w:t>
            </w:r>
            <w:r>
              <w:rPr>
                <w:rFonts w:ascii="Times New Roman" w:hAnsi="Times New Roman" w:cs="Times New Roman"/>
                <w:sz w:val="21"/>
                <w:szCs w:val="21"/>
              </w:rPr>
              <w:t>□</w:t>
            </w:r>
            <w:r>
              <w:rPr>
                <w:rFonts w:hint="eastAsia" w:ascii="Times New Roman" w:hAnsi="Times New Roman" w:cs="Times New Roman"/>
                <w:sz w:val="21"/>
                <w:szCs w:val="21"/>
              </w:rPr>
              <w:t>；非持久性污染物</w:t>
            </w:r>
            <w:r>
              <w:rPr>
                <w:color w:val="000000"/>
                <w:szCs w:val="21"/>
              </w:rPr>
              <w:sym w:font="Wingdings 2" w:char="F052"/>
            </w:r>
            <w:r>
              <w:rPr>
                <w:rFonts w:hint="eastAsia" w:ascii="Times New Roman" w:hAnsi="Times New Roman" w:cs="Times New Roman"/>
                <w:sz w:val="21"/>
                <w:szCs w:val="21"/>
              </w:rPr>
              <w:t>；</w:t>
            </w:r>
            <w:r>
              <w:rPr>
                <w:rFonts w:ascii="Times New Roman" w:hAnsi="Times New Roman" w:cs="Times New Roman"/>
                <w:sz w:val="21"/>
                <w:szCs w:val="21"/>
              </w:rPr>
              <w:t>pH</w:t>
            </w:r>
            <w:r>
              <w:rPr>
                <w:rFonts w:hint="eastAsia" w:ascii="Times New Roman" w:hAnsi="Times New Roman" w:cs="Times New Roman"/>
                <w:sz w:val="21"/>
                <w:szCs w:val="21"/>
              </w:rPr>
              <w:t>值</w:t>
            </w:r>
            <w:r>
              <w:rPr>
                <w:rFonts w:ascii="Times New Roman" w:hAnsi="Times New Roman" w:cs="Times New Roman"/>
                <w:sz w:val="21"/>
                <w:szCs w:val="21"/>
              </w:rPr>
              <w:t>□</w:t>
            </w:r>
            <w:r>
              <w:rPr>
                <w:rFonts w:hint="eastAsia" w:ascii="Times New Roman" w:hAnsi="Times New Roman" w:cs="Times New Roman"/>
                <w:sz w:val="21"/>
                <w:szCs w:val="21"/>
              </w:rPr>
              <w:t>；热污染</w:t>
            </w:r>
            <w:r>
              <w:rPr>
                <w:rFonts w:ascii="Times New Roman" w:hAnsi="Times New Roman" w:cs="Times New Roman"/>
                <w:sz w:val="21"/>
                <w:szCs w:val="21"/>
              </w:rPr>
              <w:t>□</w:t>
            </w:r>
            <w:r>
              <w:rPr>
                <w:rFonts w:hint="eastAsia" w:ascii="Times New Roman" w:hAnsi="Times New Roman" w:cs="Times New Roman"/>
                <w:sz w:val="21"/>
                <w:szCs w:val="21"/>
              </w:rPr>
              <w:t>；富营养化</w:t>
            </w:r>
            <w:r>
              <w:rPr>
                <w:rFonts w:ascii="Times New Roman" w:hAnsi="Times New Roman" w:cs="Times New Roman"/>
                <w:sz w:val="21"/>
                <w:szCs w:val="21"/>
              </w:rPr>
              <w:t>□</w:t>
            </w:r>
            <w:r>
              <w:rPr>
                <w:rFonts w:hint="eastAsia" w:ascii="Times New Roman" w:hAnsi="Times New Roman" w:cs="Times New Roman"/>
                <w:sz w:val="21"/>
                <w:szCs w:val="21"/>
              </w:rPr>
              <w:t>；其他</w:t>
            </w:r>
            <w:r>
              <w:rPr>
                <w:rFonts w:ascii="Times New Roman" w:hAnsi="Times New Roman" w:cs="Times New Roman"/>
                <w:sz w:val="21"/>
                <w:szCs w:val="21"/>
              </w:rPr>
              <w:t>□</w:t>
            </w:r>
          </w:p>
        </w:tc>
        <w:tc>
          <w:tcPr>
            <w:tcW w:w="1783" w:type="pct"/>
            <w:gridSpan w:val="6"/>
            <w:tcBorders>
              <w:top w:val="single" w:color="auto" w:sz="4" w:space="0"/>
              <w:left w:val="nil"/>
              <w:bottom w:val="single" w:color="auto" w:sz="4" w:space="0"/>
              <w:right w:val="nil"/>
            </w:tcBorders>
            <w:vAlign w:val="center"/>
          </w:tcPr>
          <w:p w14:paraId="27D7E01D">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水温</w:t>
            </w:r>
            <w:r>
              <w:rPr>
                <w:rFonts w:ascii="Times New Roman" w:hAnsi="Times New Roman" w:cs="Times New Roman"/>
                <w:sz w:val="21"/>
                <w:szCs w:val="21"/>
              </w:rPr>
              <w:t>□</w:t>
            </w:r>
            <w:r>
              <w:rPr>
                <w:rFonts w:hint="eastAsia" w:ascii="Times New Roman" w:hAnsi="Times New Roman" w:cs="Times New Roman"/>
                <w:sz w:val="21"/>
                <w:szCs w:val="21"/>
              </w:rPr>
              <w:t>；水位（水深）</w:t>
            </w:r>
            <w:r>
              <w:rPr>
                <w:rFonts w:ascii="Times New Roman" w:hAnsi="Times New Roman" w:cs="Times New Roman"/>
                <w:sz w:val="21"/>
                <w:szCs w:val="21"/>
              </w:rPr>
              <w:t>□</w:t>
            </w:r>
            <w:r>
              <w:rPr>
                <w:rFonts w:hint="eastAsia" w:ascii="Times New Roman" w:hAnsi="Times New Roman" w:cs="Times New Roman"/>
                <w:sz w:val="21"/>
                <w:szCs w:val="21"/>
              </w:rPr>
              <w:t>；流速</w:t>
            </w:r>
            <w:r>
              <w:rPr>
                <w:rFonts w:ascii="Times New Roman" w:hAnsi="Times New Roman" w:cs="Times New Roman"/>
                <w:sz w:val="21"/>
                <w:szCs w:val="21"/>
              </w:rPr>
              <w:t>□</w:t>
            </w:r>
            <w:r>
              <w:rPr>
                <w:rFonts w:hint="eastAsia" w:ascii="Times New Roman" w:hAnsi="Times New Roman" w:cs="Times New Roman"/>
                <w:sz w:val="21"/>
                <w:szCs w:val="21"/>
              </w:rPr>
              <w:t>；流量</w:t>
            </w:r>
            <w:r>
              <w:rPr>
                <w:rFonts w:ascii="Times New Roman" w:hAnsi="Times New Roman" w:cs="Times New Roman"/>
                <w:sz w:val="21"/>
                <w:szCs w:val="21"/>
              </w:rPr>
              <w:t>□</w:t>
            </w:r>
            <w:r>
              <w:rPr>
                <w:rFonts w:hint="eastAsia" w:ascii="Times New Roman" w:hAnsi="Times New Roman" w:cs="Times New Roman"/>
                <w:sz w:val="21"/>
                <w:szCs w:val="21"/>
              </w:rPr>
              <w:t>；其他</w:t>
            </w:r>
            <w:r>
              <w:rPr>
                <w:rFonts w:ascii="Times New Roman" w:hAnsi="Times New Roman" w:cs="Times New Roman"/>
                <w:sz w:val="21"/>
                <w:szCs w:val="21"/>
              </w:rPr>
              <w:t>□</w:t>
            </w:r>
          </w:p>
        </w:tc>
      </w:tr>
      <w:tr w14:paraId="4098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pct"/>
            <w:gridSpan w:val="2"/>
            <w:vMerge w:val="restart"/>
            <w:tcBorders>
              <w:top w:val="nil"/>
              <w:left w:val="nil"/>
              <w:bottom w:val="single" w:color="auto" w:sz="4" w:space="0"/>
              <w:right w:val="single" w:color="auto" w:sz="4" w:space="0"/>
            </w:tcBorders>
            <w:vAlign w:val="center"/>
          </w:tcPr>
          <w:p w14:paraId="29FA92F7">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评价等级</w:t>
            </w:r>
          </w:p>
        </w:tc>
        <w:tc>
          <w:tcPr>
            <w:tcW w:w="2135" w:type="pct"/>
            <w:gridSpan w:val="6"/>
            <w:tcBorders>
              <w:top w:val="single" w:color="auto" w:sz="4" w:space="0"/>
              <w:left w:val="nil"/>
              <w:bottom w:val="single" w:color="auto" w:sz="4" w:space="0"/>
              <w:right w:val="single" w:color="auto" w:sz="4" w:space="0"/>
            </w:tcBorders>
            <w:vAlign w:val="center"/>
          </w:tcPr>
          <w:p w14:paraId="5885D2A9">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水污染影响型</w:t>
            </w:r>
          </w:p>
        </w:tc>
        <w:tc>
          <w:tcPr>
            <w:tcW w:w="1783" w:type="pct"/>
            <w:gridSpan w:val="6"/>
            <w:tcBorders>
              <w:top w:val="single" w:color="auto" w:sz="4" w:space="0"/>
              <w:left w:val="nil"/>
              <w:bottom w:val="single" w:color="auto" w:sz="4" w:space="0"/>
              <w:right w:val="nil"/>
            </w:tcBorders>
            <w:vAlign w:val="center"/>
          </w:tcPr>
          <w:p w14:paraId="3F96A479">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水文要素影响型</w:t>
            </w:r>
          </w:p>
        </w:tc>
      </w:tr>
      <w:tr w14:paraId="3AA1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pct"/>
            <w:gridSpan w:val="2"/>
            <w:vMerge w:val="continue"/>
            <w:tcBorders>
              <w:top w:val="nil"/>
              <w:left w:val="nil"/>
              <w:bottom w:val="single" w:color="auto" w:sz="4" w:space="0"/>
              <w:right w:val="single" w:color="auto" w:sz="4" w:space="0"/>
            </w:tcBorders>
            <w:vAlign w:val="center"/>
          </w:tcPr>
          <w:p w14:paraId="28DF957E">
            <w:pPr>
              <w:spacing w:line="300" w:lineRule="exact"/>
              <w:jc w:val="center"/>
              <w:rPr>
                <w:rFonts w:ascii="Times New Roman" w:hAnsi="Times New Roman" w:cs="Times New Roman"/>
                <w:sz w:val="21"/>
                <w:szCs w:val="21"/>
              </w:rPr>
            </w:pPr>
          </w:p>
        </w:tc>
        <w:tc>
          <w:tcPr>
            <w:tcW w:w="2135" w:type="pct"/>
            <w:gridSpan w:val="6"/>
            <w:tcBorders>
              <w:top w:val="single" w:color="auto" w:sz="4" w:space="0"/>
              <w:left w:val="nil"/>
              <w:bottom w:val="single" w:color="auto" w:sz="4" w:space="0"/>
              <w:right w:val="single" w:color="auto" w:sz="4" w:space="0"/>
            </w:tcBorders>
            <w:vAlign w:val="center"/>
          </w:tcPr>
          <w:p w14:paraId="19945704">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一级</w:t>
            </w:r>
            <w:r>
              <w:rPr>
                <w:rFonts w:ascii="Times New Roman" w:hAnsi="Times New Roman" w:cs="Times New Roman"/>
                <w:sz w:val="21"/>
                <w:szCs w:val="21"/>
              </w:rPr>
              <w:t>□</w:t>
            </w:r>
            <w:r>
              <w:rPr>
                <w:rFonts w:hint="eastAsia" w:ascii="Times New Roman" w:hAnsi="Times New Roman" w:cs="Times New Roman"/>
                <w:sz w:val="21"/>
                <w:szCs w:val="21"/>
              </w:rPr>
              <w:t>；二级</w:t>
            </w:r>
            <w:r>
              <w:rPr>
                <w:rFonts w:ascii="Times New Roman" w:hAnsi="Times New Roman" w:cs="Times New Roman"/>
                <w:sz w:val="21"/>
                <w:szCs w:val="21"/>
              </w:rPr>
              <w:t>□</w:t>
            </w:r>
            <w:r>
              <w:rPr>
                <w:rFonts w:hint="eastAsia" w:ascii="Times New Roman" w:hAnsi="Times New Roman" w:cs="Times New Roman"/>
                <w:sz w:val="21"/>
                <w:szCs w:val="21"/>
              </w:rPr>
              <w:t>；三级</w:t>
            </w:r>
            <w:r>
              <w:rPr>
                <w:rFonts w:ascii="Times New Roman" w:hAnsi="Times New Roman" w:cs="Times New Roman"/>
                <w:sz w:val="21"/>
                <w:szCs w:val="21"/>
              </w:rPr>
              <w:t>A□</w:t>
            </w:r>
            <w:r>
              <w:rPr>
                <w:rFonts w:hint="eastAsia" w:ascii="Times New Roman" w:hAnsi="Times New Roman" w:cs="Times New Roman"/>
                <w:sz w:val="21"/>
                <w:szCs w:val="21"/>
              </w:rPr>
              <w:t>；三级</w:t>
            </w:r>
            <w:r>
              <w:rPr>
                <w:rFonts w:ascii="Times New Roman" w:hAnsi="Times New Roman" w:cs="Times New Roman"/>
                <w:sz w:val="21"/>
                <w:szCs w:val="21"/>
              </w:rPr>
              <w:t>B</w:t>
            </w:r>
            <w:r>
              <w:rPr>
                <w:color w:val="000000"/>
                <w:szCs w:val="21"/>
              </w:rPr>
              <w:sym w:font="Wingdings 2" w:char="F052"/>
            </w:r>
          </w:p>
        </w:tc>
        <w:tc>
          <w:tcPr>
            <w:tcW w:w="1783" w:type="pct"/>
            <w:gridSpan w:val="6"/>
            <w:tcBorders>
              <w:top w:val="single" w:color="auto" w:sz="4" w:space="0"/>
              <w:left w:val="nil"/>
              <w:bottom w:val="single" w:color="auto" w:sz="4" w:space="0"/>
              <w:right w:val="nil"/>
            </w:tcBorders>
            <w:vAlign w:val="center"/>
          </w:tcPr>
          <w:p w14:paraId="33184BB5">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一级</w:t>
            </w:r>
            <w:r>
              <w:rPr>
                <w:rFonts w:ascii="Times New Roman" w:hAnsi="Times New Roman" w:cs="Times New Roman"/>
                <w:sz w:val="21"/>
                <w:szCs w:val="21"/>
              </w:rPr>
              <w:t>□</w:t>
            </w:r>
            <w:r>
              <w:rPr>
                <w:rFonts w:hint="eastAsia" w:ascii="Times New Roman" w:hAnsi="Times New Roman" w:cs="Times New Roman"/>
                <w:sz w:val="21"/>
                <w:szCs w:val="21"/>
              </w:rPr>
              <w:t>；二级</w:t>
            </w:r>
            <w:r>
              <w:rPr>
                <w:rFonts w:ascii="Times New Roman" w:hAnsi="Times New Roman" w:cs="Times New Roman"/>
                <w:sz w:val="21"/>
                <w:szCs w:val="21"/>
              </w:rPr>
              <w:t>□</w:t>
            </w:r>
            <w:r>
              <w:rPr>
                <w:rFonts w:hint="eastAsia" w:ascii="Times New Roman" w:hAnsi="Times New Roman" w:cs="Times New Roman"/>
                <w:sz w:val="21"/>
                <w:szCs w:val="21"/>
              </w:rPr>
              <w:t>；三级</w:t>
            </w:r>
            <w:r>
              <w:rPr>
                <w:rFonts w:ascii="Times New Roman" w:hAnsi="Times New Roman" w:cs="Times New Roman"/>
                <w:sz w:val="21"/>
                <w:szCs w:val="21"/>
              </w:rPr>
              <w:t>□</w:t>
            </w:r>
          </w:p>
        </w:tc>
      </w:tr>
      <w:tr w14:paraId="62F6E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restart"/>
            <w:tcBorders>
              <w:top w:val="nil"/>
              <w:left w:val="nil"/>
              <w:bottom w:val="single" w:color="auto" w:sz="4" w:space="0"/>
              <w:right w:val="single" w:color="auto" w:sz="4" w:space="0"/>
            </w:tcBorders>
            <w:vAlign w:val="center"/>
          </w:tcPr>
          <w:p w14:paraId="0F1F2783">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现状调查</w:t>
            </w:r>
          </w:p>
        </w:tc>
        <w:tc>
          <w:tcPr>
            <w:tcW w:w="823" w:type="pct"/>
            <w:vMerge w:val="restart"/>
            <w:tcBorders>
              <w:top w:val="nil"/>
              <w:left w:val="nil"/>
              <w:bottom w:val="single" w:color="auto" w:sz="4" w:space="0"/>
              <w:right w:val="single" w:color="auto" w:sz="4" w:space="0"/>
            </w:tcBorders>
            <w:vAlign w:val="center"/>
          </w:tcPr>
          <w:p w14:paraId="01EBAB64">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区域污染源</w:t>
            </w:r>
          </w:p>
        </w:tc>
        <w:tc>
          <w:tcPr>
            <w:tcW w:w="2135" w:type="pct"/>
            <w:gridSpan w:val="6"/>
            <w:tcBorders>
              <w:top w:val="single" w:color="auto" w:sz="4" w:space="0"/>
              <w:left w:val="nil"/>
              <w:bottom w:val="single" w:color="auto" w:sz="4" w:space="0"/>
              <w:right w:val="single" w:color="auto" w:sz="4" w:space="0"/>
            </w:tcBorders>
            <w:vAlign w:val="center"/>
          </w:tcPr>
          <w:p w14:paraId="22925AFD">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调查项目</w:t>
            </w:r>
          </w:p>
        </w:tc>
        <w:tc>
          <w:tcPr>
            <w:tcW w:w="1783" w:type="pct"/>
            <w:gridSpan w:val="6"/>
            <w:tcBorders>
              <w:top w:val="single" w:color="auto" w:sz="4" w:space="0"/>
              <w:left w:val="nil"/>
              <w:bottom w:val="single" w:color="auto" w:sz="4" w:space="0"/>
              <w:right w:val="nil"/>
            </w:tcBorders>
            <w:vAlign w:val="center"/>
          </w:tcPr>
          <w:p w14:paraId="06A0C407">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数据来源</w:t>
            </w:r>
          </w:p>
        </w:tc>
      </w:tr>
      <w:tr w14:paraId="2ED3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3C64D4C2">
            <w:pPr>
              <w:spacing w:line="300" w:lineRule="exact"/>
              <w:jc w:val="center"/>
              <w:rPr>
                <w:rFonts w:ascii="Times New Roman" w:hAnsi="Times New Roman" w:cs="Times New Roman"/>
                <w:sz w:val="21"/>
                <w:szCs w:val="21"/>
              </w:rPr>
            </w:pPr>
          </w:p>
        </w:tc>
        <w:tc>
          <w:tcPr>
            <w:tcW w:w="823" w:type="pct"/>
            <w:vMerge w:val="continue"/>
            <w:tcBorders>
              <w:top w:val="nil"/>
              <w:left w:val="nil"/>
              <w:bottom w:val="single" w:color="auto" w:sz="4" w:space="0"/>
              <w:right w:val="single" w:color="auto" w:sz="4" w:space="0"/>
            </w:tcBorders>
            <w:vAlign w:val="center"/>
          </w:tcPr>
          <w:p w14:paraId="38EA39AA">
            <w:pPr>
              <w:spacing w:line="300" w:lineRule="exact"/>
              <w:jc w:val="center"/>
              <w:rPr>
                <w:rFonts w:ascii="Times New Roman" w:hAnsi="Times New Roman" w:cs="Times New Roman"/>
                <w:sz w:val="21"/>
                <w:szCs w:val="21"/>
              </w:rPr>
            </w:pPr>
          </w:p>
        </w:tc>
        <w:tc>
          <w:tcPr>
            <w:tcW w:w="1213" w:type="pct"/>
            <w:gridSpan w:val="3"/>
            <w:tcBorders>
              <w:top w:val="single" w:color="auto" w:sz="4" w:space="0"/>
              <w:left w:val="nil"/>
              <w:bottom w:val="single" w:color="auto" w:sz="4" w:space="0"/>
              <w:right w:val="single" w:color="auto" w:sz="4" w:space="0"/>
            </w:tcBorders>
            <w:vAlign w:val="center"/>
          </w:tcPr>
          <w:p w14:paraId="67F2242D">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已建</w:t>
            </w:r>
            <w:r>
              <w:rPr>
                <w:rFonts w:ascii="Times New Roman" w:hAnsi="Times New Roman" w:cs="Times New Roman"/>
                <w:sz w:val="21"/>
                <w:szCs w:val="21"/>
              </w:rPr>
              <w:t>□</w:t>
            </w:r>
            <w:r>
              <w:rPr>
                <w:rFonts w:hint="eastAsia" w:ascii="Times New Roman" w:hAnsi="Times New Roman" w:cs="Times New Roman"/>
                <w:sz w:val="21"/>
                <w:szCs w:val="21"/>
              </w:rPr>
              <w:t>；在建</w:t>
            </w:r>
            <w:r>
              <w:rPr>
                <w:rFonts w:ascii="Times New Roman" w:hAnsi="Times New Roman" w:cs="Times New Roman"/>
                <w:sz w:val="21"/>
                <w:szCs w:val="21"/>
              </w:rPr>
              <w:t>□</w:t>
            </w:r>
            <w:r>
              <w:rPr>
                <w:rFonts w:hint="eastAsia" w:ascii="Times New Roman" w:hAnsi="Times New Roman" w:cs="Times New Roman"/>
                <w:sz w:val="21"/>
                <w:szCs w:val="21"/>
              </w:rPr>
              <w:t>；拟建</w:t>
            </w:r>
            <w:r>
              <w:rPr>
                <w:rFonts w:ascii="Times New Roman" w:hAnsi="Times New Roman" w:cs="Times New Roman"/>
                <w:sz w:val="21"/>
                <w:szCs w:val="21"/>
              </w:rPr>
              <w:t>□</w:t>
            </w:r>
            <w:r>
              <w:rPr>
                <w:rFonts w:hint="eastAsia" w:ascii="Times New Roman" w:hAnsi="Times New Roman" w:cs="Times New Roman"/>
                <w:sz w:val="21"/>
                <w:szCs w:val="21"/>
              </w:rPr>
              <w:t>；其他</w:t>
            </w:r>
            <w:r>
              <w:rPr>
                <w:color w:val="000000"/>
                <w:szCs w:val="21"/>
              </w:rPr>
              <w:sym w:font="Wingdings 2" w:char="F052"/>
            </w:r>
          </w:p>
        </w:tc>
        <w:tc>
          <w:tcPr>
            <w:tcW w:w="921" w:type="pct"/>
            <w:gridSpan w:val="3"/>
            <w:tcBorders>
              <w:top w:val="single" w:color="auto" w:sz="4" w:space="0"/>
              <w:left w:val="nil"/>
              <w:bottom w:val="single" w:color="auto" w:sz="4" w:space="0"/>
              <w:right w:val="single" w:color="auto" w:sz="4" w:space="0"/>
            </w:tcBorders>
            <w:vAlign w:val="center"/>
          </w:tcPr>
          <w:p w14:paraId="3327E963">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拟替代的污染源</w:t>
            </w:r>
            <w:r>
              <w:rPr>
                <w:rFonts w:ascii="Times New Roman" w:hAnsi="Times New Roman" w:cs="Times New Roman"/>
                <w:sz w:val="21"/>
                <w:szCs w:val="21"/>
              </w:rPr>
              <w:t>□</w:t>
            </w:r>
          </w:p>
        </w:tc>
        <w:tc>
          <w:tcPr>
            <w:tcW w:w="1783" w:type="pct"/>
            <w:gridSpan w:val="6"/>
            <w:tcBorders>
              <w:top w:val="single" w:color="auto" w:sz="4" w:space="0"/>
              <w:left w:val="nil"/>
              <w:bottom w:val="single" w:color="auto" w:sz="4" w:space="0"/>
              <w:right w:val="nil"/>
            </w:tcBorders>
            <w:vAlign w:val="center"/>
          </w:tcPr>
          <w:p w14:paraId="0949F37C">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排污许可证</w:t>
            </w:r>
            <w:r>
              <w:rPr>
                <w:rFonts w:ascii="Times New Roman" w:hAnsi="Times New Roman" w:cs="Times New Roman"/>
                <w:sz w:val="21"/>
                <w:szCs w:val="21"/>
              </w:rPr>
              <w:t>□</w:t>
            </w:r>
            <w:r>
              <w:rPr>
                <w:rFonts w:hint="eastAsia" w:ascii="Times New Roman" w:hAnsi="Times New Roman" w:cs="Times New Roman"/>
                <w:sz w:val="21"/>
                <w:szCs w:val="21"/>
              </w:rPr>
              <w:t>；环评</w:t>
            </w:r>
            <w:r>
              <w:rPr>
                <w:rFonts w:ascii="Times New Roman" w:hAnsi="Times New Roman" w:cs="Times New Roman"/>
                <w:sz w:val="21"/>
                <w:szCs w:val="21"/>
              </w:rPr>
              <w:t>□</w:t>
            </w:r>
            <w:r>
              <w:rPr>
                <w:rFonts w:hint="eastAsia" w:ascii="Times New Roman" w:hAnsi="Times New Roman" w:cs="Times New Roman"/>
                <w:sz w:val="21"/>
                <w:szCs w:val="21"/>
              </w:rPr>
              <w:t>；环保验收</w:t>
            </w:r>
            <w:r>
              <w:rPr>
                <w:rFonts w:ascii="Times New Roman" w:hAnsi="Times New Roman" w:cs="Times New Roman"/>
                <w:sz w:val="21"/>
                <w:szCs w:val="21"/>
              </w:rPr>
              <w:t>□</w:t>
            </w:r>
            <w:r>
              <w:rPr>
                <w:rFonts w:hint="eastAsia" w:ascii="Times New Roman" w:hAnsi="Times New Roman" w:cs="Times New Roman"/>
                <w:sz w:val="21"/>
                <w:szCs w:val="21"/>
              </w:rPr>
              <w:t>；既有实测</w:t>
            </w:r>
            <w:r>
              <w:rPr>
                <w:rFonts w:ascii="Times New Roman" w:hAnsi="Times New Roman" w:cs="Times New Roman"/>
                <w:sz w:val="21"/>
                <w:szCs w:val="21"/>
              </w:rPr>
              <w:t>□</w:t>
            </w:r>
            <w:r>
              <w:rPr>
                <w:rFonts w:hint="eastAsia" w:ascii="Times New Roman" w:hAnsi="Times New Roman" w:cs="Times New Roman"/>
                <w:sz w:val="21"/>
                <w:szCs w:val="21"/>
              </w:rPr>
              <w:t>；现场监测口；入污排放口数据</w:t>
            </w:r>
            <w:r>
              <w:rPr>
                <w:rFonts w:ascii="Times New Roman" w:hAnsi="Times New Roman" w:cs="Times New Roman"/>
                <w:sz w:val="21"/>
                <w:szCs w:val="21"/>
              </w:rPr>
              <w:t>□</w:t>
            </w:r>
            <w:r>
              <w:rPr>
                <w:rFonts w:hint="eastAsia" w:ascii="Times New Roman" w:hAnsi="Times New Roman" w:cs="Times New Roman"/>
                <w:sz w:val="21"/>
                <w:szCs w:val="21"/>
              </w:rPr>
              <w:t>；其他</w:t>
            </w:r>
            <w:r>
              <w:rPr>
                <w:rFonts w:ascii="Times New Roman" w:hAnsi="Times New Roman" w:cs="Times New Roman"/>
                <w:sz w:val="21"/>
                <w:szCs w:val="21"/>
              </w:rPr>
              <w:t>□</w:t>
            </w:r>
          </w:p>
        </w:tc>
      </w:tr>
      <w:tr w14:paraId="24E1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535586A7">
            <w:pPr>
              <w:spacing w:line="300" w:lineRule="exact"/>
              <w:jc w:val="center"/>
              <w:rPr>
                <w:rFonts w:ascii="Times New Roman" w:hAnsi="Times New Roman" w:cs="Times New Roman"/>
                <w:sz w:val="21"/>
                <w:szCs w:val="21"/>
              </w:rPr>
            </w:pPr>
          </w:p>
        </w:tc>
        <w:tc>
          <w:tcPr>
            <w:tcW w:w="823" w:type="pct"/>
            <w:vMerge w:val="restart"/>
            <w:tcBorders>
              <w:top w:val="nil"/>
              <w:left w:val="nil"/>
              <w:bottom w:val="single" w:color="auto" w:sz="4" w:space="0"/>
              <w:right w:val="single" w:color="auto" w:sz="4" w:space="0"/>
            </w:tcBorders>
            <w:vAlign w:val="center"/>
          </w:tcPr>
          <w:p w14:paraId="1CEF63A4">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受影响水体水环境质量</w:t>
            </w:r>
          </w:p>
        </w:tc>
        <w:tc>
          <w:tcPr>
            <w:tcW w:w="2135" w:type="pct"/>
            <w:gridSpan w:val="6"/>
            <w:tcBorders>
              <w:top w:val="single" w:color="auto" w:sz="4" w:space="0"/>
              <w:left w:val="nil"/>
              <w:bottom w:val="single" w:color="auto" w:sz="4" w:space="0"/>
              <w:right w:val="single" w:color="auto" w:sz="4" w:space="0"/>
            </w:tcBorders>
            <w:vAlign w:val="center"/>
          </w:tcPr>
          <w:p w14:paraId="666A5BD9">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调查时期</w:t>
            </w:r>
          </w:p>
        </w:tc>
        <w:tc>
          <w:tcPr>
            <w:tcW w:w="1783" w:type="pct"/>
            <w:gridSpan w:val="6"/>
            <w:tcBorders>
              <w:top w:val="single" w:color="auto" w:sz="4" w:space="0"/>
              <w:left w:val="nil"/>
              <w:bottom w:val="single" w:color="auto" w:sz="4" w:space="0"/>
              <w:right w:val="nil"/>
            </w:tcBorders>
            <w:vAlign w:val="center"/>
          </w:tcPr>
          <w:p w14:paraId="685EEECF">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数据来源</w:t>
            </w:r>
          </w:p>
        </w:tc>
      </w:tr>
      <w:tr w14:paraId="70BDC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5225D1A1">
            <w:pPr>
              <w:spacing w:line="300" w:lineRule="exact"/>
              <w:jc w:val="center"/>
              <w:rPr>
                <w:rFonts w:ascii="Times New Roman" w:hAnsi="Times New Roman" w:cs="Times New Roman"/>
                <w:sz w:val="21"/>
                <w:szCs w:val="21"/>
              </w:rPr>
            </w:pPr>
          </w:p>
        </w:tc>
        <w:tc>
          <w:tcPr>
            <w:tcW w:w="823" w:type="pct"/>
            <w:vMerge w:val="continue"/>
            <w:tcBorders>
              <w:top w:val="nil"/>
              <w:left w:val="nil"/>
              <w:bottom w:val="single" w:color="auto" w:sz="4" w:space="0"/>
              <w:right w:val="single" w:color="auto" w:sz="4" w:space="0"/>
            </w:tcBorders>
            <w:vAlign w:val="center"/>
          </w:tcPr>
          <w:p w14:paraId="6B4D16F7">
            <w:pPr>
              <w:spacing w:line="300" w:lineRule="exact"/>
              <w:jc w:val="center"/>
              <w:rPr>
                <w:rFonts w:ascii="Times New Roman" w:hAnsi="Times New Roman" w:cs="Times New Roman"/>
                <w:sz w:val="21"/>
                <w:szCs w:val="21"/>
              </w:rPr>
            </w:pPr>
          </w:p>
        </w:tc>
        <w:tc>
          <w:tcPr>
            <w:tcW w:w="2135" w:type="pct"/>
            <w:gridSpan w:val="6"/>
            <w:tcBorders>
              <w:top w:val="single" w:color="auto" w:sz="4" w:space="0"/>
              <w:left w:val="nil"/>
              <w:bottom w:val="single" w:color="auto" w:sz="4" w:space="0"/>
              <w:right w:val="single" w:color="auto" w:sz="4" w:space="0"/>
            </w:tcBorders>
            <w:vAlign w:val="center"/>
          </w:tcPr>
          <w:p w14:paraId="5F14ACC8">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丰水期</w:t>
            </w:r>
            <w:r>
              <w:rPr>
                <w:color w:val="000000"/>
                <w:szCs w:val="21"/>
              </w:rPr>
              <w:sym w:font="Wingdings 2" w:char="F052"/>
            </w:r>
            <w:r>
              <w:rPr>
                <w:rFonts w:hint="eastAsia" w:ascii="Times New Roman" w:hAnsi="Times New Roman" w:cs="Times New Roman"/>
                <w:sz w:val="21"/>
                <w:szCs w:val="21"/>
              </w:rPr>
              <w:t>；平水期</w:t>
            </w:r>
            <w:r>
              <w:rPr>
                <w:rFonts w:ascii="Times New Roman" w:hAnsi="Times New Roman" w:cs="Times New Roman"/>
                <w:sz w:val="21"/>
                <w:szCs w:val="21"/>
              </w:rPr>
              <w:t>□</w:t>
            </w:r>
            <w:r>
              <w:rPr>
                <w:rFonts w:hint="eastAsia" w:ascii="Times New Roman" w:hAnsi="Times New Roman" w:cs="Times New Roman"/>
                <w:sz w:val="21"/>
                <w:szCs w:val="21"/>
              </w:rPr>
              <w:t>；枯水期</w:t>
            </w:r>
            <w:r>
              <w:rPr>
                <w:rFonts w:ascii="Times New Roman" w:hAnsi="Times New Roman" w:cs="Times New Roman"/>
                <w:sz w:val="21"/>
                <w:szCs w:val="21"/>
              </w:rPr>
              <w:t>□</w:t>
            </w:r>
            <w:r>
              <w:rPr>
                <w:rFonts w:hint="eastAsia" w:ascii="Times New Roman" w:hAnsi="Times New Roman" w:cs="Times New Roman"/>
                <w:sz w:val="21"/>
                <w:szCs w:val="21"/>
              </w:rPr>
              <w:t>；冰封期</w:t>
            </w:r>
            <w:r>
              <w:rPr>
                <w:rFonts w:ascii="Times New Roman" w:hAnsi="Times New Roman" w:cs="Times New Roman"/>
                <w:sz w:val="21"/>
                <w:szCs w:val="21"/>
              </w:rPr>
              <w:t>□</w:t>
            </w:r>
          </w:p>
          <w:p w14:paraId="4773B41C">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春季</w:t>
            </w:r>
            <w:r>
              <w:rPr>
                <w:rFonts w:ascii="Times New Roman" w:hAnsi="Times New Roman" w:cs="Times New Roman"/>
                <w:sz w:val="21"/>
                <w:szCs w:val="21"/>
              </w:rPr>
              <w:t>□</w:t>
            </w:r>
            <w:r>
              <w:rPr>
                <w:rFonts w:hint="eastAsia" w:ascii="Times New Roman" w:hAnsi="Times New Roman" w:cs="Times New Roman"/>
                <w:sz w:val="21"/>
                <w:szCs w:val="21"/>
              </w:rPr>
              <w:t>；夏季</w:t>
            </w:r>
            <w:r>
              <w:rPr>
                <w:color w:val="000000"/>
                <w:szCs w:val="21"/>
              </w:rPr>
              <w:sym w:font="Wingdings 2" w:char="F052"/>
            </w:r>
            <w:r>
              <w:rPr>
                <w:rFonts w:hint="eastAsia" w:ascii="Times New Roman" w:hAnsi="Times New Roman" w:cs="Times New Roman"/>
                <w:sz w:val="21"/>
                <w:szCs w:val="21"/>
              </w:rPr>
              <w:t>；秋季</w:t>
            </w:r>
            <w:r>
              <w:rPr>
                <w:rFonts w:ascii="Times New Roman" w:hAnsi="Times New Roman" w:cs="Times New Roman"/>
                <w:sz w:val="21"/>
                <w:szCs w:val="21"/>
              </w:rPr>
              <w:t>□</w:t>
            </w:r>
            <w:r>
              <w:rPr>
                <w:rFonts w:hint="eastAsia" w:ascii="Times New Roman" w:hAnsi="Times New Roman" w:cs="Times New Roman"/>
                <w:sz w:val="21"/>
                <w:szCs w:val="21"/>
              </w:rPr>
              <w:t>；冬季</w:t>
            </w:r>
            <w:r>
              <w:rPr>
                <w:rFonts w:ascii="Times New Roman" w:hAnsi="Times New Roman" w:cs="Times New Roman"/>
                <w:sz w:val="21"/>
                <w:szCs w:val="21"/>
              </w:rPr>
              <w:t>□</w:t>
            </w:r>
          </w:p>
        </w:tc>
        <w:tc>
          <w:tcPr>
            <w:tcW w:w="1783" w:type="pct"/>
            <w:gridSpan w:val="6"/>
            <w:tcBorders>
              <w:top w:val="single" w:color="auto" w:sz="4" w:space="0"/>
              <w:left w:val="nil"/>
              <w:bottom w:val="single" w:color="auto" w:sz="4" w:space="0"/>
              <w:right w:val="nil"/>
            </w:tcBorders>
            <w:vAlign w:val="center"/>
          </w:tcPr>
          <w:p w14:paraId="401A9353">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生态环境保护主管部门</w:t>
            </w:r>
            <w:r>
              <w:rPr>
                <w:rFonts w:ascii="Times New Roman" w:hAnsi="Times New Roman" w:cs="Times New Roman"/>
                <w:sz w:val="21"/>
                <w:szCs w:val="21"/>
              </w:rPr>
              <w:t>□</w:t>
            </w:r>
            <w:r>
              <w:rPr>
                <w:rFonts w:hint="eastAsia" w:ascii="Times New Roman" w:hAnsi="Times New Roman" w:cs="Times New Roman"/>
                <w:sz w:val="21"/>
                <w:szCs w:val="21"/>
              </w:rPr>
              <w:t>；补充监测□；其他</w:t>
            </w:r>
            <w:r>
              <w:rPr>
                <w:rFonts w:ascii="Times New Roman" w:hAnsi="Times New Roman" w:cs="Times New Roman"/>
                <w:sz w:val="21"/>
                <w:szCs w:val="21"/>
              </w:rPr>
              <w:t>□</w:t>
            </w:r>
          </w:p>
        </w:tc>
      </w:tr>
      <w:tr w14:paraId="6F88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32446B04">
            <w:pPr>
              <w:spacing w:line="300" w:lineRule="exact"/>
              <w:jc w:val="center"/>
              <w:rPr>
                <w:rFonts w:ascii="Times New Roman" w:hAnsi="Times New Roman" w:cs="Times New Roman"/>
                <w:sz w:val="21"/>
                <w:szCs w:val="21"/>
              </w:rPr>
            </w:pPr>
          </w:p>
        </w:tc>
        <w:tc>
          <w:tcPr>
            <w:tcW w:w="823" w:type="pct"/>
            <w:tcBorders>
              <w:top w:val="single" w:color="auto" w:sz="4" w:space="0"/>
              <w:left w:val="nil"/>
              <w:bottom w:val="single" w:color="auto" w:sz="4" w:space="0"/>
              <w:right w:val="single" w:color="auto" w:sz="4" w:space="0"/>
            </w:tcBorders>
            <w:vAlign w:val="center"/>
          </w:tcPr>
          <w:p w14:paraId="38E2B167">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区域水资源开发利用状况</w:t>
            </w:r>
          </w:p>
        </w:tc>
        <w:tc>
          <w:tcPr>
            <w:tcW w:w="3918" w:type="pct"/>
            <w:gridSpan w:val="12"/>
            <w:tcBorders>
              <w:top w:val="single" w:color="auto" w:sz="4" w:space="0"/>
              <w:left w:val="nil"/>
              <w:bottom w:val="single" w:color="auto" w:sz="4" w:space="0"/>
              <w:right w:val="nil"/>
            </w:tcBorders>
            <w:vAlign w:val="center"/>
          </w:tcPr>
          <w:p w14:paraId="5E083ED0">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未开发</w:t>
            </w:r>
            <w:r>
              <w:rPr>
                <w:rFonts w:ascii="Times New Roman" w:hAnsi="Times New Roman" w:cs="Times New Roman"/>
                <w:sz w:val="21"/>
                <w:szCs w:val="21"/>
              </w:rPr>
              <w:t>□</w:t>
            </w:r>
            <w:r>
              <w:rPr>
                <w:rFonts w:hint="eastAsia" w:ascii="Times New Roman" w:hAnsi="Times New Roman" w:cs="Times New Roman"/>
                <w:sz w:val="21"/>
                <w:szCs w:val="21"/>
              </w:rPr>
              <w:t>；开发量</w:t>
            </w:r>
            <w:r>
              <w:rPr>
                <w:rFonts w:ascii="Times New Roman" w:hAnsi="Times New Roman" w:cs="Times New Roman"/>
                <w:sz w:val="21"/>
                <w:szCs w:val="21"/>
              </w:rPr>
              <w:t>40%</w:t>
            </w:r>
            <w:r>
              <w:rPr>
                <w:rFonts w:hint="eastAsia" w:ascii="Times New Roman" w:hAnsi="Times New Roman" w:cs="Times New Roman"/>
                <w:sz w:val="21"/>
                <w:szCs w:val="21"/>
              </w:rPr>
              <w:t>以下</w:t>
            </w:r>
            <w:r>
              <w:rPr>
                <w:color w:val="000000"/>
                <w:szCs w:val="21"/>
              </w:rPr>
              <w:sym w:font="Wingdings 2" w:char="F052"/>
            </w:r>
            <w:r>
              <w:rPr>
                <w:rFonts w:hint="eastAsia" w:ascii="Times New Roman" w:hAnsi="Times New Roman" w:cs="Times New Roman"/>
                <w:sz w:val="21"/>
                <w:szCs w:val="21"/>
              </w:rPr>
              <w:t>；开发量</w:t>
            </w:r>
            <w:r>
              <w:rPr>
                <w:rFonts w:ascii="Times New Roman" w:hAnsi="Times New Roman" w:cs="Times New Roman"/>
                <w:sz w:val="21"/>
                <w:szCs w:val="21"/>
              </w:rPr>
              <w:t>40%</w:t>
            </w:r>
            <w:r>
              <w:rPr>
                <w:rFonts w:hint="eastAsia" w:ascii="Times New Roman" w:hAnsi="Times New Roman" w:cs="Times New Roman"/>
                <w:sz w:val="21"/>
                <w:szCs w:val="21"/>
              </w:rPr>
              <w:t>以上</w:t>
            </w:r>
            <w:r>
              <w:rPr>
                <w:rFonts w:ascii="Times New Roman" w:hAnsi="Times New Roman" w:cs="Times New Roman"/>
                <w:sz w:val="21"/>
                <w:szCs w:val="21"/>
              </w:rPr>
              <w:t>□</w:t>
            </w:r>
          </w:p>
        </w:tc>
      </w:tr>
      <w:tr w14:paraId="7CE5E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4220C4D2">
            <w:pPr>
              <w:spacing w:line="300" w:lineRule="exact"/>
              <w:jc w:val="center"/>
              <w:rPr>
                <w:rFonts w:ascii="Times New Roman" w:hAnsi="Times New Roman" w:cs="Times New Roman"/>
                <w:sz w:val="21"/>
                <w:szCs w:val="21"/>
              </w:rPr>
            </w:pPr>
          </w:p>
        </w:tc>
        <w:tc>
          <w:tcPr>
            <w:tcW w:w="823" w:type="pct"/>
            <w:vMerge w:val="restart"/>
            <w:tcBorders>
              <w:top w:val="nil"/>
              <w:left w:val="nil"/>
              <w:bottom w:val="single" w:color="auto" w:sz="4" w:space="0"/>
              <w:right w:val="single" w:color="auto" w:sz="4" w:space="0"/>
            </w:tcBorders>
            <w:vAlign w:val="center"/>
          </w:tcPr>
          <w:p w14:paraId="040F7512">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水文情势调查</w:t>
            </w:r>
          </w:p>
        </w:tc>
        <w:tc>
          <w:tcPr>
            <w:tcW w:w="2135" w:type="pct"/>
            <w:gridSpan w:val="6"/>
            <w:tcBorders>
              <w:top w:val="single" w:color="auto" w:sz="4" w:space="0"/>
              <w:left w:val="nil"/>
              <w:bottom w:val="single" w:color="auto" w:sz="4" w:space="0"/>
              <w:right w:val="single" w:color="auto" w:sz="4" w:space="0"/>
            </w:tcBorders>
            <w:vAlign w:val="center"/>
          </w:tcPr>
          <w:p w14:paraId="2EFECBFE">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调查时期</w:t>
            </w:r>
          </w:p>
        </w:tc>
        <w:tc>
          <w:tcPr>
            <w:tcW w:w="1783" w:type="pct"/>
            <w:gridSpan w:val="6"/>
            <w:tcBorders>
              <w:top w:val="single" w:color="auto" w:sz="4" w:space="0"/>
              <w:left w:val="nil"/>
              <w:bottom w:val="single" w:color="auto" w:sz="4" w:space="0"/>
              <w:right w:val="nil"/>
            </w:tcBorders>
            <w:vAlign w:val="center"/>
          </w:tcPr>
          <w:p w14:paraId="457A9E78">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数据来源</w:t>
            </w:r>
          </w:p>
        </w:tc>
      </w:tr>
      <w:tr w14:paraId="534C8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33FD6181">
            <w:pPr>
              <w:spacing w:line="300" w:lineRule="exact"/>
              <w:jc w:val="center"/>
              <w:rPr>
                <w:rFonts w:ascii="Times New Roman" w:hAnsi="Times New Roman" w:cs="Times New Roman"/>
                <w:sz w:val="21"/>
                <w:szCs w:val="21"/>
              </w:rPr>
            </w:pPr>
          </w:p>
        </w:tc>
        <w:tc>
          <w:tcPr>
            <w:tcW w:w="823" w:type="pct"/>
            <w:vMerge w:val="continue"/>
            <w:tcBorders>
              <w:top w:val="nil"/>
              <w:left w:val="nil"/>
              <w:bottom w:val="single" w:color="auto" w:sz="4" w:space="0"/>
              <w:right w:val="single" w:color="auto" w:sz="4" w:space="0"/>
            </w:tcBorders>
            <w:vAlign w:val="center"/>
          </w:tcPr>
          <w:p w14:paraId="47B39638">
            <w:pPr>
              <w:spacing w:line="300" w:lineRule="exact"/>
              <w:jc w:val="center"/>
              <w:rPr>
                <w:rFonts w:ascii="Times New Roman" w:hAnsi="Times New Roman" w:cs="Times New Roman"/>
                <w:sz w:val="21"/>
                <w:szCs w:val="21"/>
              </w:rPr>
            </w:pPr>
          </w:p>
        </w:tc>
        <w:tc>
          <w:tcPr>
            <w:tcW w:w="2135" w:type="pct"/>
            <w:gridSpan w:val="6"/>
            <w:tcBorders>
              <w:top w:val="single" w:color="auto" w:sz="4" w:space="0"/>
              <w:left w:val="nil"/>
              <w:bottom w:val="single" w:color="auto" w:sz="4" w:space="0"/>
              <w:right w:val="single" w:color="auto" w:sz="4" w:space="0"/>
            </w:tcBorders>
            <w:vAlign w:val="center"/>
          </w:tcPr>
          <w:p w14:paraId="09231357">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丰水期</w:t>
            </w:r>
            <w:r>
              <w:rPr>
                <w:color w:val="000000"/>
                <w:szCs w:val="21"/>
              </w:rPr>
              <w:sym w:font="Wingdings 2" w:char="F052"/>
            </w:r>
            <w:r>
              <w:rPr>
                <w:rFonts w:hint="eastAsia" w:ascii="Times New Roman" w:hAnsi="Times New Roman" w:cs="Times New Roman"/>
                <w:sz w:val="21"/>
                <w:szCs w:val="21"/>
              </w:rPr>
              <w:t>；平水期</w:t>
            </w:r>
            <w:r>
              <w:rPr>
                <w:rFonts w:ascii="Times New Roman" w:hAnsi="Times New Roman" w:cs="Times New Roman"/>
                <w:sz w:val="21"/>
                <w:szCs w:val="21"/>
              </w:rPr>
              <w:t>□</w:t>
            </w:r>
            <w:r>
              <w:rPr>
                <w:rFonts w:hint="eastAsia" w:ascii="Times New Roman" w:hAnsi="Times New Roman" w:cs="Times New Roman"/>
                <w:sz w:val="21"/>
                <w:szCs w:val="21"/>
              </w:rPr>
              <w:t>；枯水期</w:t>
            </w:r>
            <w:r>
              <w:rPr>
                <w:rFonts w:ascii="Times New Roman" w:hAnsi="Times New Roman" w:cs="Times New Roman"/>
                <w:sz w:val="21"/>
                <w:szCs w:val="21"/>
              </w:rPr>
              <w:t>□</w:t>
            </w:r>
            <w:r>
              <w:rPr>
                <w:rFonts w:hint="eastAsia" w:ascii="Times New Roman" w:hAnsi="Times New Roman" w:cs="Times New Roman"/>
                <w:sz w:val="21"/>
                <w:szCs w:val="21"/>
              </w:rPr>
              <w:t>；冰封期</w:t>
            </w:r>
            <w:r>
              <w:rPr>
                <w:rFonts w:ascii="Times New Roman" w:hAnsi="Times New Roman" w:cs="Times New Roman"/>
                <w:sz w:val="21"/>
                <w:szCs w:val="21"/>
              </w:rPr>
              <w:t>□</w:t>
            </w:r>
          </w:p>
          <w:p w14:paraId="030F885C">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春季</w:t>
            </w:r>
            <w:r>
              <w:rPr>
                <w:rFonts w:ascii="Times New Roman" w:hAnsi="Times New Roman" w:cs="Times New Roman"/>
                <w:sz w:val="21"/>
                <w:szCs w:val="21"/>
              </w:rPr>
              <w:t>□</w:t>
            </w:r>
            <w:r>
              <w:rPr>
                <w:rFonts w:hint="eastAsia" w:ascii="Times New Roman" w:hAnsi="Times New Roman" w:cs="Times New Roman"/>
                <w:sz w:val="21"/>
                <w:szCs w:val="21"/>
              </w:rPr>
              <w:t>；夏季</w:t>
            </w:r>
            <w:r>
              <w:rPr>
                <w:color w:val="000000"/>
                <w:szCs w:val="21"/>
              </w:rPr>
              <w:sym w:font="Wingdings 2" w:char="F052"/>
            </w:r>
            <w:r>
              <w:rPr>
                <w:rFonts w:hint="eastAsia" w:ascii="Times New Roman" w:hAnsi="Times New Roman" w:cs="Times New Roman"/>
                <w:sz w:val="21"/>
                <w:szCs w:val="21"/>
              </w:rPr>
              <w:t>；秋季</w:t>
            </w:r>
            <w:r>
              <w:rPr>
                <w:rFonts w:ascii="Times New Roman" w:hAnsi="Times New Roman" w:cs="Times New Roman"/>
                <w:sz w:val="21"/>
                <w:szCs w:val="21"/>
              </w:rPr>
              <w:t>□</w:t>
            </w:r>
            <w:r>
              <w:rPr>
                <w:rFonts w:hint="eastAsia" w:ascii="Times New Roman" w:hAnsi="Times New Roman" w:cs="Times New Roman"/>
                <w:sz w:val="21"/>
                <w:szCs w:val="21"/>
              </w:rPr>
              <w:t>；冬季</w:t>
            </w:r>
            <w:r>
              <w:rPr>
                <w:rFonts w:ascii="Times New Roman" w:hAnsi="Times New Roman" w:cs="Times New Roman"/>
                <w:sz w:val="21"/>
                <w:szCs w:val="21"/>
              </w:rPr>
              <w:t>□</w:t>
            </w:r>
          </w:p>
        </w:tc>
        <w:tc>
          <w:tcPr>
            <w:tcW w:w="1783" w:type="pct"/>
            <w:gridSpan w:val="6"/>
            <w:tcBorders>
              <w:top w:val="single" w:color="auto" w:sz="4" w:space="0"/>
              <w:left w:val="nil"/>
              <w:bottom w:val="single" w:color="auto" w:sz="4" w:space="0"/>
              <w:right w:val="nil"/>
            </w:tcBorders>
            <w:vAlign w:val="center"/>
          </w:tcPr>
          <w:p w14:paraId="5305A161">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生态环境保护主管部门</w:t>
            </w:r>
            <w:r>
              <w:rPr>
                <w:rFonts w:ascii="Times New Roman" w:hAnsi="Times New Roman" w:cs="Times New Roman"/>
                <w:sz w:val="21"/>
                <w:szCs w:val="21"/>
              </w:rPr>
              <w:t>□</w:t>
            </w:r>
            <w:r>
              <w:rPr>
                <w:rFonts w:hint="eastAsia" w:ascii="Times New Roman" w:hAnsi="Times New Roman" w:cs="Times New Roman"/>
                <w:sz w:val="21"/>
                <w:szCs w:val="21"/>
              </w:rPr>
              <w:t>；补充监测</w:t>
            </w:r>
            <w:r>
              <w:rPr>
                <w:rFonts w:ascii="Times New Roman" w:hAnsi="Times New Roman" w:cs="Times New Roman"/>
                <w:sz w:val="21"/>
                <w:szCs w:val="21"/>
              </w:rPr>
              <w:t>□</w:t>
            </w:r>
            <w:r>
              <w:rPr>
                <w:rFonts w:hint="eastAsia" w:ascii="Times New Roman" w:hAnsi="Times New Roman" w:cs="Times New Roman"/>
                <w:sz w:val="21"/>
                <w:szCs w:val="21"/>
              </w:rPr>
              <w:t>；其他</w:t>
            </w:r>
            <w:r>
              <w:rPr>
                <w:rFonts w:ascii="Times New Roman" w:hAnsi="Times New Roman" w:cs="Times New Roman"/>
                <w:sz w:val="21"/>
                <w:szCs w:val="21"/>
              </w:rPr>
              <w:t>□</w:t>
            </w:r>
          </w:p>
        </w:tc>
      </w:tr>
      <w:tr w14:paraId="70A40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0A0A0BAB">
            <w:pPr>
              <w:spacing w:line="300" w:lineRule="exact"/>
              <w:jc w:val="center"/>
              <w:rPr>
                <w:rFonts w:ascii="Times New Roman" w:hAnsi="Times New Roman" w:cs="Times New Roman"/>
                <w:sz w:val="21"/>
                <w:szCs w:val="21"/>
              </w:rPr>
            </w:pPr>
          </w:p>
        </w:tc>
        <w:tc>
          <w:tcPr>
            <w:tcW w:w="823" w:type="pct"/>
            <w:vMerge w:val="restart"/>
            <w:tcBorders>
              <w:top w:val="nil"/>
              <w:left w:val="nil"/>
              <w:bottom w:val="single" w:color="auto" w:sz="4" w:space="0"/>
              <w:right w:val="single" w:color="auto" w:sz="4" w:space="0"/>
            </w:tcBorders>
            <w:vAlign w:val="center"/>
          </w:tcPr>
          <w:p w14:paraId="7D18A0C9">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补充监测</w:t>
            </w:r>
          </w:p>
        </w:tc>
        <w:tc>
          <w:tcPr>
            <w:tcW w:w="2135" w:type="pct"/>
            <w:gridSpan w:val="6"/>
            <w:tcBorders>
              <w:top w:val="single" w:color="auto" w:sz="4" w:space="0"/>
              <w:left w:val="nil"/>
              <w:bottom w:val="single" w:color="auto" w:sz="4" w:space="0"/>
              <w:right w:val="single" w:color="auto" w:sz="4" w:space="0"/>
            </w:tcBorders>
            <w:vAlign w:val="center"/>
          </w:tcPr>
          <w:p w14:paraId="05FC8BAB">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监测时期</w:t>
            </w:r>
          </w:p>
        </w:tc>
        <w:tc>
          <w:tcPr>
            <w:tcW w:w="847" w:type="pct"/>
            <w:gridSpan w:val="4"/>
            <w:tcBorders>
              <w:top w:val="single" w:color="auto" w:sz="4" w:space="0"/>
              <w:left w:val="nil"/>
              <w:bottom w:val="single" w:color="auto" w:sz="4" w:space="0"/>
              <w:right w:val="single" w:color="auto" w:sz="4" w:space="0"/>
            </w:tcBorders>
            <w:vAlign w:val="center"/>
          </w:tcPr>
          <w:p w14:paraId="01E4C3CF">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监测因子</w:t>
            </w:r>
          </w:p>
        </w:tc>
        <w:tc>
          <w:tcPr>
            <w:tcW w:w="936" w:type="pct"/>
            <w:gridSpan w:val="2"/>
            <w:tcBorders>
              <w:top w:val="single" w:color="auto" w:sz="4" w:space="0"/>
              <w:left w:val="nil"/>
              <w:bottom w:val="single" w:color="auto" w:sz="4" w:space="0"/>
              <w:right w:val="nil"/>
            </w:tcBorders>
            <w:vAlign w:val="center"/>
          </w:tcPr>
          <w:p w14:paraId="18EB4495">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监测断面或点位</w:t>
            </w:r>
          </w:p>
        </w:tc>
      </w:tr>
      <w:tr w14:paraId="011F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436B01DB">
            <w:pPr>
              <w:spacing w:line="300" w:lineRule="exact"/>
              <w:jc w:val="center"/>
              <w:rPr>
                <w:rFonts w:ascii="Times New Roman" w:hAnsi="Times New Roman" w:cs="Times New Roman"/>
                <w:sz w:val="21"/>
                <w:szCs w:val="21"/>
              </w:rPr>
            </w:pPr>
          </w:p>
        </w:tc>
        <w:tc>
          <w:tcPr>
            <w:tcW w:w="823" w:type="pct"/>
            <w:vMerge w:val="continue"/>
            <w:tcBorders>
              <w:top w:val="nil"/>
              <w:left w:val="nil"/>
              <w:bottom w:val="single" w:color="auto" w:sz="4" w:space="0"/>
              <w:right w:val="single" w:color="auto" w:sz="4" w:space="0"/>
            </w:tcBorders>
            <w:vAlign w:val="center"/>
          </w:tcPr>
          <w:p w14:paraId="768E73D2">
            <w:pPr>
              <w:spacing w:line="300" w:lineRule="exact"/>
              <w:jc w:val="center"/>
              <w:rPr>
                <w:rFonts w:ascii="Times New Roman" w:hAnsi="Times New Roman" w:cs="Times New Roman"/>
                <w:sz w:val="21"/>
                <w:szCs w:val="21"/>
              </w:rPr>
            </w:pPr>
          </w:p>
        </w:tc>
        <w:tc>
          <w:tcPr>
            <w:tcW w:w="2135" w:type="pct"/>
            <w:gridSpan w:val="6"/>
            <w:tcBorders>
              <w:top w:val="single" w:color="auto" w:sz="4" w:space="0"/>
              <w:left w:val="nil"/>
              <w:bottom w:val="single" w:color="auto" w:sz="4" w:space="0"/>
              <w:right w:val="single" w:color="auto" w:sz="4" w:space="0"/>
            </w:tcBorders>
            <w:vAlign w:val="center"/>
          </w:tcPr>
          <w:p w14:paraId="5C1AB1A0">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丰水期</w:t>
            </w:r>
            <w:r>
              <w:rPr>
                <w:color w:val="000000"/>
                <w:szCs w:val="21"/>
              </w:rPr>
              <w:sym w:font="Wingdings 2" w:char="F052"/>
            </w:r>
            <w:r>
              <w:rPr>
                <w:rFonts w:hint="eastAsia" w:ascii="Times New Roman" w:hAnsi="Times New Roman" w:cs="Times New Roman"/>
                <w:sz w:val="21"/>
                <w:szCs w:val="21"/>
              </w:rPr>
              <w:t>；平水期</w:t>
            </w:r>
            <w:r>
              <w:rPr>
                <w:rFonts w:ascii="Times New Roman" w:hAnsi="Times New Roman" w:cs="Times New Roman"/>
                <w:sz w:val="21"/>
                <w:szCs w:val="21"/>
              </w:rPr>
              <w:t>□</w:t>
            </w:r>
            <w:r>
              <w:rPr>
                <w:rFonts w:hint="eastAsia" w:ascii="Times New Roman" w:hAnsi="Times New Roman" w:cs="Times New Roman"/>
                <w:sz w:val="21"/>
                <w:szCs w:val="21"/>
              </w:rPr>
              <w:t>；枯水期</w:t>
            </w:r>
            <w:r>
              <w:rPr>
                <w:rFonts w:ascii="Times New Roman" w:hAnsi="Times New Roman" w:cs="Times New Roman"/>
                <w:sz w:val="21"/>
                <w:szCs w:val="21"/>
              </w:rPr>
              <w:t>□</w:t>
            </w:r>
            <w:r>
              <w:rPr>
                <w:rFonts w:hint="eastAsia" w:ascii="Times New Roman" w:hAnsi="Times New Roman" w:cs="Times New Roman"/>
                <w:sz w:val="21"/>
                <w:szCs w:val="21"/>
              </w:rPr>
              <w:t>；冰封期</w:t>
            </w:r>
            <w:r>
              <w:rPr>
                <w:rFonts w:ascii="Times New Roman" w:hAnsi="Times New Roman" w:cs="Times New Roman"/>
                <w:sz w:val="21"/>
                <w:szCs w:val="21"/>
              </w:rPr>
              <w:t>□</w:t>
            </w:r>
          </w:p>
          <w:p w14:paraId="0386B9E0">
            <w:pPr>
              <w:adjustRightInd w:val="0"/>
              <w:spacing w:line="300" w:lineRule="exact"/>
              <w:jc w:val="center"/>
              <w:rPr>
                <w:rFonts w:ascii="Times New Roman" w:hAnsi="Times New Roman" w:eastAsia="宋体" w:cs="Times New Roman"/>
                <w:sz w:val="21"/>
                <w:szCs w:val="21"/>
              </w:rPr>
            </w:pPr>
            <w:r>
              <w:rPr>
                <w:rFonts w:hint="eastAsia" w:ascii="Times New Roman" w:hAnsi="Times New Roman" w:cs="Times New Roman"/>
                <w:sz w:val="21"/>
                <w:szCs w:val="21"/>
              </w:rPr>
              <w:t>春季</w:t>
            </w:r>
            <w:r>
              <w:rPr>
                <w:rFonts w:ascii="Times New Roman" w:hAnsi="Times New Roman" w:cs="Times New Roman"/>
                <w:sz w:val="21"/>
                <w:szCs w:val="21"/>
              </w:rPr>
              <w:t>□</w:t>
            </w:r>
            <w:r>
              <w:rPr>
                <w:rFonts w:hint="eastAsia" w:ascii="Times New Roman" w:hAnsi="Times New Roman" w:cs="Times New Roman"/>
                <w:sz w:val="21"/>
                <w:szCs w:val="21"/>
              </w:rPr>
              <w:t>；夏季</w:t>
            </w:r>
            <w:r>
              <w:rPr>
                <w:color w:val="000000"/>
                <w:szCs w:val="21"/>
              </w:rPr>
              <w:sym w:font="Wingdings 2" w:char="F052"/>
            </w:r>
            <w:r>
              <w:rPr>
                <w:rFonts w:hint="eastAsia" w:ascii="Times New Roman" w:hAnsi="Times New Roman" w:cs="Times New Roman"/>
                <w:sz w:val="21"/>
                <w:szCs w:val="21"/>
              </w:rPr>
              <w:t>；秋季</w:t>
            </w:r>
            <w:r>
              <w:rPr>
                <w:rFonts w:ascii="Times New Roman" w:hAnsi="Times New Roman" w:cs="Times New Roman"/>
                <w:sz w:val="21"/>
                <w:szCs w:val="21"/>
              </w:rPr>
              <w:t>□</w:t>
            </w:r>
            <w:r>
              <w:rPr>
                <w:rFonts w:hint="eastAsia" w:ascii="Times New Roman" w:hAnsi="Times New Roman" w:cs="Times New Roman"/>
                <w:sz w:val="21"/>
                <w:szCs w:val="21"/>
              </w:rPr>
              <w:t>；冬季</w:t>
            </w:r>
            <w:r>
              <w:rPr>
                <w:rFonts w:ascii="Times New Roman" w:hAnsi="Times New Roman" w:cs="Times New Roman"/>
                <w:sz w:val="21"/>
                <w:szCs w:val="21"/>
              </w:rPr>
              <w:t>□</w:t>
            </w:r>
          </w:p>
        </w:tc>
        <w:tc>
          <w:tcPr>
            <w:tcW w:w="847" w:type="pct"/>
            <w:gridSpan w:val="4"/>
            <w:tcBorders>
              <w:top w:val="single" w:color="auto" w:sz="4" w:space="0"/>
              <w:left w:val="nil"/>
              <w:bottom w:val="single" w:color="auto" w:sz="4" w:space="0"/>
              <w:right w:val="single" w:color="auto" w:sz="4" w:space="0"/>
            </w:tcBorders>
            <w:vAlign w:val="center"/>
          </w:tcPr>
          <w:p w14:paraId="526DF96C">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监测因子（</w:t>
            </w:r>
            <w:r>
              <w:rPr>
                <w:rFonts w:ascii="Times New Roman" w:hAnsi="Times New Roman" w:cs="Times New Roman"/>
                <w:sz w:val="21"/>
                <w:szCs w:val="21"/>
              </w:rPr>
              <w:t>pH</w:t>
            </w:r>
            <w:r>
              <w:rPr>
                <w:rFonts w:hint="eastAsia" w:ascii="Times New Roman" w:hAnsi="Times New Roman" w:cs="Times New Roman"/>
                <w:sz w:val="21"/>
                <w:szCs w:val="21"/>
              </w:rPr>
              <w:t>、DO、</w:t>
            </w:r>
            <w:r>
              <w:rPr>
                <w:rFonts w:ascii="Times New Roman" w:hAnsi="Times New Roman" w:cs="Times New Roman"/>
                <w:sz w:val="21"/>
                <w:szCs w:val="21"/>
              </w:rPr>
              <w:t>COD</w:t>
            </w:r>
            <w:r>
              <w:rPr>
                <w:rFonts w:hint="eastAsia" w:ascii="Times New Roman" w:hAnsi="Times New Roman" w:cs="Times New Roman"/>
                <w:sz w:val="21"/>
                <w:szCs w:val="21"/>
              </w:rPr>
              <w:t>、</w:t>
            </w:r>
            <w:r>
              <w:rPr>
                <w:rFonts w:ascii="Times New Roman" w:hAnsi="Times New Roman" w:cs="Times New Roman"/>
                <w:sz w:val="21"/>
                <w:szCs w:val="21"/>
              </w:rPr>
              <w:t>SS</w:t>
            </w:r>
            <w:r>
              <w:rPr>
                <w:rFonts w:hint="eastAsia" w:ascii="Times New Roman" w:hAnsi="Times New Roman" w:cs="Times New Roman"/>
                <w:sz w:val="21"/>
                <w:szCs w:val="21"/>
              </w:rPr>
              <w:t>、</w:t>
            </w:r>
            <w:r>
              <w:rPr>
                <w:rFonts w:ascii="Times New Roman" w:hAnsi="Times New Roman" w:cs="Times New Roman"/>
                <w:sz w:val="21"/>
                <w:szCs w:val="21"/>
              </w:rPr>
              <w:t>BOD</w:t>
            </w:r>
            <w:r>
              <w:rPr>
                <w:rFonts w:hint="eastAsia" w:ascii="Times New Roman" w:hAnsi="Times New Roman" w:cs="Times New Roman"/>
                <w:sz w:val="21"/>
                <w:szCs w:val="21"/>
                <w:vertAlign w:val="subscript"/>
              </w:rPr>
              <w:t>5</w:t>
            </w:r>
            <w:r>
              <w:rPr>
                <w:rFonts w:hint="eastAsia" w:ascii="Times New Roman" w:hAnsi="Times New Roman" w:cs="Times New Roman"/>
                <w:sz w:val="21"/>
                <w:szCs w:val="21"/>
              </w:rPr>
              <w:t>、氨氮、</w:t>
            </w:r>
            <w:r>
              <w:rPr>
                <w:rFonts w:ascii="Times New Roman" w:hAnsi="Times New Roman" w:cs="Times New Roman"/>
                <w:sz w:val="21"/>
                <w:szCs w:val="21"/>
              </w:rPr>
              <w:t>TP</w:t>
            </w:r>
            <w:r>
              <w:rPr>
                <w:rFonts w:hint="eastAsia" w:ascii="Times New Roman" w:hAnsi="Times New Roman" w:cs="Times New Roman"/>
                <w:sz w:val="21"/>
                <w:szCs w:val="21"/>
              </w:rPr>
              <w:t>、粪大肠菌群）</w:t>
            </w:r>
          </w:p>
        </w:tc>
        <w:tc>
          <w:tcPr>
            <w:tcW w:w="936" w:type="pct"/>
            <w:gridSpan w:val="2"/>
            <w:tcBorders>
              <w:top w:val="single" w:color="auto" w:sz="4" w:space="0"/>
              <w:left w:val="nil"/>
              <w:bottom w:val="single" w:color="auto" w:sz="4" w:space="0"/>
              <w:right w:val="nil"/>
            </w:tcBorders>
            <w:vAlign w:val="center"/>
          </w:tcPr>
          <w:p w14:paraId="663EB835">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监测断面或点位个数（1）个</w:t>
            </w:r>
          </w:p>
        </w:tc>
      </w:tr>
      <w:tr w14:paraId="7C0A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restart"/>
            <w:tcBorders>
              <w:top w:val="nil"/>
              <w:left w:val="nil"/>
              <w:bottom w:val="single" w:color="auto" w:sz="4" w:space="0"/>
              <w:right w:val="single" w:color="auto" w:sz="4" w:space="0"/>
            </w:tcBorders>
            <w:vAlign w:val="center"/>
          </w:tcPr>
          <w:p w14:paraId="53FCF96D">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现状评价</w:t>
            </w:r>
          </w:p>
        </w:tc>
        <w:tc>
          <w:tcPr>
            <w:tcW w:w="823" w:type="pct"/>
            <w:tcBorders>
              <w:top w:val="single" w:color="auto" w:sz="4" w:space="0"/>
              <w:left w:val="nil"/>
              <w:bottom w:val="single" w:color="auto" w:sz="4" w:space="0"/>
              <w:right w:val="single" w:color="auto" w:sz="4" w:space="0"/>
            </w:tcBorders>
            <w:vAlign w:val="center"/>
          </w:tcPr>
          <w:p w14:paraId="7E5A8029">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评价范围</w:t>
            </w:r>
          </w:p>
        </w:tc>
        <w:tc>
          <w:tcPr>
            <w:tcW w:w="3918" w:type="pct"/>
            <w:gridSpan w:val="12"/>
            <w:tcBorders>
              <w:top w:val="single" w:color="auto" w:sz="4" w:space="0"/>
              <w:left w:val="nil"/>
              <w:bottom w:val="single" w:color="auto" w:sz="4" w:space="0"/>
              <w:right w:val="nil"/>
            </w:tcBorders>
            <w:vAlign w:val="center"/>
          </w:tcPr>
          <w:p w14:paraId="2A56A444">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河流：长度（</w:t>
            </w:r>
            <w:r>
              <w:rPr>
                <w:rFonts w:ascii="Times New Roman" w:hAnsi="Times New Roman" w:cs="Times New Roman"/>
                <w:sz w:val="21"/>
                <w:szCs w:val="21"/>
              </w:rPr>
              <w:t xml:space="preserve">   </w:t>
            </w:r>
            <w:r>
              <w:rPr>
                <w:rFonts w:hint="eastAsia" w:ascii="Times New Roman" w:hAnsi="Times New Roman" w:cs="Times New Roman"/>
                <w:sz w:val="21"/>
                <w:szCs w:val="21"/>
              </w:rPr>
              <w:t>）</w:t>
            </w:r>
            <w:r>
              <w:rPr>
                <w:rFonts w:ascii="Times New Roman" w:hAnsi="Times New Roman" w:cs="Times New Roman"/>
                <w:sz w:val="21"/>
                <w:szCs w:val="21"/>
              </w:rPr>
              <w:t>km</w:t>
            </w:r>
            <w:r>
              <w:rPr>
                <w:rFonts w:hint="eastAsia" w:ascii="Times New Roman" w:hAnsi="Times New Roman" w:cs="Times New Roman"/>
                <w:sz w:val="21"/>
                <w:szCs w:val="21"/>
              </w:rPr>
              <w:t>；湖库、河口及近岸海域：（</w:t>
            </w:r>
            <w:r>
              <w:rPr>
                <w:rFonts w:ascii="Times New Roman" w:hAnsi="Times New Roman" w:cs="Times New Roman"/>
                <w:sz w:val="21"/>
                <w:szCs w:val="21"/>
              </w:rPr>
              <w:t xml:space="preserve">     </w:t>
            </w:r>
            <w:r>
              <w:rPr>
                <w:rFonts w:hint="eastAsia" w:ascii="Times New Roman" w:hAnsi="Times New Roman" w:cs="Times New Roman"/>
                <w:sz w:val="21"/>
                <w:szCs w:val="21"/>
              </w:rPr>
              <w:t>）</w:t>
            </w:r>
            <w:r>
              <w:rPr>
                <w:rFonts w:ascii="Times New Roman" w:hAnsi="Times New Roman" w:cs="Times New Roman"/>
                <w:sz w:val="21"/>
                <w:szCs w:val="21"/>
              </w:rPr>
              <w:t>km</w:t>
            </w:r>
            <w:r>
              <w:rPr>
                <w:rFonts w:ascii="Times New Roman" w:hAnsi="Times New Roman" w:cs="Times New Roman"/>
                <w:sz w:val="21"/>
                <w:szCs w:val="21"/>
                <w:vertAlign w:val="superscript"/>
              </w:rPr>
              <w:t>2</w:t>
            </w:r>
          </w:p>
        </w:tc>
      </w:tr>
      <w:tr w14:paraId="30CD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11C6AA82">
            <w:pPr>
              <w:spacing w:line="300" w:lineRule="exact"/>
              <w:jc w:val="center"/>
              <w:rPr>
                <w:rFonts w:ascii="Times New Roman" w:hAnsi="Times New Roman" w:cs="Times New Roman"/>
                <w:sz w:val="21"/>
                <w:szCs w:val="21"/>
              </w:rPr>
            </w:pPr>
          </w:p>
        </w:tc>
        <w:tc>
          <w:tcPr>
            <w:tcW w:w="823" w:type="pct"/>
            <w:tcBorders>
              <w:top w:val="single" w:color="auto" w:sz="4" w:space="0"/>
              <w:left w:val="nil"/>
              <w:bottom w:val="single" w:color="auto" w:sz="4" w:space="0"/>
              <w:right w:val="single" w:color="auto" w:sz="4" w:space="0"/>
            </w:tcBorders>
            <w:vAlign w:val="center"/>
          </w:tcPr>
          <w:p w14:paraId="6A6E6AE1">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评价因子</w:t>
            </w:r>
          </w:p>
        </w:tc>
        <w:tc>
          <w:tcPr>
            <w:tcW w:w="3918" w:type="pct"/>
            <w:gridSpan w:val="12"/>
            <w:tcBorders>
              <w:top w:val="single" w:color="auto" w:sz="4" w:space="0"/>
              <w:left w:val="nil"/>
              <w:bottom w:val="single" w:color="auto" w:sz="4" w:space="0"/>
              <w:right w:val="nil"/>
            </w:tcBorders>
            <w:vAlign w:val="center"/>
          </w:tcPr>
          <w:p w14:paraId="4190030A">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pH</w:t>
            </w:r>
            <w:r>
              <w:rPr>
                <w:rFonts w:hint="eastAsia" w:ascii="Times New Roman" w:hAnsi="Times New Roman" w:cs="Times New Roman"/>
                <w:sz w:val="21"/>
                <w:szCs w:val="21"/>
              </w:rPr>
              <w:t>、</w:t>
            </w:r>
            <w:r>
              <w:rPr>
                <w:rFonts w:ascii="Times New Roman" w:hAnsi="Times New Roman" w:cs="Times New Roman"/>
                <w:sz w:val="21"/>
                <w:szCs w:val="21"/>
              </w:rPr>
              <w:t>COD</w:t>
            </w:r>
            <w:r>
              <w:rPr>
                <w:rFonts w:hint="eastAsia" w:ascii="Times New Roman" w:hAnsi="Times New Roman" w:cs="Times New Roman"/>
                <w:sz w:val="21"/>
                <w:szCs w:val="21"/>
              </w:rPr>
              <w:t>、DO、</w:t>
            </w:r>
            <w:r>
              <w:rPr>
                <w:rFonts w:ascii="Times New Roman" w:hAnsi="Times New Roman" w:cs="Times New Roman"/>
                <w:sz w:val="21"/>
                <w:szCs w:val="21"/>
              </w:rPr>
              <w:t>BOD</w:t>
            </w:r>
            <w:r>
              <w:rPr>
                <w:rFonts w:ascii="Times New Roman" w:hAnsi="Times New Roman" w:cs="Times New Roman"/>
                <w:sz w:val="21"/>
                <w:szCs w:val="21"/>
                <w:vertAlign w:val="subscript"/>
              </w:rPr>
              <w:t>5</w:t>
            </w:r>
            <w:r>
              <w:rPr>
                <w:rFonts w:hint="eastAsia" w:ascii="Times New Roman" w:hAnsi="Times New Roman" w:cs="Times New Roman"/>
                <w:sz w:val="21"/>
                <w:szCs w:val="21"/>
              </w:rPr>
              <w:t>、</w:t>
            </w:r>
            <w:r>
              <w:rPr>
                <w:rFonts w:ascii="Times New Roman" w:hAnsi="Times New Roman" w:cs="Times New Roman"/>
                <w:sz w:val="21"/>
                <w:szCs w:val="21"/>
              </w:rPr>
              <w:t>SS</w:t>
            </w:r>
            <w:r>
              <w:rPr>
                <w:rFonts w:hint="eastAsia" w:ascii="Times New Roman" w:hAnsi="Times New Roman" w:cs="Times New Roman"/>
                <w:sz w:val="21"/>
                <w:szCs w:val="21"/>
              </w:rPr>
              <w:t>、</w:t>
            </w:r>
            <w:r>
              <w:rPr>
                <w:rFonts w:ascii="Times New Roman" w:hAnsi="Times New Roman" w:cs="Times New Roman"/>
                <w:sz w:val="21"/>
                <w:szCs w:val="21"/>
              </w:rPr>
              <w:t>TP</w:t>
            </w:r>
            <w:r>
              <w:rPr>
                <w:rFonts w:hint="eastAsia" w:ascii="Times New Roman" w:hAnsi="Times New Roman" w:cs="Times New Roman"/>
                <w:sz w:val="21"/>
                <w:szCs w:val="21"/>
              </w:rPr>
              <w:t>、氨氮、粪大肠菌群）</w:t>
            </w:r>
          </w:p>
        </w:tc>
      </w:tr>
      <w:tr w14:paraId="7A43C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0DD6A8CA">
            <w:pPr>
              <w:spacing w:line="300" w:lineRule="exact"/>
              <w:jc w:val="center"/>
              <w:rPr>
                <w:rFonts w:ascii="Times New Roman" w:hAnsi="Times New Roman" w:cs="Times New Roman"/>
                <w:sz w:val="21"/>
                <w:szCs w:val="21"/>
              </w:rPr>
            </w:pPr>
          </w:p>
        </w:tc>
        <w:tc>
          <w:tcPr>
            <w:tcW w:w="823" w:type="pct"/>
            <w:tcBorders>
              <w:top w:val="single" w:color="auto" w:sz="4" w:space="0"/>
              <w:left w:val="nil"/>
              <w:bottom w:val="single" w:color="auto" w:sz="4" w:space="0"/>
              <w:right w:val="single" w:color="auto" w:sz="4" w:space="0"/>
            </w:tcBorders>
            <w:vAlign w:val="center"/>
          </w:tcPr>
          <w:p w14:paraId="1999631D">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评价标准</w:t>
            </w:r>
          </w:p>
        </w:tc>
        <w:tc>
          <w:tcPr>
            <w:tcW w:w="3918" w:type="pct"/>
            <w:gridSpan w:val="12"/>
            <w:tcBorders>
              <w:top w:val="single" w:color="auto" w:sz="4" w:space="0"/>
              <w:left w:val="nil"/>
              <w:bottom w:val="single" w:color="auto" w:sz="4" w:space="0"/>
              <w:right w:val="nil"/>
            </w:tcBorders>
            <w:vAlign w:val="center"/>
          </w:tcPr>
          <w:p w14:paraId="643AE35A">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河流、湖库、河口：</w:t>
            </w:r>
            <w:r>
              <w:rPr>
                <w:rFonts w:hint="eastAsia"/>
                <w:sz w:val="21"/>
                <w:szCs w:val="21"/>
              </w:rPr>
              <w:t>Ⅰ</w:t>
            </w:r>
            <w:r>
              <w:rPr>
                <w:rFonts w:hint="eastAsia" w:ascii="Times New Roman" w:hAnsi="Times New Roman" w:cs="Times New Roman"/>
                <w:sz w:val="21"/>
                <w:szCs w:val="21"/>
              </w:rPr>
              <w:t>类</w:t>
            </w:r>
            <w:r>
              <w:rPr>
                <w:rFonts w:ascii="Times New Roman" w:hAnsi="Times New Roman" w:cs="Times New Roman"/>
                <w:sz w:val="21"/>
                <w:szCs w:val="21"/>
              </w:rPr>
              <w:t>□</w:t>
            </w:r>
            <w:r>
              <w:rPr>
                <w:rFonts w:hint="eastAsia" w:ascii="Times New Roman" w:hAnsi="Times New Roman" w:cs="Times New Roman"/>
                <w:sz w:val="21"/>
                <w:szCs w:val="21"/>
              </w:rPr>
              <w:t>；</w:t>
            </w:r>
            <w:r>
              <w:rPr>
                <w:rFonts w:hint="eastAsia"/>
                <w:sz w:val="21"/>
                <w:szCs w:val="21"/>
              </w:rPr>
              <w:t>Ⅱ</w:t>
            </w:r>
            <w:r>
              <w:rPr>
                <w:rFonts w:hint="eastAsia" w:ascii="Times New Roman" w:hAnsi="Times New Roman" w:cs="Times New Roman"/>
                <w:sz w:val="21"/>
                <w:szCs w:val="21"/>
              </w:rPr>
              <w:t>类</w:t>
            </w:r>
            <w:r>
              <w:rPr>
                <w:rFonts w:ascii="Times New Roman" w:hAnsi="Times New Roman" w:cs="Times New Roman"/>
                <w:sz w:val="21"/>
                <w:szCs w:val="21"/>
              </w:rPr>
              <w:t>□</w:t>
            </w:r>
            <w:r>
              <w:rPr>
                <w:rFonts w:hint="eastAsia" w:ascii="Times New Roman" w:hAnsi="Times New Roman" w:cs="Times New Roman"/>
                <w:sz w:val="21"/>
                <w:szCs w:val="21"/>
              </w:rPr>
              <w:t>；</w:t>
            </w:r>
            <w:r>
              <w:rPr>
                <w:rFonts w:hint="eastAsia"/>
                <w:sz w:val="21"/>
                <w:szCs w:val="21"/>
              </w:rPr>
              <w:t>Ⅲ</w:t>
            </w:r>
            <w:r>
              <w:rPr>
                <w:rFonts w:hint="eastAsia" w:ascii="Times New Roman" w:hAnsi="Times New Roman" w:cs="Times New Roman"/>
                <w:sz w:val="21"/>
                <w:szCs w:val="21"/>
              </w:rPr>
              <w:t>类☑；</w:t>
            </w:r>
            <w:r>
              <w:rPr>
                <w:rFonts w:hint="eastAsia"/>
                <w:sz w:val="21"/>
                <w:szCs w:val="21"/>
              </w:rPr>
              <w:t>Ⅳ</w:t>
            </w:r>
            <w:r>
              <w:rPr>
                <w:rFonts w:hint="eastAsia" w:ascii="Times New Roman" w:hAnsi="Times New Roman" w:cs="Times New Roman"/>
                <w:sz w:val="21"/>
                <w:szCs w:val="21"/>
              </w:rPr>
              <w:t>类□；</w:t>
            </w:r>
            <w:r>
              <w:rPr>
                <w:rFonts w:hint="eastAsia"/>
                <w:sz w:val="21"/>
                <w:szCs w:val="21"/>
              </w:rPr>
              <w:t>Ⅴ</w:t>
            </w:r>
            <w:r>
              <w:rPr>
                <w:rFonts w:hint="eastAsia" w:ascii="Times New Roman" w:hAnsi="Times New Roman" w:cs="Times New Roman"/>
                <w:sz w:val="21"/>
                <w:szCs w:val="21"/>
              </w:rPr>
              <w:t>类</w:t>
            </w:r>
            <w:r>
              <w:rPr>
                <w:rFonts w:ascii="Times New Roman" w:hAnsi="Times New Roman" w:cs="Times New Roman"/>
                <w:sz w:val="21"/>
                <w:szCs w:val="21"/>
              </w:rPr>
              <w:t>□</w:t>
            </w:r>
          </w:p>
          <w:p w14:paraId="7AD2F100">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近岸海域：第一类</w:t>
            </w:r>
            <w:r>
              <w:rPr>
                <w:rFonts w:ascii="Times New Roman" w:hAnsi="Times New Roman" w:cs="Times New Roman"/>
                <w:sz w:val="21"/>
                <w:szCs w:val="21"/>
              </w:rPr>
              <w:t>□</w:t>
            </w:r>
            <w:r>
              <w:rPr>
                <w:rFonts w:hint="eastAsia" w:ascii="Times New Roman" w:hAnsi="Times New Roman" w:cs="Times New Roman"/>
                <w:sz w:val="21"/>
                <w:szCs w:val="21"/>
              </w:rPr>
              <w:t>；第二类</w:t>
            </w:r>
            <w:r>
              <w:rPr>
                <w:rFonts w:ascii="Times New Roman" w:hAnsi="Times New Roman" w:cs="Times New Roman"/>
                <w:sz w:val="21"/>
                <w:szCs w:val="21"/>
              </w:rPr>
              <w:t>□</w:t>
            </w:r>
            <w:r>
              <w:rPr>
                <w:rFonts w:hint="eastAsia" w:ascii="Times New Roman" w:hAnsi="Times New Roman" w:cs="Times New Roman"/>
                <w:sz w:val="21"/>
                <w:szCs w:val="21"/>
              </w:rPr>
              <w:t>；第三类</w:t>
            </w:r>
            <w:r>
              <w:rPr>
                <w:rFonts w:ascii="Times New Roman" w:hAnsi="Times New Roman" w:cs="Times New Roman"/>
                <w:sz w:val="21"/>
                <w:szCs w:val="21"/>
              </w:rPr>
              <w:t>□</w:t>
            </w:r>
            <w:r>
              <w:rPr>
                <w:rFonts w:hint="eastAsia" w:ascii="Times New Roman" w:hAnsi="Times New Roman" w:cs="Times New Roman"/>
                <w:sz w:val="21"/>
                <w:szCs w:val="21"/>
              </w:rPr>
              <w:t>；第四类</w:t>
            </w:r>
            <w:r>
              <w:rPr>
                <w:rFonts w:ascii="Times New Roman" w:hAnsi="Times New Roman" w:cs="Times New Roman"/>
                <w:sz w:val="21"/>
                <w:szCs w:val="21"/>
              </w:rPr>
              <w:t>□</w:t>
            </w:r>
          </w:p>
          <w:p w14:paraId="6D2C11AC">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规划年评价标准（</w:t>
            </w:r>
            <w:r>
              <w:rPr>
                <w:rFonts w:ascii="Times New Roman" w:hAnsi="Times New Roman" w:cs="Times New Roman"/>
                <w:sz w:val="21"/>
                <w:szCs w:val="21"/>
              </w:rPr>
              <w:t xml:space="preserve">    </w:t>
            </w:r>
            <w:r>
              <w:rPr>
                <w:rFonts w:hint="eastAsia" w:ascii="Times New Roman" w:hAnsi="Times New Roman" w:cs="Times New Roman"/>
                <w:sz w:val="21"/>
                <w:szCs w:val="21"/>
              </w:rPr>
              <w:t>）</w:t>
            </w:r>
          </w:p>
        </w:tc>
      </w:tr>
      <w:tr w14:paraId="6A31F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00614FE9">
            <w:pPr>
              <w:spacing w:line="300" w:lineRule="exact"/>
              <w:jc w:val="center"/>
              <w:rPr>
                <w:rFonts w:ascii="Times New Roman" w:hAnsi="Times New Roman" w:cs="Times New Roman"/>
                <w:sz w:val="21"/>
                <w:szCs w:val="21"/>
              </w:rPr>
            </w:pPr>
          </w:p>
        </w:tc>
        <w:tc>
          <w:tcPr>
            <w:tcW w:w="823" w:type="pct"/>
            <w:tcBorders>
              <w:top w:val="single" w:color="auto" w:sz="4" w:space="0"/>
              <w:left w:val="nil"/>
              <w:bottom w:val="single" w:color="auto" w:sz="4" w:space="0"/>
              <w:right w:val="single" w:color="auto" w:sz="4" w:space="0"/>
            </w:tcBorders>
            <w:vAlign w:val="center"/>
          </w:tcPr>
          <w:p w14:paraId="4FD123F9">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评价时期</w:t>
            </w:r>
          </w:p>
        </w:tc>
        <w:tc>
          <w:tcPr>
            <w:tcW w:w="3918" w:type="pct"/>
            <w:gridSpan w:val="12"/>
            <w:tcBorders>
              <w:top w:val="single" w:color="auto" w:sz="4" w:space="0"/>
              <w:left w:val="nil"/>
              <w:bottom w:val="single" w:color="auto" w:sz="4" w:space="0"/>
              <w:right w:val="nil"/>
            </w:tcBorders>
            <w:vAlign w:val="center"/>
          </w:tcPr>
          <w:p w14:paraId="180E8169">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丰水期☑；平水期</w:t>
            </w:r>
            <w:r>
              <w:rPr>
                <w:rFonts w:ascii="Times New Roman" w:hAnsi="Times New Roman" w:cs="Times New Roman"/>
                <w:sz w:val="21"/>
                <w:szCs w:val="21"/>
              </w:rPr>
              <w:t>□</w:t>
            </w:r>
            <w:r>
              <w:rPr>
                <w:rFonts w:hint="eastAsia" w:ascii="Times New Roman" w:hAnsi="Times New Roman" w:cs="Times New Roman"/>
                <w:sz w:val="21"/>
                <w:szCs w:val="21"/>
              </w:rPr>
              <w:t>；枯水期</w:t>
            </w:r>
            <w:r>
              <w:rPr>
                <w:rFonts w:ascii="Times New Roman" w:hAnsi="Times New Roman" w:cs="Times New Roman"/>
                <w:sz w:val="21"/>
                <w:szCs w:val="21"/>
              </w:rPr>
              <w:t>□</w:t>
            </w:r>
            <w:r>
              <w:rPr>
                <w:rFonts w:hint="eastAsia" w:ascii="Times New Roman" w:hAnsi="Times New Roman" w:cs="Times New Roman"/>
                <w:sz w:val="21"/>
                <w:szCs w:val="21"/>
              </w:rPr>
              <w:t>；冰封期</w:t>
            </w:r>
            <w:r>
              <w:rPr>
                <w:rFonts w:ascii="Times New Roman" w:hAnsi="Times New Roman" w:cs="Times New Roman"/>
                <w:sz w:val="21"/>
                <w:szCs w:val="21"/>
              </w:rPr>
              <w:t>□</w:t>
            </w:r>
          </w:p>
          <w:p w14:paraId="25FAB779">
            <w:pPr>
              <w:adjustRightInd w:val="0"/>
              <w:spacing w:line="300" w:lineRule="exact"/>
              <w:jc w:val="center"/>
              <w:rPr>
                <w:rFonts w:ascii="Times New Roman" w:hAnsi="Times New Roman" w:eastAsia="宋体" w:cs="Times New Roman"/>
                <w:sz w:val="21"/>
                <w:szCs w:val="21"/>
              </w:rPr>
            </w:pPr>
            <w:r>
              <w:rPr>
                <w:rFonts w:hint="eastAsia" w:ascii="Times New Roman" w:hAnsi="Times New Roman" w:cs="Times New Roman"/>
                <w:sz w:val="21"/>
                <w:szCs w:val="21"/>
              </w:rPr>
              <w:t>春季</w:t>
            </w:r>
            <w:r>
              <w:rPr>
                <w:rFonts w:ascii="Times New Roman" w:hAnsi="Times New Roman" w:cs="Times New Roman"/>
                <w:sz w:val="21"/>
                <w:szCs w:val="21"/>
              </w:rPr>
              <w:t>□</w:t>
            </w:r>
            <w:r>
              <w:rPr>
                <w:rFonts w:hint="eastAsia" w:ascii="Times New Roman" w:hAnsi="Times New Roman" w:cs="Times New Roman"/>
                <w:sz w:val="21"/>
                <w:szCs w:val="21"/>
              </w:rPr>
              <w:t>；夏季☑；秋季</w:t>
            </w:r>
            <w:r>
              <w:rPr>
                <w:rFonts w:ascii="Times New Roman" w:hAnsi="Times New Roman" w:cs="Times New Roman"/>
                <w:sz w:val="21"/>
                <w:szCs w:val="21"/>
              </w:rPr>
              <w:t>□</w:t>
            </w:r>
            <w:r>
              <w:rPr>
                <w:rFonts w:hint="eastAsia" w:ascii="Times New Roman" w:hAnsi="Times New Roman" w:cs="Times New Roman"/>
                <w:sz w:val="21"/>
                <w:szCs w:val="21"/>
              </w:rPr>
              <w:t>；冬季</w:t>
            </w:r>
            <w:r>
              <w:rPr>
                <w:rFonts w:ascii="Times New Roman" w:hAnsi="Times New Roman" w:cs="Times New Roman"/>
                <w:sz w:val="21"/>
                <w:szCs w:val="21"/>
              </w:rPr>
              <w:t>□</w:t>
            </w:r>
          </w:p>
        </w:tc>
      </w:tr>
      <w:tr w14:paraId="2B74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0D9ACEE1">
            <w:pPr>
              <w:spacing w:line="300" w:lineRule="exact"/>
              <w:jc w:val="center"/>
              <w:rPr>
                <w:rFonts w:ascii="Times New Roman" w:hAnsi="Times New Roman" w:cs="Times New Roman"/>
                <w:sz w:val="21"/>
                <w:szCs w:val="21"/>
              </w:rPr>
            </w:pPr>
          </w:p>
        </w:tc>
        <w:tc>
          <w:tcPr>
            <w:tcW w:w="823" w:type="pct"/>
            <w:tcBorders>
              <w:top w:val="single" w:color="auto" w:sz="4" w:space="0"/>
              <w:left w:val="nil"/>
              <w:bottom w:val="single" w:color="auto" w:sz="4" w:space="0"/>
              <w:right w:val="single" w:color="auto" w:sz="4" w:space="0"/>
            </w:tcBorders>
            <w:vAlign w:val="center"/>
          </w:tcPr>
          <w:p w14:paraId="4D1D90F3">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评价结论</w:t>
            </w:r>
          </w:p>
        </w:tc>
        <w:tc>
          <w:tcPr>
            <w:tcW w:w="3350" w:type="pct"/>
            <w:gridSpan w:val="11"/>
            <w:tcBorders>
              <w:top w:val="single" w:color="auto" w:sz="4" w:space="0"/>
              <w:left w:val="nil"/>
              <w:bottom w:val="single" w:color="auto" w:sz="4" w:space="0"/>
              <w:right w:val="single" w:color="auto" w:sz="4" w:space="0"/>
            </w:tcBorders>
            <w:vAlign w:val="center"/>
          </w:tcPr>
          <w:p w14:paraId="1333E997">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水环境功能区或水功能区、近岸海域环境功能区水质达标状况：达标☑；不达标</w:t>
            </w:r>
            <w:r>
              <w:rPr>
                <w:rFonts w:ascii="Times New Roman" w:hAnsi="Times New Roman" w:cs="Times New Roman"/>
                <w:sz w:val="21"/>
                <w:szCs w:val="21"/>
              </w:rPr>
              <w:t>□</w:t>
            </w:r>
          </w:p>
          <w:p w14:paraId="700E3240">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水环境控制单元或断面水质达标状况：达标☑；不达标</w:t>
            </w:r>
            <w:r>
              <w:rPr>
                <w:rFonts w:ascii="Times New Roman" w:hAnsi="Times New Roman" w:cs="Times New Roman"/>
                <w:sz w:val="21"/>
                <w:szCs w:val="21"/>
              </w:rPr>
              <w:t>□</w:t>
            </w:r>
          </w:p>
          <w:p w14:paraId="5C1644F9">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水环境保护目标质量状况：达标☑；不达标</w:t>
            </w:r>
            <w:r>
              <w:rPr>
                <w:rFonts w:ascii="Times New Roman" w:hAnsi="Times New Roman" w:cs="Times New Roman"/>
                <w:sz w:val="21"/>
                <w:szCs w:val="21"/>
              </w:rPr>
              <w:t>□</w:t>
            </w:r>
          </w:p>
          <w:p w14:paraId="624ED316">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对照断面、控制断面等代表性断面的水质状况：达标☑；不达标</w:t>
            </w:r>
            <w:r>
              <w:rPr>
                <w:rFonts w:ascii="Times New Roman" w:hAnsi="Times New Roman" w:cs="Times New Roman"/>
                <w:sz w:val="21"/>
                <w:szCs w:val="21"/>
              </w:rPr>
              <w:t>□</w:t>
            </w:r>
          </w:p>
          <w:p w14:paraId="3A15B732">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底泥污染评价</w:t>
            </w:r>
            <w:r>
              <w:rPr>
                <w:rFonts w:ascii="Times New Roman" w:hAnsi="Times New Roman" w:cs="Times New Roman"/>
                <w:sz w:val="21"/>
                <w:szCs w:val="21"/>
              </w:rPr>
              <w:t>□</w:t>
            </w:r>
          </w:p>
          <w:p w14:paraId="569A4958">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水资源与开发利用程度及其水文情势评价</w:t>
            </w:r>
            <w:r>
              <w:rPr>
                <w:rFonts w:ascii="Times New Roman" w:hAnsi="Times New Roman" w:cs="Times New Roman"/>
                <w:sz w:val="21"/>
                <w:szCs w:val="21"/>
              </w:rPr>
              <w:t>□</w:t>
            </w:r>
          </w:p>
          <w:p w14:paraId="124B0CD4">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水环境质量回顾评价</w:t>
            </w:r>
            <w:r>
              <w:rPr>
                <w:rFonts w:ascii="Times New Roman" w:hAnsi="Times New Roman" w:cs="Times New Roman"/>
                <w:sz w:val="21"/>
                <w:szCs w:val="21"/>
              </w:rPr>
              <w:t>□</w:t>
            </w:r>
          </w:p>
          <w:p w14:paraId="5D121963">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流域（区域）水资源（包括水能资源）与开发利用总体状况、生态流量管理要求与现状满足程度、建设项目占用水域空间的水流状况与河湖演变状况</w:t>
            </w:r>
            <w:r>
              <w:rPr>
                <w:rFonts w:ascii="Times New Roman" w:hAnsi="Times New Roman" w:cs="Times New Roman"/>
                <w:sz w:val="21"/>
                <w:szCs w:val="21"/>
              </w:rPr>
              <w:t>□</w:t>
            </w:r>
          </w:p>
        </w:tc>
        <w:tc>
          <w:tcPr>
            <w:tcW w:w="567" w:type="pct"/>
            <w:tcBorders>
              <w:top w:val="single" w:color="auto" w:sz="4" w:space="0"/>
              <w:left w:val="nil"/>
              <w:bottom w:val="single" w:color="auto" w:sz="4" w:space="0"/>
              <w:right w:val="nil"/>
            </w:tcBorders>
            <w:vAlign w:val="center"/>
          </w:tcPr>
          <w:p w14:paraId="40BBE139">
            <w:pPr>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达标区☑</w:t>
            </w:r>
          </w:p>
          <w:p w14:paraId="54906DF2">
            <w:pPr>
              <w:spacing w:line="300" w:lineRule="exact"/>
              <w:jc w:val="center"/>
              <w:rPr>
                <w:rFonts w:ascii="Times New Roman" w:hAnsi="Times New Roman" w:eastAsia="宋体" w:cs="Times New Roman"/>
                <w:sz w:val="21"/>
                <w:szCs w:val="21"/>
              </w:rPr>
            </w:pPr>
            <w:r>
              <w:rPr>
                <w:rFonts w:hint="eastAsia" w:ascii="Times New Roman" w:hAnsi="Times New Roman" w:cs="Times New Roman"/>
                <w:sz w:val="21"/>
                <w:szCs w:val="21"/>
              </w:rPr>
              <w:t>不达标区</w:t>
            </w:r>
            <w:r>
              <w:rPr>
                <w:rFonts w:ascii="Times New Roman" w:hAnsi="Times New Roman" w:cs="Times New Roman"/>
                <w:sz w:val="21"/>
                <w:szCs w:val="21"/>
              </w:rPr>
              <w:t>□</w:t>
            </w:r>
          </w:p>
        </w:tc>
      </w:tr>
      <w:tr w14:paraId="41D52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restart"/>
            <w:tcBorders>
              <w:top w:val="nil"/>
              <w:left w:val="nil"/>
              <w:bottom w:val="single" w:color="auto" w:sz="4" w:space="0"/>
              <w:right w:val="single" w:color="auto" w:sz="4" w:space="0"/>
            </w:tcBorders>
            <w:vAlign w:val="center"/>
          </w:tcPr>
          <w:p w14:paraId="1B6235BB">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影响预测</w:t>
            </w:r>
          </w:p>
        </w:tc>
        <w:tc>
          <w:tcPr>
            <w:tcW w:w="823" w:type="pct"/>
            <w:tcBorders>
              <w:top w:val="single" w:color="auto" w:sz="4" w:space="0"/>
              <w:left w:val="nil"/>
              <w:bottom w:val="single" w:color="auto" w:sz="4" w:space="0"/>
              <w:right w:val="single" w:color="auto" w:sz="4" w:space="0"/>
            </w:tcBorders>
            <w:vAlign w:val="center"/>
          </w:tcPr>
          <w:p w14:paraId="2B24F4DB">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预测范围</w:t>
            </w:r>
          </w:p>
        </w:tc>
        <w:tc>
          <w:tcPr>
            <w:tcW w:w="3918" w:type="pct"/>
            <w:gridSpan w:val="12"/>
            <w:tcBorders>
              <w:top w:val="single" w:color="auto" w:sz="4" w:space="0"/>
              <w:left w:val="nil"/>
              <w:bottom w:val="single" w:color="auto" w:sz="4" w:space="0"/>
              <w:right w:val="nil"/>
            </w:tcBorders>
            <w:vAlign w:val="center"/>
          </w:tcPr>
          <w:p w14:paraId="234AF150">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河流：长度（</w:t>
            </w:r>
            <w:r>
              <w:rPr>
                <w:rFonts w:ascii="Times New Roman" w:hAnsi="Times New Roman" w:cs="Times New Roman"/>
                <w:sz w:val="21"/>
                <w:szCs w:val="21"/>
              </w:rPr>
              <w:t xml:space="preserve"> </w:t>
            </w: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w:t>
            </w:r>
            <w:r>
              <w:rPr>
                <w:rFonts w:ascii="Times New Roman" w:hAnsi="Times New Roman" w:cs="Times New Roman"/>
                <w:sz w:val="21"/>
                <w:szCs w:val="21"/>
              </w:rPr>
              <w:t>km</w:t>
            </w:r>
            <w:r>
              <w:rPr>
                <w:rFonts w:hint="eastAsia" w:ascii="Times New Roman" w:hAnsi="Times New Roman" w:cs="Times New Roman"/>
                <w:sz w:val="21"/>
                <w:szCs w:val="21"/>
              </w:rPr>
              <w:t>；湖库、河口及近岸海域：（</w:t>
            </w:r>
            <w:r>
              <w:rPr>
                <w:rFonts w:ascii="Times New Roman" w:hAnsi="Times New Roman" w:cs="Times New Roman"/>
                <w:sz w:val="21"/>
                <w:szCs w:val="21"/>
              </w:rPr>
              <w:t xml:space="preserve">   </w:t>
            </w: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w:t>
            </w:r>
            <w:r>
              <w:rPr>
                <w:rFonts w:ascii="Times New Roman" w:hAnsi="Times New Roman" w:cs="Times New Roman"/>
                <w:sz w:val="21"/>
                <w:szCs w:val="21"/>
              </w:rPr>
              <w:t>km</w:t>
            </w:r>
            <w:r>
              <w:rPr>
                <w:rFonts w:ascii="Times New Roman" w:hAnsi="Times New Roman" w:cs="Times New Roman"/>
                <w:sz w:val="21"/>
                <w:szCs w:val="21"/>
                <w:vertAlign w:val="superscript"/>
              </w:rPr>
              <w:t>2</w:t>
            </w:r>
          </w:p>
        </w:tc>
      </w:tr>
      <w:tr w14:paraId="6BB23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61961C16">
            <w:pPr>
              <w:spacing w:line="300" w:lineRule="exact"/>
              <w:jc w:val="center"/>
              <w:rPr>
                <w:rFonts w:ascii="Times New Roman" w:hAnsi="Times New Roman" w:cs="Times New Roman"/>
                <w:sz w:val="21"/>
                <w:szCs w:val="21"/>
              </w:rPr>
            </w:pPr>
          </w:p>
        </w:tc>
        <w:tc>
          <w:tcPr>
            <w:tcW w:w="823" w:type="pct"/>
            <w:tcBorders>
              <w:top w:val="single" w:color="auto" w:sz="4" w:space="0"/>
              <w:left w:val="nil"/>
              <w:bottom w:val="single" w:color="auto" w:sz="4" w:space="0"/>
              <w:right w:val="single" w:color="auto" w:sz="4" w:space="0"/>
            </w:tcBorders>
            <w:vAlign w:val="center"/>
          </w:tcPr>
          <w:p w14:paraId="73E3D3C0">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预测因子</w:t>
            </w:r>
          </w:p>
        </w:tc>
        <w:tc>
          <w:tcPr>
            <w:tcW w:w="3918" w:type="pct"/>
            <w:gridSpan w:val="12"/>
            <w:tcBorders>
              <w:top w:val="single" w:color="auto" w:sz="4" w:space="0"/>
              <w:left w:val="nil"/>
              <w:bottom w:val="single" w:color="auto" w:sz="4" w:space="0"/>
              <w:right w:val="nil"/>
            </w:tcBorders>
            <w:vAlign w:val="center"/>
          </w:tcPr>
          <w:p w14:paraId="0699C07D">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w:t>
            </w:r>
          </w:p>
        </w:tc>
      </w:tr>
      <w:tr w14:paraId="09AFA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1614BC46">
            <w:pPr>
              <w:spacing w:line="300" w:lineRule="exact"/>
              <w:jc w:val="center"/>
              <w:rPr>
                <w:rFonts w:ascii="Times New Roman" w:hAnsi="Times New Roman" w:cs="Times New Roman"/>
                <w:sz w:val="21"/>
                <w:szCs w:val="21"/>
              </w:rPr>
            </w:pPr>
          </w:p>
        </w:tc>
        <w:tc>
          <w:tcPr>
            <w:tcW w:w="823" w:type="pct"/>
            <w:tcBorders>
              <w:top w:val="single" w:color="auto" w:sz="4" w:space="0"/>
              <w:left w:val="nil"/>
              <w:bottom w:val="single" w:color="auto" w:sz="4" w:space="0"/>
              <w:right w:val="single" w:color="auto" w:sz="4" w:space="0"/>
            </w:tcBorders>
            <w:vAlign w:val="center"/>
          </w:tcPr>
          <w:p w14:paraId="4600ADEB">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预测时期</w:t>
            </w:r>
          </w:p>
        </w:tc>
        <w:tc>
          <w:tcPr>
            <w:tcW w:w="3918" w:type="pct"/>
            <w:gridSpan w:val="12"/>
            <w:tcBorders>
              <w:top w:val="single" w:color="auto" w:sz="4" w:space="0"/>
              <w:left w:val="nil"/>
              <w:bottom w:val="single" w:color="auto" w:sz="4" w:space="0"/>
              <w:right w:val="nil"/>
            </w:tcBorders>
            <w:vAlign w:val="center"/>
          </w:tcPr>
          <w:p w14:paraId="28F572D6">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丰水期</w:t>
            </w:r>
            <w:r>
              <w:rPr>
                <w:rFonts w:ascii="Times New Roman" w:hAnsi="Times New Roman" w:cs="Times New Roman"/>
                <w:sz w:val="21"/>
                <w:szCs w:val="21"/>
              </w:rPr>
              <w:t>□</w:t>
            </w:r>
            <w:r>
              <w:rPr>
                <w:rFonts w:hint="eastAsia" w:ascii="Times New Roman" w:hAnsi="Times New Roman" w:cs="Times New Roman"/>
                <w:sz w:val="21"/>
                <w:szCs w:val="21"/>
              </w:rPr>
              <w:t>；平水期</w:t>
            </w:r>
            <w:r>
              <w:rPr>
                <w:rFonts w:ascii="Times New Roman" w:hAnsi="Times New Roman" w:cs="Times New Roman"/>
                <w:sz w:val="21"/>
                <w:szCs w:val="21"/>
              </w:rPr>
              <w:t>□</w:t>
            </w:r>
            <w:r>
              <w:rPr>
                <w:rFonts w:hint="eastAsia" w:ascii="Times New Roman" w:hAnsi="Times New Roman" w:cs="Times New Roman"/>
                <w:sz w:val="21"/>
                <w:szCs w:val="21"/>
              </w:rPr>
              <w:t>；枯水期</w:t>
            </w:r>
            <w:r>
              <w:rPr>
                <w:rFonts w:ascii="Times New Roman" w:hAnsi="Times New Roman" w:cs="Times New Roman"/>
                <w:sz w:val="21"/>
                <w:szCs w:val="21"/>
              </w:rPr>
              <w:t>□</w:t>
            </w:r>
            <w:r>
              <w:rPr>
                <w:rFonts w:hint="eastAsia" w:ascii="Times New Roman" w:hAnsi="Times New Roman" w:cs="Times New Roman"/>
                <w:sz w:val="21"/>
                <w:szCs w:val="21"/>
              </w:rPr>
              <w:t>；冰封期</w:t>
            </w:r>
            <w:r>
              <w:rPr>
                <w:rFonts w:ascii="Times New Roman" w:hAnsi="Times New Roman" w:cs="Times New Roman"/>
                <w:sz w:val="21"/>
                <w:szCs w:val="21"/>
              </w:rPr>
              <w:t>□</w:t>
            </w:r>
          </w:p>
          <w:p w14:paraId="564104BE">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春季</w:t>
            </w:r>
            <w:r>
              <w:rPr>
                <w:rFonts w:ascii="Times New Roman" w:hAnsi="Times New Roman" w:cs="Times New Roman"/>
                <w:sz w:val="21"/>
                <w:szCs w:val="21"/>
              </w:rPr>
              <w:t>□</w:t>
            </w:r>
            <w:r>
              <w:rPr>
                <w:rFonts w:hint="eastAsia" w:ascii="Times New Roman" w:hAnsi="Times New Roman" w:cs="Times New Roman"/>
                <w:sz w:val="21"/>
                <w:szCs w:val="21"/>
              </w:rPr>
              <w:t>；夏季</w:t>
            </w:r>
            <w:r>
              <w:rPr>
                <w:rFonts w:ascii="Times New Roman" w:hAnsi="Times New Roman" w:cs="Times New Roman"/>
                <w:sz w:val="21"/>
                <w:szCs w:val="21"/>
              </w:rPr>
              <w:t>□</w:t>
            </w:r>
            <w:r>
              <w:rPr>
                <w:rFonts w:hint="eastAsia" w:ascii="Times New Roman" w:hAnsi="Times New Roman" w:cs="Times New Roman"/>
                <w:sz w:val="21"/>
                <w:szCs w:val="21"/>
              </w:rPr>
              <w:t>；秋季</w:t>
            </w:r>
            <w:r>
              <w:rPr>
                <w:rFonts w:ascii="Times New Roman" w:hAnsi="Times New Roman" w:cs="Times New Roman"/>
                <w:sz w:val="21"/>
                <w:szCs w:val="21"/>
              </w:rPr>
              <w:t>□</w:t>
            </w:r>
            <w:r>
              <w:rPr>
                <w:rFonts w:hint="eastAsia" w:ascii="Times New Roman" w:hAnsi="Times New Roman" w:cs="Times New Roman"/>
                <w:sz w:val="21"/>
                <w:szCs w:val="21"/>
              </w:rPr>
              <w:t>；冬季</w:t>
            </w:r>
            <w:r>
              <w:rPr>
                <w:rFonts w:ascii="Times New Roman" w:hAnsi="Times New Roman" w:cs="Times New Roman"/>
                <w:sz w:val="21"/>
                <w:szCs w:val="21"/>
              </w:rPr>
              <w:t>□</w:t>
            </w:r>
          </w:p>
          <w:p w14:paraId="1C19CD5F">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设计水文条件</w:t>
            </w:r>
            <w:r>
              <w:rPr>
                <w:rFonts w:ascii="Times New Roman" w:hAnsi="Times New Roman" w:cs="Times New Roman"/>
                <w:sz w:val="21"/>
                <w:szCs w:val="21"/>
              </w:rPr>
              <w:t>□</w:t>
            </w:r>
          </w:p>
        </w:tc>
      </w:tr>
      <w:tr w14:paraId="6D89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5FD0DF90">
            <w:pPr>
              <w:spacing w:line="300" w:lineRule="exact"/>
              <w:jc w:val="center"/>
              <w:rPr>
                <w:rFonts w:ascii="Times New Roman" w:hAnsi="Times New Roman" w:cs="Times New Roman"/>
                <w:sz w:val="21"/>
                <w:szCs w:val="21"/>
              </w:rPr>
            </w:pPr>
          </w:p>
        </w:tc>
        <w:tc>
          <w:tcPr>
            <w:tcW w:w="823" w:type="pct"/>
            <w:tcBorders>
              <w:top w:val="single" w:color="auto" w:sz="4" w:space="0"/>
              <w:left w:val="nil"/>
              <w:bottom w:val="single" w:color="auto" w:sz="4" w:space="0"/>
              <w:right w:val="single" w:color="auto" w:sz="4" w:space="0"/>
            </w:tcBorders>
            <w:vAlign w:val="center"/>
          </w:tcPr>
          <w:p w14:paraId="046E7367">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预测情景</w:t>
            </w:r>
          </w:p>
        </w:tc>
        <w:tc>
          <w:tcPr>
            <w:tcW w:w="3918" w:type="pct"/>
            <w:gridSpan w:val="12"/>
            <w:tcBorders>
              <w:top w:val="single" w:color="auto" w:sz="4" w:space="0"/>
              <w:left w:val="nil"/>
              <w:bottom w:val="single" w:color="auto" w:sz="4" w:space="0"/>
              <w:right w:val="nil"/>
            </w:tcBorders>
            <w:vAlign w:val="center"/>
          </w:tcPr>
          <w:p w14:paraId="4D2C608A">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建设期</w:t>
            </w:r>
            <w:r>
              <w:rPr>
                <w:rFonts w:ascii="Times New Roman" w:hAnsi="Times New Roman" w:cs="Times New Roman"/>
                <w:sz w:val="21"/>
                <w:szCs w:val="21"/>
              </w:rPr>
              <w:t>□</w:t>
            </w:r>
            <w:r>
              <w:rPr>
                <w:rFonts w:hint="eastAsia" w:ascii="Times New Roman" w:hAnsi="Times New Roman" w:cs="Times New Roman"/>
                <w:sz w:val="21"/>
                <w:szCs w:val="21"/>
              </w:rPr>
              <w:t>；生产运行期</w:t>
            </w:r>
            <w:r>
              <w:rPr>
                <w:rFonts w:ascii="Times New Roman" w:hAnsi="Times New Roman" w:cs="Times New Roman"/>
                <w:sz w:val="21"/>
                <w:szCs w:val="21"/>
              </w:rPr>
              <w:t>□</w:t>
            </w:r>
            <w:r>
              <w:rPr>
                <w:rFonts w:hint="eastAsia" w:ascii="Times New Roman" w:hAnsi="Times New Roman" w:cs="Times New Roman"/>
                <w:sz w:val="21"/>
                <w:szCs w:val="21"/>
              </w:rPr>
              <w:t>；服务期满后</w:t>
            </w:r>
            <w:r>
              <w:rPr>
                <w:rFonts w:ascii="Times New Roman" w:hAnsi="Times New Roman" w:cs="Times New Roman"/>
                <w:sz w:val="21"/>
                <w:szCs w:val="21"/>
              </w:rPr>
              <w:t>□</w:t>
            </w:r>
          </w:p>
          <w:p w14:paraId="0A172BFA">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正常工况</w:t>
            </w:r>
            <w:r>
              <w:rPr>
                <w:rFonts w:ascii="Times New Roman" w:hAnsi="Times New Roman" w:cs="Times New Roman"/>
                <w:sz w:val="21"/>
                <w:szCs w:val="21"/>
              </w:rPr>
              <w:t>□</w:t>
            </w:r>
            <w:r>
              <w:rPr>
                <w:rFonts w:hint="eastAsia" w:ascii="Times New Roman" w:hAnsi="Times New Roman" w:cs="Times New Roman"/>
                <w:sz w:val="21"/>
                <w:szCs w:val="21"/>
              </w:rPr>
              <w:t>；非正常工况</w:t>
            </w:r>
            <w:r>
              <w:rPr>
                <w:rFonts w:ascii="Times New Roman" w:hAnsi="Times New Roman" w:cs="Times New Roman"/>
                <w:sz w:val="21"/>
                <w:szCs w:val="21"/>
              </w:rPr>
              <w:t>□</w:t>
            </w:r>
          </w:p>
          <w:p w14:paraId="78FED37C">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污染控制和减缓措施方案</w:t>
            </w:r>
            <w:r>
              <w:rPr>
                <w:rFonts w:ascii="Times New Roman" w:hAnsi="Times New Roman" w:cs="Times New Roman"/>
                <w:sz w:val="21"/>
                <w:szCs w:val="21"/>
              </w:rPr>
              <w:t>□</w:t>
            </w:r>
          </w:p>
          <w:p w14:paraId="393F7C41">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区（流）域环境质量改善目标要求情景</w:t>
            </w:r>
            <w:r>
              <w:rPr>
                <w:rFonts w:ascii="Times New Roman" w:hAnsi="Times New Roman" w:cs="Times New Roman"/>
                <w:sz w:val="21"/>
                <w:szCs w:val="21"/>
              </w:rPr>
              <w:t>□</w:t>
            </w:r>
          </w:p>
        </w:tc>
      </w:tr>
      <w:tr w14:paraId="57672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4605182B">
            <w:pPr>
              <w:spacing w:line="300" w:lineRule="exact"/>
              <w:jc w:val="center"/>
              <w:rPr>
                <w:rFonts w:ascii="Times New Roman" w:hAnsi="Times New Roman" w:cs="Times New Roman"/>
                <w:sz w:val="21"/>
                <w:szCs w:val="21"/>
              </w:rPr>
            </w:pPr>
          </w:p>
        </w:tc>
        <w:tc>
          <w:tcPr>
            <w:tcW w:w="823" w:type="pct"/>
            <w:tcBorders>
              <w:top w:val="single" w:color="auto" w:sz="4" w:space="0"/>
              <w:left w:val="nil"/>
              <w:bottom w:val="single" w:color="auto" w:sz="4" w:space="0"/>
              <w:right w:val="single" w:color="auto" w:sz="4" w:space="0"/>
            </w:tcBorders>
            <w:vAlign w:val="center"/>
          </w:tcPr>
          <w:p w14:paraId="6FC50556">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预测方法</w:t>
            </w:r>
          </w:p>
        </w:tc>
        <w:tc>
          <w:tcPr>
            <w:tcW w:w="3918" w:type="pct"/>
            <w:gridSpan w:val="12"/>
            <w:tcBorders>
              <w:top w:val="single" w:color="auto" w:sz="4" w:space="0"/>
              <w:left w:val="nil"/>
              <w:bottom w:val="single" w:color="auto" w:sz="4" w:space="0"/>
              <w:right w:val="nil"/>
            </w:tcBorders>
            <w:vAlign w:val="center"/>
          </w:tcPr>
          <w:p w14:paraId="126CD2A3">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数值解</w:t>
            </w:r>
            <w:r>
              <w:rPr>
                <w:rFonts w:ascii="Times New Roman" w:hAnsi="Times New Roman" w:cs="Times New Roman"/>
                <w:sz w:val="21"/>
                <w:szCs w:val="21"/>
              </w:rPr>
              <w:t>□</w:t>
            </w:r>
            <w:r>
              <w:rPr>
                <w:rFonts w:hint="eastAsia" w:ascii="Times New Roman" w:hAnsi="Times New Roman" w:cs="Times New Roman"/>
                <w:sz w:val="21"/>
                <w:szCs w:val="21"/>
              </w:rPr>
              <w:t>；解析解</w:t>
            </w:r>
            <w:r>
              <w:rPr>
                <w:rFonts w:ascii="Times New Roman" w:hAnsi="Times New Roman" w:cs="Times New Roman"/>
                <w:sz w:val="21"/>
                <w:szCs w:val="21"/>
              </w:rPr>
              <w:t>□</w:t>
            </w:r>
            <w:r>
              <w:rPr>
                <w:rFonts w:hint="eastAsia" w:ascii="Times New Roman" w:hAnsi="Times New Roman" w:cs="Times New Roman"/>
                <w:sz w:val="21"/>
                <w:szCs w:val="21"/>
              </w:rPr>
              <w:t>；其他</w:t>
            </w:r>
            <w:r>
              <w:rPr>
                <w:rFonts w:ascii="Times New Roman" w:hAnsi="Times New Roman" w:cs="Times New Roman"/>
                <w:sz w:val="21"/>
                <w:szCs w:val="21"/>
              </w:rPr>
              <w:t>□</w:t>
            </w:r>
          </w:p>
          <w:p w14:paraId="573EE770">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导则推荐模式</w:t>
            </w:r>
            <w:r>
              <w:rPr>
                <w:rFonts w:ascii="Times New Roman" w:hAnsi="Times New Roman" w:cs="Times New Roman"/>
                <w:sz w:val="21"/>
                <w:szCs w:val="21"/>
              </w:rPr>
              <w:t>□</w:t>
            </w:r>
            <w:r>
              <w:rPr>
                <w:rFonts w:hint="eastAsia" w:ascii="Times New Roman" w:hAnsi="Times New Roman" w:cs="Times New Roman"/>
                <w:sz w:val="21"/>
                <w:szCs w:val="21"/>
              </w:rPr>
              <w:t>；其他</w:t>
            </w:r>
            <w:r>
              <w:rPr>
                <w:rFonts w:ascii="Times New Roman" w:hAnsi="Times New Roman" w:cs="Times New Roman"/>
                <w:sz w:val="21"/>
                <w:szCs w:val="21"/>
              </w:rPr>
              <w:t>□</w:t>
            </w:r>
          </w:p>
        </w:tc>
      </w:tr>
      <w:tr w14:paraId="5C97A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restart"/>
            <w:tcBorders>
              <w:top w:val="nil"/>
              <w:left w:val="nil"/>
              <w:bottom w:val="single" w:color="auto" w:sz="4" w:space="0"/>
              <w:right w:val="single" w:color="auto" w:sz="4" w:space="0"/>
            </w:tcBorders>
            <w:vAlign w:val="center"/>
          </w:tcPr>
          <w:p w14:paraId="28A9FD33">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影响评价</w:t>
            </w:r>
          </w:p>
        </w:tc>
        <w:tc>
          <w:tcPr>
            <w:tcW w:w="823" w:type="pct"/>
            <w:tcBorders>
              <w:top w:val="single" w:color="auto" w:sz="4" w:space="0"/>
              <w:left w:val="nil"/>
              <w:bottom w:val="single" w:color="auto" w:sz="4" w:space="0"/>
              <w:right w:val="single" w:color="auto" w:sz="4" w:space="0"/>
            </w:tcBorders>
            <w:vAlign w:val="center"/>
          </w:tcPr>
          <w:p w14:paraId="20663495">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水污染控制和水环境影响减缓措施有效性评价</w:t>
            </w:r>
          </w:p>
        </w:tc>
        <w:tc>
          <w:tcPr>
            <w:tcW w:w="3918" w:type="pct"/>
            <w:gridSpan w:val="12"/>
            <w:tcBorders>
              <w:top w:val="single" w:color="auto" w:sz="4" w:space="0"/>
              <w:left w:val="nil"/>
              <w:bottom w:val="single" w:color="auto" w:sz="4" w:space="0"/>
              <w:right w:val="nil"/>
            </w:tcBorders>
            <w:vAlign w:val="center"/>
          </w:tcPr>
          <w:p w14:paraId="320E06C4">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区（流）域水环境质量改善目标</w:t>
            </w:r>
            <w:r>
              <w:rPr>
                <w:rFonts w:ascii="Times New Roman" w:hAnsi="Times New Roman" w:cs="Times New Roman"/>
                <w:sz w:val="21"/>
                <w:szCs w:val="21"/>
              </w:rPr>
              <w:t>□</w:t>
            </w:r>
            <w:r>
              <w:rPr>
                <w:rFonts w:hint="eastAsia" w:ascii="Times New Roman" w:hAnsi="Times New Roman" w:cs="Times New Roman"/>
                <w:sz w:val="21"/>
                <w:szCs w:val="21"/>
              </w:rPr>
              <w:t>；替代消减源</w:t>
            </w:r>
            <w:r>
              <w:rPr>
                <w:rFonts w:ascii="Times New Roman" w:hAnsi="Times New Roman" w:cs="Times New Roman"/>
                <w:sz w:val="21"/>
                <w:szCs w:val="21"/>
              </w:rPr>
              <w:t>□</w:t>
            </w:r>
          </w:p>
        </w:tc>
      </w:tr>
      <w:tr w14:paraId="4E2E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3AE7916B">
            <w:pPr>
              <w:spacing w:line="300" w:lineRule="exact"/>
              <w:jc w:val="center"/>
              <w:rPr>
                <w:rFonts w:ascii="Times New Roman" w:hAnsi="Times New Roman" w:cs="Times New Roman"/>
                <w:sz w:val="21"/>
                <w:szCs w:val="21"/>
              </w:rPr>
            </w:pPr>
          </w:p>
        </w:tc>
        <w:tc>
          <w:tcPr>
            <w:tcW w:w="823" w:type="pct"/>
            <w:tcBorders>
              <w:top w:val="single" w:color="auto" w:sz="4" w:space="0"/>
              <w:left w:val="nil"/>
              <w:bottom w:val="single" w:color="auto" w:sz="4" w:space="0"/>
              <w:right w:val="single" w:color="auto" w:sz="4" w:space="0"/>
            </w:tcBorders>
            <w:vAlign w:val="center"/>
          </w:tcPr>
          <w:p w14:paraId="03B4EF60">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水环境影响评价</w:t>
            </w:r>
          </w:p>
        </w:tc>
        <w:tc>
          <w:tcPr>
            <w:tcW w:w="3918" w:type="pct"/>
            <w:gridSpan w:val="12"/>
            <w:tcBorders>
              <w:top w:val="single" w:color="auto" w:sz="4" w:space="0"/>
              <w:left w:val="nil"/>
              <w:bottom w:val="single" w:color="auto" w:sz="4" w:space="0"/>
              <w:right w:val="nil"/>
            </w:tcBorders>
            <w:vAlign w:val="center"/>
          </w:tcPr>
          <w:p w14:paraId="59C20C27">
            <w:pPr>
              <w:keepNext w:val="0"/>
              <w:keepLines w:val="0"/>
              <w:pageBreakBefore w:val="0"/>
              <w:widowControl w:val="0"/>
              <w:kinsoku/>
              <w:wordWrap/>
              <w:overflowPunct/>
              <w:topLinePunct w:val="0"/>
              <w:autoSpaceDE/>
              <w:autoSpaceDN/>
              <w:bidi w:val="0"/>
              <w:adjustRightInd w:val="0"/>
              <w:snapToGrid/>
              <w:spacing w:line="26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排放口混合区外满足水环境管理要求</w:t>
            </w:r>
            <w:r>
              <w:rPr>
                <w:rFonts w:ascii="Times New Roman" w:hAnsi="Times New Roman" w:cs="Times New Roman"/>
                <w:sz w:val="21"/>
                <w:szCs w:val="21"/>
              </w:rPr>
              <w:t>□</w:t>
            </w:r>
          </w:p>
          <w:p w14:paraId="1E1F40E4">
            <w:pPr>
              <w:keepNext w:val="0"/>
              <w:keepLines w:val="0"/>
              <w:pageBreakBefore w:val="0"/>
              <w:widowControl w:val="0"/>
              <w:kinsoku/>
              <w:wordWrap/>
              <w:overflowPunct/>
              <w:topLinePunct w:val="0"/>
              <w:autoSpaceDE/>
              <w:autoSpaceDN/>
              <w:bidi w:val="0"/>
              <w:adjustRightInd w:val="0"/>
              <w:snapToGrid/>
              <w:spacing w:line="26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水环境功能区或水功能区、近岸海域环境功能区水质达标</w:t>
            </w:r>
            <w:r>
              <w:rPr>
                <w:rFonts w:ascii="Times New Roman" w:hAnsi="Times New Roman" w:cs="Times New Roman"/>
                <w:sz w:val="21"/>
                <w:szCs w:val="21"/>
              </w:rPr>
              <w:t>□</w:t>
            </w:r>
          </w:p>
          <w:p w14:paraId="7E997DE8">
            <w:pPr>
              <w:keepNext w:val="0"/>
              <w:keepLines w:val="0"/>
              <w:pageBreakBefore w:val="0"/>
              <w:widowControl w:val="0"/>
              <w:kinsoku/>
              <w:wordWrap/>
              <w:overflowPunct/>
              <w:topLinePunct w:val="0"/>
              <w:autoSpaceDE/>
              <w:autoSpaceDN/>
              <w:bidi w:val="0"/>
              <w:adjustRightInd w:val="0"/>
              <w:snapToGrid/>
              <w:spacing w:line="26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满足水环境保护目标水域水环境质量要求</w:t>
            </w:r>
            <w:r>
              <w:rPr>
                <w:rFonts w:ascii="Times New Roman" w:hAnsi="Times New Roman" w:cs="Times New Roman"/>
                <w:sz w:val="21"/>
                <w:szCs w:val="21"/>
              </w:rPr>
              <w:t>□</w:t>
            </w:r>
          </w:p>
          <w:p w14:paraId="59B88D62">
            <w:pPr>
              <w:keepNext w:val="0"/>
              <w:keepLines w:val="0"/>
              <w:pageBreakBefore w:val="0"/>
              <w:widowControl w:val="0"/>
              <w:kinsoku/>
              <w:wordWrap/>
              <w:overflowPunct/>
              <w:topLinePunct w:val="0"/>
              <w:autoSpaceDE/>
              <w:autoSpaceDN/>
              <w:bidi w:val="0"/>
              <w:adjustRightInd w:val="0"/>
              <w:snapToGrid/>
              <w:spacing w:line="26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水环境控制单元或断面水质达标</w:t>
            </w:r>
            <w:r>
              <w:rPr>
                <w:rFonts w:ascii="Times New Roman" w:hAnsi="Times New Roman" w:cs="Times New Roman"/>
                <w:sz w:val="21"/>
                <w:szCs w:val="21"/>
              </w:rPr>
              <w:t>□</w:t>
            </w:r>
          </w:p>
          <w:p w14:paraId="0A41CBBA">
            <w:pPr>
              <w:keepNext w:val="0"/>
              <w:keepLines w:val="0"/>
              <w:pageBreakBefore w:val="0"/>
              <w:widowControl w:val="0"/>
              <w:kinsoku/>
              <w:wordWrap/>
              <w:overflowPunct/>
              <w:topLinePunct w:val="0"/>
              <w:autoSpaceDE/>
              <w:autoSpaceDN/>
              <w:bidi w:val="0"/>
              <w:adjustRightInd w:val="0"/>
              <w:snapToGrid/>
              <w:spacing w:line="26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满足重点水污染物排放总量控制指标要求，重点行业建设项目，主要污染物排放满足减量或等量替代要求</w:t>
            </w:r>
            <w:r>
              <w:rPr>
                <w:rFonts w:ascii="Times New Roman" w:hAnsi="Times New Roman" w:cs="Times New Roman"/>
                <w:sz w:val="21"/>
                <w:szCs w:val="21"/>
              </w:rPr>
              <w:t>□</w:t>
            </w:r>
          </w:p>
          <w:p w14:paraId="6F1B5A09">
            <w:pPr>
              <w:keepNext w:val="0"/>
              <w:keepLines w:val="0"/>
              <w:pageBreakBefore w:val="0"/>
              <w:widowControl w:val="0"/>
              <w:kinsoku/>
              <w:wordWrap/>
              <w:overflowPunct/>
              <w:topLinePunct w:val="0"/>
              <w:autoSpaceDE/>
              <w:autoSpaceDN/>
              <w:bidi w:val="0"/>
              <w:adjustRightInd w:val="0"/>
              <w:snapToGrid/>
              <w:spacing w:line="26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满足区（流）域水环境质量改善目标要求</w:t>
            </w:r>
            <w:r>
              <w:rPr>
                <w:rFonts w:ascii="Times New Roman" w:hAnsi="Times New Roman" w:cs="Times New Roman"/>
                <w:sz w:val="21"/>
                <w:szCs w:val="21"/>
              </w:rPr>
              <w:t>□</w:t>
            </w:r>
          </w:p>
          <w:p w14:paraId="1C237640">
            <w:pPr>
              <w:keepNext w:val="0"/>
              <w:keepLines w:val="0"/>
              <w:pageBreakBefore w:val="0"/>
              <w:widowControl w:val="0"/>
              <w:kinsoku/>
              <w:wordWrap/>
              <w:overflowPunct/>
              <w:topLinePunct w:val="0"/>
              <w:autoSpaceDE/>
              <w:autoSpaceDN/>
              <w:bidi w:val="0"/>
              <w:adjustRightInd w:val="0"/>
              <w:snapToGrid/>
              <w:spacing w:line="26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水文要素影响型建设项目同时应包括水文情势变化评价、主要水文特征值影响评价、生态流量符合性评价</w:t>
            </w:r>
            <w:r>
              <w:rPr>
                <w:rFonts w:ascii="Times New Roman" w:hAnsi="Times New Roman" w:cs="Times New Roman"/>
                <w:sz w:val="21"/>
                <w:szCs w:val="21"/>
              </w:rPr>
              <w:t>□</w:t>
            </w:r>
          </w:p>
          <w:p w14:paraId="26246D8B">
            <w:pPr>
              <w:keepNext w:val="0"/>
              <w:keepLines w:val="0"/>
              <w:pageBreakBefore w:val="0"/>
              <w:widowControl w:val="0"/>
              <w:kinsoku/>
              <w:wordWrap/>
              <w:overflowPunct/>
              <w:topLinePunct w:val="0"/>
              <w:autoSpaceDE/>
              <w:autoSpaceDN/>
              <w:bidi w:val="0"/>
              <w:adjustRightInd w:val="0"/>
              <w:snapToGrid/>
              <w:spacing w:line="26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对于新设或调整入河（湖库、近岸海域）排放口的建设项目，应包括排放口设置的环境合理性评价</w:t>
            </w:r>
            <w:r>
              <w:rPr>
                <w:rFonts w:ascii="Times New Roman" w:hAnsi="Times New Roman" w:cs="Times New Roman"/>
                <w:sz w:val="21"/>
                <w:szCs w:val="21"/>
              </w:rPr>
              <w:t>□</w:t>
            </w:r>
          </w:p>
          <w:p w14:paraId="1DAC507A">
            <w:pPr>
              <w:keepNext w:val="0"/>
              <w:keepLines w:val="0"/>
              <w:pageBreakBefore w:val="0"/>
              <w:widowControl w:val="0"/>
              <w:kinsoku/>
              <w:wordWrap/>
              <w:overflowPunct/>
              <w:topLinePunct w:val="0"/>
              <w:autoSpaceDE/>
              <w:autoSpaceDN/>
              <w:bidi w:val="0"/>
              <w:adjustRightInd w:val="0"/>
              <w:snapToGrid/>
              <w:spacing w:line="260" w:lineRule="exact"/>
              <w:jc w:val="center"/>
              <w:textAlignment w:val="auto"/>
              <w:rPr>
                <w:rFonts w:ascii="Times New Roman" w:hAnsi="Times New Roman" w:cs="Times New Roman"/>
                <w:sz w:val="21"/>
                <w:szCs w:val="21"/>
              </w:rPr>
            </w:pPr>
            <w:r>
              <w:rPr>
                <w:rFonts w:hint="eastAsia" w:ascii="Times New Roman" w:hAnsi="Times New Roman" w:cs="Times New Roman"/>
                <w:sz w:val="21"/>
                <w:szCs w:val="21"/>
              </w:rPr>
              <w:t>满足生态保护红线、水环境质量底线、资源利用上线和环境准入清单管理要求</w:t>
            </w:r>
            <w:r>
              <w:rPr>
                <w:rFonts w:ascii="Times New Roman" w:hAnsi="Times New Roman" w:cs="Times New Roman"/>
                <w:sz w:val="21"/>
                <w:szCs w:val="21"/>
              </w:rPr>
              <w:t>□</w:t>
            </w:r>
          </w:p>
        </w:tc>
      </w:tr>
      <w:tr w14:paraId="01ED9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5330FA55">
            <w:pPr>
              <w:spacing w:line="300" w:lineRule="exact"/>
              <w:jc w:val="center"/>
              <w:rPr>
                <w:rFonts w:ascii="Times New Roman" w:hAnsi="Times New Roman" w:cs="Times New Roman"/>
                <w:sz w:val="21"/>
                <w:szCs w:val="21"/>
              </w:rPr>
            </w:pPr>
          </w:p>
        </w:tc>
        <w:tc>
          <w:tcPr>
            <w:tcW w:w="823" w:type="pct"/>
            <w:vMerge w:val="restart"/>
            <w:tcBorders>
              <w:top w:val="nil"/>
              <w:left w:val="nil"/>
              <w:bottom w:val="single" w:color="auto" w:sz="4" w:space="0"/>
              <w:right w:val="single" w:color="auto" w:sz="4" w:space="0"/>
            </w:tcBorders>
            <w:vAlign w:val="center"/>
          </w:tcPr>
          <w:p w14:paraId="2F6D2F3D">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污染源排放量核算</w:t>
            </w:r>
          </w:p>
        </w:tc>
        <w:tc>
          <w:tcPr>
            <w:tcW w:w="1213" w:type="pct"/>
            <w:gridSpan w:val="3"/>
            <w:tcBorders>
              <w:top w:val="single" w:color="auto" w:sz="4" w:space="0"/>
              <w:left w:val="nil"/>
              <w:bottom w:val="single" w:color="auto" w:sz="4" w:space="0"/>
              <w:right w:val="single" w:color="auto" w:sz="4" w:space="0"/>
            </w:tcBorders>
            <w:vAlign w:val="center"/>
          </w:tcPr>
          <w:p w14:paraId="27748152">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污染物名称</w:t>
            </w:r>
          </w:p>
        </w:tc>
        <w:tc>
          <w:tcPr>
            <w:tcW w:w="1316" w:type="pct"/>
            <w:gridSpan w:val="5"/>
            <w:tcBorders>
              <w:top w:val="single" w:color="auto" w:sz="4" w:space="0"/>
              <w:left w:val="nil"/>
              <w:bottom w:val="single" w:color="auto" w:sz="4" w:space="0"/>
              <w:right w:val="single" w:color="auto" w:sz="4" w:space="0"/>
            </w:tcBorders>
            <w:vAlign w:val="center"/>
          </w:tcPr>
          <w:p w14:paraId="7D180308">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排放量</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t/a</w:t>
            </w:r>
            <w:r>
              <w:rPr>
                <w:rFonts w:hint="eastAsia" w:ascii="Times New Roman" w:hAnsi="Times New Roman" w:cs="Times New Roman"/>
                <w:sz w:val="21"/>
                <w:szCs w:val="21"/>
              </w:rPr>
              <w:t>）</w:t>
            </w:r>
          </w:p>
        </w:tc>
        <w:tc>
          <w:tcPr>
            <w:tcW w:w="1388" w:type="pct"/>
            <w:gridSpan w:val="4"/>
            <w:tcBorders>
              <w:top w:val="single" w:color="auto" w:sz="4" w:space="0"/>
              <w:left w:val="nil"/>
              <w:bottom w:val="single" w:color="auto" w:sz="4" w:space="0"/>
              <w:right w:val="nil"/>
            </w:tcBorders>
            <w:vAlign w:val="center"/>
          </w:tcPr>
          <w:p w14:paraId="0FD57139">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排放浓度</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mg/L</w:t>
            </w:r>
            <w:r>
              <w:rPr>
                <w:rFonts w:hint="eastAsia" w:ascii="Times New Roman" w:hAnsi="Times New Roman" w:cs="Times New Roman"/>
                <w:sz w:val="21"/>
                <w:szCs w:val="21"/>
              </w:rPr>
              <w:t>）</w:t>
            </w:r>
          </w:p>
        </w:tc>
      </w:tr>
      <w:tr w14:paraId="3415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75089BA3">
            <w:pPr>
              <w:spacing w:line="300" w:lineRule="exact"/>
              <w:jc w:val="center"/>
              <w:rPr>
                <w:rFonts w:ascii="Times New Roman" w:hAnsi="Times New Roman" w:cs="Times New Roman"/>
                <w:sz w:val="21"/>
                <w:szCs w:val="21"/>
              </w:rPr>
            </w:pPr>
          </w:p>
        </w:tc>
        <w:tc>
          <w:tcPr>
            <w:tcW w:w="823" w:type="pct"/>
            <w:vMerge w:val="continue"/>
            <w:tcBorders>
              <w:top w:val="nil"/>
              <w:left w:val="nil"/>
              <w:bottom w:val="single" w:color="auto" w:sz="4" w:space="0"/>
              <w:right w:val="single" w:color="auto" w:sz="4" w:space="0"/>
            </w:tcBorders>
            <w:vAlign w:val="center"/>
          </w:tcPr>
          <w:p w14:paraId="2F3DA4E4">
            <w:pPr>
              <w:spacing w:line="280" w:lineRule="exact"/>
              <w:jc w:val="center"/>
              <w:rPr>
                <w:rFonts w:ascii="Times New Roman" w:hAnsi="Times New Roman" w:cs="Times New Roman"/>
                <w:sz w:val="21"/>
                <w:szCs w:val="21"/>
              </w:rPr>
            </w:pPr>
          </w:p>
        </w:tc>
        <w:tc>
          <w:tcPr>
            <w:tcW w:w="1213" w:type="pct"/>
            <w:gridSpan w:val="3"/>
            <w:tcBorders>
              <w:top w:val="single" w:color="auto" w:sz="4" w:space="0"/>
              <w:left w:val="nil"/>
              <w:bottom w:val="single" w:color="auto" w:sz="4" w:space="0"/>
              <w:right w:val="single" w:color="auto" w:sz="4" w:space="0"/>
            </w:tcBorders>
            <w:vAlign w:val="center"/>
          </w:tcPr>
          <w:p w14:paraId="13FFCF46">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w:t>
            </w:r>
          </w:p>
        </w:tc>
        <w:tc>
          <w:tcPr>
            <w:tcW w:w="1316" w:type="pct"/>
            <w:gridSpan w:val="5"/>
            <w:tcBorders>
              <w:top w:val="single" w:color="auto" w:sz="4" w:space="0"/>
              <w:left w:val="nil"/>
              <w:bottom w:val="single" w:color="auto" w:sz="4" w:space="0"/>
              <w:right w:val="single" w:color="auto" w:sz="4" w:space="0"/>
            </w:tcBorders>
            <w:vAlign w:val="center"/>
          </w:tcPr>
          <w:p w14:paraId="74E74AD9">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w:t>
            </w:r>
          </w:p>
        </w:tc>
        <w:tc>
          <w:tcPr>
            <w:tcW w:w="1388" w:type="pct"/>
            <w:gridSpan w:val="4"/>
            <w:tcBorders>
              <w:top w:val="single" w:color="auto" w:sz="4" w:space="0"/>
              <w:left w:val="nil"/>
              <w:bottom w:val="single" w:color="auto" w:sz="4" w:space="0"/>
              <w:right w:val="nil"/>
            </w:tcBorders>
            <w:vAlign w:val="center"/>
          </w:tcPr>
          <w:p w14:paraId="24E54635">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w:t>
            </w:r>
          </w:p>
        </w:tc>
      </w:tr>
      <w:tr w14:paraId="77C5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24ECF5E7">
            <w:pPr>
              <w:spacing w:line="300" w:lineRule="exact"/>
              <w:jc w:val="center"/>
              <w:rPr>
                <w:rFonts w:ascii="Times New Roman" w:hAnsi="Times New Roman" w:cs="Times New Roman"/>
                <w:sz w:val="21"/>
                <w:szCs w:val="21"/>
              </w:rPr>
            </w:pPr>
          </w:p>
        </w:tc>
        <w:tc>
          <w:tcPr>
            <w:tcW w:w="823" w:type="pct"/>
            <w:vMerge w:val="restart"/>
            <w:tcBorders>
              <w:top w:val="nil"/>
              <w:left w:val="nil"/>
              <w:bottom w:val="single" w:color="auto" w:sz="4" w:space="0"/>
              <w:right w:val="single" w:color="auto" w:sz="4" w:space="0"/>
            </w:tcBorders>
            <w:vAlign w:val="center"/>
          </w:tcPr>
          <w:p w14:paraId="3D4E868D">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替代源排放情况</w:t>
            </w:r>
          </w:p>
        </w:tc>
        <w:tc>
          <w:tcPr>
            <w:tcW w:w="683" w:type="pct"/>
            <w:tcBorders>
              <w:top w:val="single" w:color="auto" w:sz="4" w:space="0"/>
              <w:left w:val="nil"/>
              <w:bottom w:val="single" w:color="auto" w:sz="4" w:space="0"/>
              <w:right w:val="single" w:color="auto" w:sz="4" w:space="0"/>
            </w:tcBorders>
            <w:vAlign w:val="center"/>
          </w:tcPr>
          <w:p w14:paraId="11A1086F">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污染源名称</w:t>
            </w:r>
          </w:p>
        </w:tc>
        <w:tc>
          <w:tcPr>
            <w:tcW w:w="819" w:type="pct"/>
            <w:gridSpan w:val="3"/>
            <w:tcBorders>
              <w:top w:val="single" w:color="auto" w:sz="4" w:space="0"/>
              <w:left w:val="nil"/>
              <w:bottom w:val="single" w:color="auto" w:sz="4" w:space="0"/>
              <w:right w:val="single" w:color="auto" w:sz="4" w:space="0"/>
            </w:tcBorders>
            <w:vAlign w:val="center"/>
          </w:tcPr>
          <w:p w14:paraId="68C3CAB3">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排污许可证编号</w:t>
            </w:r>
          </w:p>
        </w:tc>
        <w:tc>
          <w:tcPr>
            <w:tcW w:w="750" w:type="pct"/>
            <w:gridSpan w:val="3"/>
            <w:tcBorders>
              <w:top w:val="single" w:color="auto" w:sz="4" w:space="0"/>
              <w:left w:val="nil"/>
              <w:bottom w:val="single" w:color="auto" w:sz="4" w:space="0"/>
              <w:right w:val="single" w:color="auto" w:sz="4" w:space="0"/>
            </w:tcBorders>
            <w:vAlign w:val="center"/>
          </w:tcPr>
          <w:p w14:paraId="07439CDC">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污染物名称</w:t>
            </w:r>
          </w:p>
        </w:tc>
        <w:tc>
          <w:tcPr>
            <w:tcW w:w="649" w:type="pct"/>
            <w:gridSpan w:val="2"/>
            <w:tcBorders>
              <w:top w:val="single" w:color="auto" w:sz="4" w:space="0"/>
              <w:left w:val="nil"/>
              <w:bottom w:val="single" w:color="auto" w:sz="4" w:space="0"/>
              <w:right w:val="single" w:color="auto" w:sz="4" w:space="0"/>
            </w:tcBorders>
            <w:vAlign w:val="center"/>
          </w:tcPr>
          <w:p w14:paraId="19E50DF5">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排放量</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t/a</w:t>
            </w:r>
            <w:r>
              <w:rPr>
                <w:rFonts w:hint="eastAsia" w:ascii="Times New Roman" w:hAnsi="Times New Roman" w:cs="Times New Roman"/>
                <w:sz w:val="21"/>
                <w:szCs w:val="21"/>
              </w:rPr>
              <w:t>）</w:t>
            </w:r>
          </w:p>
        </w:tc>
        <w:tc>
          <w:tcPr>
            <w:tcW w:w="1015" w:type="pct"/>
            <w:gridSpan w:val="3"/>
            <w:tcBorders>
              <w:top w:val="single" w:color="auto" w:sz="4" w:space="0"/>
              <w:left w:val="nil"/>
              <w:bottom w:val="single" w:color="auto" w:sz="4" w:space="0"/>
              <w:right w:val="nil"/>
            </w:tcBorders>
            <w:vAlign w:val="center"/>
          </w:tcPr>
          <w:p w14:paraId="167B2444">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排放浓度</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mg/L</w:t>
            </w:r>
            <w:r>
              <w:rPr>
                <w:rFonts w:hint="eastAsia" w:ascii="Times New Roman" w:hAnsi="Times New Roman" w:cs="Times New Roman"/>
                <w:sz w:val="21"/>
                <w:szCs w:val="21"/>
              </w:rPr>
              <w:t>）</w:t>
            </w:r>
          </w:p>
        </w:tc>
      </w:tr>
      <w:tr w14:paraId="18C2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3194973A">
            <w:pPr>
              <w:spacing w:line="300" w:lineRule="exact"/>
              <w:jc w:val="center"/>
              <w:rPr>
                <w:rFonts w:ascii="Times New Roman" w:hAnsi="Times New Roman" w:cs="Times New Roman"/>
                <w:sz w:val="21"/>
                <w:szCs w:val="21"/>
              </w:rPr>
            </w:pPr>
          </w:p>
        </w:tc>
        <w:tc>
          <w:tcPr>
            <w:tcW w:w="823" w:type="pct"/>
            <w:vMerge w:val="continue"/>
            <w:tcBorders>
              <w:top w:val="nil"/>
              <w:left w:val="nil"/>
              <w:bottom w:val="single" w:color="auto" w:sz="4" w:space="0"/>
              <w:right w:val="single" w:color="auto" w:sz="4" w:space="0"/>
            </w:tcBorders>
            <w:vAlign w:val="center"/>
          </w:tcPr>
          <w:p w14:paraId="5F894D61">
            <w:pPr>
              <w:spacing w:line="280" w:lineRule="exact"/>
              <w:jc w:val="center"/>
              <w:rPr>
                <w:rFonts w:ascii="Times New Roman" w:hAnsi="Times New Roman" w:cs="Times New Roman"/>
                <w:sz w:val="21"/>
                <w:szCs w:val="21"/>
              </w:rPr>
            </w:pPr>
          </w:p>
        </w:tc>
        <w:tc>
          <w:tcPr>
            <w:tcW w:w="683" w:type="pct"/>
            <w:tcBorders>
              <w:top w:val="single" w:color="auto" w:sz="4" w:space="0"/>
              <w:left w:val="nil"/>
              <w:bottom w:val="single" w:color="auto" w:sz="4" w:space="0"/>
              <w:right w:val="single" w:color="auto" w:sz="4" w:space="0"/>
            </w:tcBorders>
          </w:tcPr>
          <w:p w14:paraId="062514AE">
            <w:pPr>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w:t>
            </w:r>
          </w:p>
        </w:tc>
        <w:tc>
          <w:tcPr>
            <w:tcW w:w="819" w:type="pct"/>
            <w:gridSpan w:val="3"/>
            <w:tcBorders>
              <w:top w:val="single" w:color="auto" w:sz="4" w:space="0"/>
              <w:left w:val="nil"/>
              <w:bottom w:val="single" w:color="auto" w:sz="4" w:space="0"/>
              <w:right w:val="single" w:color="auto" w:sz="4" w:space="0"/>
            </w:tcBorders>
          </w:tcPr>
          <w:p w14:paraId="410B0774">
            <w:pPr>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w:t>
            </w:r>
          </w:p>
        </w:tc>
        <w:tc>
          <w:tcPr>
            <w:tcW w:w="750" w:type="pct"/>
            <w:gridSpan w:val="3"/>
            <w:tcBorders>
              <w:top w:val="single" w:color="auto" w:sz="4" w:space="0"/>
              <w:left w:val="nil"/>
              <w:bottom w:val="single" w:color="auto" w:sz="4" w:space="0"/>
              <w:right w:val="single" w:color="auto" w:sz="4" w:space="0"/>
            </w:tcBorders>
          </w:tcPr>
          <w:p w14:paraId="5C79272C">
            <w:pPr>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w:t>
            </w:r>
          </w:p>
        </w:tc>
        <w:tc>
          <w:tcPr>
            <w:tcW w:w="649" w:type="pct"/>
            <w:gridSpan w:val="2"/>
            <w:tcBorders>
              <w:top w:val="single" w:color="auto" w:sz="4" w:space="0"/>
              <w:left w:val="nil"/>
              <w:bottom w:val="single" w:color="auto" w:sz="4" w:space="0"/>
              <w:right w:val="single" w:color="auto" w:sz="4" w:space="0"/>
            </w:tcBorders>
          </w:tcPr>
          <w:p w14:paraId="17989FD3">
            <w:pPr>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w:t>
            </w:r>
          </w:p>
        </w:tc>
        <w:tc>
          <w:tcPr>
            <w:tcW w:w="1015" w:type="pct"/>
            <w:gridSpan w:val="3"/>
            <w:tcBorders>
              <w:top w:val="single" w:color="auto" w:sz="4" w:space="0"/>
              <w:left w:val="nil"/>
              <w:bottom w:val="single" w:color="auto" w:sz="4" w:space="0"/>
              <w:right w:val="nil"/>
            </w:tcBorders>
          </w:tcPr>
          <w:p w14:paraId="7EB584B3">
            <w:pPr>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w:t>
            </w:r>
          </w:p>
        </w:tc>
      </w:tr>
      <w:tr w14:paraId="7BD80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492BA17B">
            <w:pPr>
              <w:spacing w:line="300" w:lineRule="exact"/>
              <w:jc w:val="center"/>
              <w:rPr>
                <w:rFonts w:ascii="Times New Roman" w:hAnsi="Times New Roman" w:cs="Times New Roman"/>
                <w:sz w:val="21"/>
                <w:szCs w:val="21"/>
              </w:rPr>
            </w:pPr>
          </w:p>
        </w:tc>
        <w:tc>
          <w:tcPr>
            <w:tcW w:w="823" w:type="pct"/>
            <w:tcBorders>
              <w:top w:val="single" w:color="auto" w:sz="4" w:space="0"/>
              <w:left w:val="nil"/>
              <w:bottom w:val="single" w:color="auto" w:sz="4" w:space="0"/>
              <w:right w:val="single" w:color="auto" w:sz="4" w:space="0"/>
            </w:tcBorders>
            <w:vAlign w:val="center"/>
          </w:tcPr>
          <w:p w14:paraId="190D4C71">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生态流量确定</w:t>
            </w:r>
          </w:p>
        </w:tc>
        <w:tc>
          <w:tcPr>
            <w:tcW w:w="3918" w:type="pct"/>
            <w:gridSpan w:val="12"/>
            <w:tcBorders>
              <w:top w:val="single" w:color="auto" w:sz="4" w:space="0"/>
              <w:left w:val="nil"/>
              <w:bottom w:val="single" w:color="auto" w:sz="4" w:space="0"/>
              <w:right w:val="nil"/>
            </w:tcBorders>
            <w:vAlign w:val="center"/>
          </w:tcPr>
          <w:p w14:paraId="3FA30F39">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生态流量：一般水期（</w:t>
            </w:r>
            <w:r>
              <w:rPr>
                <w:rFonts w:ascii="Times New Roman" w:hAnsi="Times New Roman" w:cs="Times New Roman"/>
                <w:sz w:val="21"/>
                <w:szCs w:val="21"/>
              </w:rPr>
              <w:t xml:space="preserve">     </w:t>
            </w:r>
            <w:r>
              <w:rPr>
                <w:rFonts w:hint="eastAsia" w:ascii="Times New Roman" w:hAnsi="Times New Roman" w:cs="Times New Roman"/>
                <w:sz w:val="21"/>
                <w:szCs w:val="21"/>
              </w:rPr>
              <w:t>）</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/s</w:t>
            </w: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鱼类繁殖期（</w:t>
            </w:r>
            <w:r>
              <w:rPr>
                <w:rFonts w:ascii="Times New Roman" w:hAnsi="Times New Roman" w:cs="Times New Roman"/>
                <w:sz w:val="21"/>
                <w:szCs w:val="21"/>
              </w:rPr>
              <w:t xml:space="preserve">     </w:t>
            </w:r>
            <w:r>
              <w:rPr>
                <w:rFonts w:hint="eastAsia" w:ascii="Times New Roman" w:hAnsi="Times New Roman" w:cs="Times New Roman"/>
                <w:sz w:val="21"/>
                <w:szCs w:val="21"/>
              </w:rPr>
              <w:t>）</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/s</w:t>
            </w:r>
            <w:r>
              <w:rPr>
                <w:rFonts w:hint="eastAsia" w:ascii="Times New Roman" w:hAnsi="Times New Roman" w:cs="Times New Roman"/>
                <w:sz w:val="21"/>
                <w:szCs w:val="21"/>
              </w:rPr>
              <w:t>；其他（</w:t>
            </w:r>
            <w:r>
              <w:rPr>
                <w:rFonts w:ascii="Times New Roman" w:hAnsi="Times New Roman" w:cs="Times New Roman"/>
                <w:sz w:val="21"/>
                <w:szCs w:val="21"/>
              </w:rPr>
              <w:t xml:space="preserve">     </w:t>
            </w:r>
            <w:r>
              <w:rPr>
                <w:rFonts w:hint="eastAsia" w:ascii="Times New Roman" w:hAnsi="Times New Roman" w:cs="Times New Roman"/>
                <w:sz w:val="21"/>
                <w:szCs w:val="21"/>
              </w:rPr>
              <w:t>）</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/s</w:t>
            </w:r>
          </w:p>
          <w:p w14:paraId="3EA64D1E">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生态流量：一般水位（</w:t>
            </w:r>
            <w:r>
              <w:rPr>
                <w:rFonts w:ascii="Times New Roman" w:hAnsi="Times New Roman" w:cs="Times New Roman"/>
                <w:sz w:val="21"/>
                <w:szCs w:val="21"/>
              </w:rPr>
              <w:t xml:space="preserve">     </w:t>
            </w:r>
            <w:r>
              <w:rPr>
                <w:rFonts w:hint="eastAsia" w:ascii="Times New Roman" w:hAnsi="Times New Roman" w:cs="Times New Roman"/>
                <w:sz w:val="21"/>
                <w:szCs w:val="21"/>
              </w:rPr>
              <w:t>）</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/s</w:t>
            </w: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鱼类繁殖期（</w:t>
            </w:r>
            <w:r>
              <w:rPr>
                <w:rFonts w:ascii="Times New Roman" w:hAnsi="Times New Roman" w:cs="Times New Roman"/>
                <w:sz w:val="21"/>
                <w:szCs w:val="21"/>
              </w:rPr>
              <w:t xml:space="preserve">     </w:t>
            </w:r>
            <w:r>
              <w:rPr>
                <w:rFonts w:hint="eastAsia" w:ascii="Times New Roman" w:hAnsi="Times New Roman" w:cs="Times New Roman"/>
                <w:sz w:val="21"/>
                <w:szCs w:val="21"/>
              </w:rPr>
              <w:t>）</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/s</w:t>
            </w:r>
            <w:r>
              <w:rPr>
                <w:rFonts w:hint="eastAsia" w:ascii="Times New Roman" w:hAnsi="Times New Roman" w:cs="Times New Roman"/>
                <w:sz w:val="21"/>
                <w:szCs w:val="21"/>
              </w:rPr>
              <w:t>；其他（</w:t>
            </w:r>
            <w:r>
              <w:rPr>
                <w:rFonts w:ascii="Times New Roman" w:hAnsi="Times New Roman" w:cs="Times New Roman"/>
                <w:sz w:val="21"/>
                <w:szCs w:val="21"/>
              </w:rPr>
              <w:t xml:space="preserve">     </w:t>
            </w:r>
            <w:r>
              <w:rPr>
                <w:rFonts w:hint="eastAsia" w:ascii="Times New Roman" w:hAnsi="Times New Roman" w:cs="Times New Roman"/>
                <w:sz w:val="21"/>
                <w:szCs w:val="21"/>
              </w:rPr>
              <w:t>）</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/s</w:t>
            </w:r>
          </w:p>
        </w:tc>
      </w:tr>
      <w:tr w14:paraId="25EA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restart"/>
            <w:tcBorders>
              <w:top w:val="nil"/>
              <w:left w:val="nil"/>
              <w:bottom w:val="single" w:color="auto" w:sz="4" w:space="0"/>
              <w:right w:val="single" w:color="auto" w:sz="4" w:space="0"/>
            </w:tcBorders>
            <w:vAlign w:val="center"/>
          </w:tcPr>
          <w:p w14:paraId="3CD59691">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防治措施</w:t>
            </w:r>
          </w:p>
        </w:tc>
        <w:tc>
          <w:tcPr>
            <w:tcW w:w="823" w:type="pct"/>
            <w:tcBorders>
              <w:top w:val="single" w:color="auto" w:sz="4" w:space="0"/>
              <w:left w:val="nil"/>
              <w:bottom w:val="single" w:color="auto" w:sz="4" w:space="0"/>
              <w:right w:val="single" w:color="auto" w:sz="4" w:space="0"/>
            </w:tcBorders>
            <w:vAlign w:val="center"/>
          </w:tcPr>
          <w:p w14:paraId="76C5C753">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环保措施</w:t>
            </w:r>
          </w:p>
        </w:tc>
        <w:tc>
          <w:tcPr>
            <w:tcW w:w="3918" w:type="pct"/>
            <w:gridSpan w:val="12"/>
            <w:tcBorders>
              <w:top w:val="single" w:color="auto" w:sz="4" w:space="0"/>
              <w:left w:val="nil"/>
              <w:bottom w:val="single" w:color="auto" w:sz="4" w:space="0"/>
              <w:right w:val="nil"/>
            </w:tcBorders>
            <w:vAlign w:val="center"/>
          </w:tcPr>
          <w:p w14:paraId="41509E20">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污水处理设施</w:t>
            </w:r>
            <w:r>
              <w:rPr>
                <w:rFonts w:ascii="Times New Roman" w:hAnsi="Times New Roman" w:cs="Times New Roman"/>
                <w:b/>
                <w:bCs/>
                <w:sz w:val="21"/>
                <w:szCs w:val="21"/>
              </w:rPr>
              <w:t>√</w:t>
            </w:r>
            <w:r>
              <w:rPr>
                <w:rFonts w:hint="eastAsia" w:ascii="Times New Roman" w:hAnsi="Times New Roman" w:cs="Times New Roman"/>
                <w:sz w:val="21"/>
                <w:szCs w:val="21"/>
              </w:rPr>
              <w:t>；水文减缓设施</w:t>
            </w:r>
            <w:r>
              <w:rPr>
                <w:rFonts w:ascii="Times New Roman" w:hAnsi="Times New Roman" w:cs="Times New Roman"/>
                <w:sz w:val="21"/>
                <w:szCs w:val="21"/>
              </w:rPr>
              <w:t>□</w:t>
            </w:r>
            <w:r>
              <w:rPr>
                <w:rFonts w:hint="eastAsia" w:ascii="Times New Roman" w:hAnsi="Times New Roman" w:cs="Times New Roman"/>
                <w:sz w:val="21"/>
                <w:szCs w:val="21"/>
              </w:rPr>
              <w:t>；生态流量保障设施</w:t>
            </w:r>
            <w:r>
              <w:rPr>
                <w:rFonts w:ascii="Times New Roman" w:hAnsi="Times New Roman" w:cs="Times New Roman"/>
                <w:sz w:val="21"/>
                <w:szCs w:val="21"/>
              </w:rPr>
              <w:t>□</w:t>
            </w:r>
            <w:r>
              <w:rPr>
                <w:rFonts w:hint="eastAsia" w:ascii="Times New Roman" w:hAnsi="Times New Roman" w:cs="Times New Roman"/>
                <w:sz w:val="21"/>
                <w:szCs w:val="21"/>
              </w:rPr>
              <w:t>；区域削减</w:t>
            </w:r>
            <w:r>
              <w:rPr>
                <w:rFonts w:ascii="Times New Roman" w:hAnsi="Times New Roman" w:cs="Times New Roman"/>
                <w:sz w:val="21"/>
                <w:szCs w:val="21"/>
              </w:rPr>
              <w:t>□</w:t>
            </w:r>
            <w:r>
              <w:rPr>
                <w:rFonts w:hint="eastAsia" w:ascii="Times New Roman" w:hAnsi="Times New Roman" w:cs="Times New Roman"/>
                <w:sz w:val="21"/>
                <w:szCs w:val="21"/>
              </w:rPr>
              <w:t>；依托其他工程措施</w:t>
            </w:r>
            <w:r>
              <w:rPr>
                <w:rFonts w:ascii="Times New Roman" w:hAnsi="Times New Roman" w:cs="Times New Roman"/>
                <w:sz w:val="21"/>
                <w:szCs w:val="21"/>
              </w:rPr>
              <w:t>□</w:t>
            </w:r>
            <w:r>
              <w:rPr>
                <w:rFonts w:hint="eastAsia" w:ascii="Times New Roman" w:hAnsi="Times New Roman" w:cs="Times New Roman"/>
                <w:sz w:val="21"/>
                <w:szCs w:val="21"/>
              </w:rPr>
              <w:t>；其他</w:t>
            </w:r>
            <w:r>
              <w:rPr>
                <w:rFonts w:ascii="Times New Roman" w:hAnsi="Times New Roman" w:cs="Times New Roman"/>
                <w:sz w:val="21"/>
                <w:szCs w:val="21"/>
              </w:rPr>
              <w:t>□</w:t>
            </w:r>
          </w:p>
        </w:tc>
      </w:tr>
      <w:tr w14:paraId="13C8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6E436335">
            <w:pPr>
              <w:spacing w:line="300" w:lineRule="exact"/>
              <w:jc w:val="center"/>
              <w:rPr>
                <w:rFonts w:ascii="Times New Roman" w:hAnsi="Times New Roman" w:cs="Times New Roman"/>
                <w:sz w:val="21"/>
                <w:szCs w:val="21"/>
              </w:rPr>
            </w:pPr>
          </w:p>
        </w:tc>
        <w:tc>
          <w:tcPr>
            <w:tcW w:w="823" w:type="pct"/>
            <w:vMerge w:val="restart"/>
            <w:tcBorders>
              <w:top w:val="nil"/>
              <w:left w:val="nil"/>
              <w:bottom w:val="single" w:color="auto" w:sz="4" w:space="0"/>
              <w:right w:val="single" w:color="auto" w:sz="4" w:space="0"/>
            </w:tcBorders>
            <w:vAlign w:val="center"/>
          </w:tcPr>
          <w:p w14:paraId="257B1709">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监测计划</w:t>
            </w:r>
          </w:p>
        </w:tc>
        <w:tc>
          <w:tcPr>
            <w:tcW w:w="910" w:type="pct"/>
            <w:gridSpan w:val="2"/>
            <w:tcBorders>
              <w:top w:val="single" w:color="auto" w:sz="4" w:space="0"/>
              <w:left w:val="nil"/>
              <w:bottom w:val="single" w:color="auto" w:sz="4" w:space="0"/>
              <w:right w:val="single" w:color="auto" w:sz="4" w:space="0"/>
            </w:tcBorders>
            <w:vAlign w:val="center"/>
          </w:tcPr>
          <w:p w14:paraId="5685453E">
            <w:pPr>
              <w:adjustRightInd w:val="0"/>
              <w:spacing w:line="280" w:lineRule="exact"/>
              <w:jc w:val="center"/>
              <w:rPr>
                <w:rFonts w:ascii="Times New Roman" w:hAnsi="Times New Roman" w:cs="Times New Roman"/>
                <w:sz w:val="21"/>
                <w:szCs w:val="21"/>
              </w:rPr>
            </w:pPr>
          </w:p>
        </w:tc>
        <w:tc>
          <w:tcPr>
            <w:tcW w:w="985" w:type="pct"/>
            <w:gridSpan w:val="3"/>
            <w:tcBorders>
              <w:top w:val="single" w:color="auto" w:sz="4" w:space="0"/>
              <w:left w:val="nil"/>
              <w:bottom w:val="single" w:color="auto" w:sz="4" w:space="0"/>
              <w:right w:val="single" w:color="auto" w:sz="4" w:space="0"/>
            </w:tcBorders>
            <w:vAlign w:val="center"/>
          </w:tcPr>
          <w:p w14:paraId="1ECCC622">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环境质量</w:t>
            </w:r>
          </w:p>
        </w:tc>
        <w:tc>
          <w:tcPr>
            <w:tcW w:w="2022" w:type="pct"/>
            <w:gridSpan w:val="7"/>
            <w:tcBorders>
              <w:top w:val="single" w:color="auto" w:sz="4" w:space="0"/>
              <w:left w:val="nil"/>
              <w:bottom w:val="single" w:color="auto" w:sz="4" w:space="0"/>
              <w:right w:val="nil"/>
            </w:tcBorders>
            <w:vAlign w:val="center"/>
          </w:tcPr>
          <w:p w14:paraId="4EF192A9">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污染源</w:t>
            </w:r>
          </w:p>
        </w:tc>
      </w:tr>
      <w:tr w14:paraId="0844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03CCEE97">
            <w:pPr>
              <w:spacing w:line="300" w:lineRule="exact"/>
              <w:jc w:val="center"/>
              <w:rPr>
                <w:rFonts w:ascii="Times New Roman" w:hAnsi="Times New Roman" w:cs="Times New Roman"/>
                <w:sz w:val="21"/>
                <w:szCs w:val="21"/>
              </w:rPr>
            </w:pPr>
          </w:p>
        </w:tc>
        <w:tc>
          <w:tcPr>
            <w:tcW w:w="823" w:type="pct"/>
            <w:vMerge w:val="continue"/>
            <w:tcBorders>
              <w:top w:val="nil"/>
              <w:left w:val="nil"/>
              <w:bottom w:val="single" w:color="auto" w:sz="4" w:space="0"/>
              <w:right w:val="single" w:color="auto" w:sz="4" w:space="0"/>
            </w:tcBorders>
            <w:vAlign w:val="center"/>
          </w:tcPr>
          <w:p w14:paraId="082C3D1D">
            <w:pPr>
              <w:spacing w:line="280" w:lineRule="exact"/>
              <w:jc w:val="center"/>
              <w:rPr>
                <w:rFonts w:ascii="Times New Roman" w:hAnsi="Times New Roman" w:cs="Times New Roman"/>
                <w:sz w:val="21"/>
                <w:szCs w:val="21"/>
              </w:rPr>
            </w:pPr>
          </w:p>
        </w:tc>
        <w:tc>
          <w:tcPr>
            <w:tcW w:w="910" w:type="pct"/>
            <w:gridSpan w:val="2"/>
            <w:tcBorders>
              <w:top w:val="single" w:color="auto" w:sz="4" w:space="0"/>
              <w:left w:val="nil"/>
              <w:bottom w:val="single" w:color="auto" w:sz="4" w:space="0"/>
              <w:right w:val="single" w:color="auto" w:sz="4" w:space="0"/>
            </w:tcBorders>
            <w:vAlign w:val="center"/>
          </w:tcPr>
          <w:p w14:paraId="0C6F5729">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监测方式</w:t>
            </w:r>
          </w:p>
        </w:tc>
        <w:tc>
          <w:tcPr>
            <w:tcW w:w="985" w:type="pct"/>
            <w:gridSpan w:val="3"/>
            <w:tcBorders>
              <w:top w:val="single" w:color="auto" w:sz="4" w:space="0"/>
              <w:left w:val="nil"/>
              <w:bottom w:val="single" w:color="auto" w:sz="4" w:space="0"/>
              <w:right w:val="single" w:color="auto" w:sz="4" w:space="0"/>
            </w:tcBorders>
            <w:vAlign w:val="center"/>
          </w:tcPr>
          <w:p w14:paraId="5261EB56">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手动</w:t>
            </w:r>
            <w:r>
              <w:rPr>
                <w:rFonts w:ascii="Times New Roman" w:hAnsi="Times New Roman" w:cs="Times New Roman"/>
                <w:sz w:val="21"/>
                <w:szCs w:val="21"/>
              </w:rPr>
              <w:t>□</w:t>
            </w:r>
            <w:r>
              <w:rPr>
                <w:rFonts w:hint="eastAsia" w:ascii="Times New Roman" w:hAnsi="Times New Roman" w:cs="Times New Roman"/>
                <w:sz w:val="21"/>
                <w:szCs w:val="21"/>
              </w:rPr>
              <w:t>；自动</w:t>
            </w:r>
            <w:r>
              <w:rPr>
                <w:rFonts w:ascii="Times New Roman" w:hAnsi="Times New Roman" w:cs="Times New Roman"/>
                <w:sz w:val="21"/>
                <w:szCs w:val="21"/>
              </w:rPr>
              <w:t>□</w:t>
            </w:r>
            <w:r>
              <w:rPr>
                <w:rFonts w:hint="eastAsia" w:ascii="Times New Roman" w:hAnsi="Times New Roman" w:cs="Times New Roman"/>
                <w:sz w:val="21"/>
                <w:szCs w:val="21"/>
              </w:rPr>
              <w:t>；无监测☑</w:t>
            </w:r>
          </w:p>
        </w:tc>
        <w:tc>
          <w:tcPr>
            <w:tcW w:w="2022" w:type="pct"/>
            <w:gridSpan w:val="7"/>
            <w:tcBorders>
              <w:top w:val="single" w:color="auto" w:sz="4" w:space="0"/>
              <w:left w:val="nil"/>
              <w:bottom w:val="single" w:color="auto" w:sz="4" w:space="0"/>
              <w:right w:val="nil"/>
            </w:tcBorders>
            <w:vAlign w:val="center"/>
          </w:tcPr>
          <w:p w14:paraId="55FD0218">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手动☑；自动</w:t>
            </w:r>
            <w:r>
              <w:rPr>
                <w:rFonts w:ascii="Times New Roman" w:hAnsi="Times New Roman" w:cs="Times New Roman"/>
                <w:sz w:val="21"/>
                <w:szCs w:val="21"/>
              </w:rPr>
              <w:t>□</w:t>
            </w:r>
            <w:r>
              <w:rPr>
                <w:rFonts w:hint="eastAsia" w:ascii="Times New Roman" w:hAnsi="Times New Roman" w:cs="Times New Roman"/>
                <w:sz w:val="21"/>
                <w:szCs w:val="21"/>
              </w:rPr>
              <w:t>；无监测</w:t>
            </w:r>
            <w:r>
              <w:rPr>
                <w:rFonts w:ascii="Times New Roman" w:hAnsi="Times New Roman" w:cs="Times New Roman"/>
                <w:sz w:val="21"/>
                <w:szCs w:val="21"/>
              </w:rPr>
              <w:t>□</w:t>
            </w:r>
          </w:p>
        </w:tc>
      </w:tr>
      <w:tr w14:paraId="2753B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42A5C7E4">
            <w:pPr>
              <w:spacing w:line="300" w:lineRule="exact"/>
              <w:jc w:val="center"/>
              <w:rPr>
                <w:rFonts w:ascii="Times New Roman" w:hAnsi="Times New Roman" w:cs="Times New Roman"/>
                <w:sz w:val="21"/>
                <w:szCs w:val="21"/>
              </w:rPr>
            </w:pPr>
          </w:p>
        </w:tc>
        <w:tc>
          <w:tcPr>
            <w:tcW w:w="823" w:type="pct"/>
            <w:vMerge w:val="continue"/>
            <w:tcBorders>
              <w:top w:val="nil"/>
              <w:left w:val="nil"/>
              <w:bottom w:val="single" w:color="auto" w:sz="4" w:space="0"/>
              <w:right w:val="single" w:color="auto" w:sz="4" w:space="0"/>
            </w:tcBorders>
            <w:vAlign w:val="center"/>
          </w:tcPr>
          <w:p w14:paraId="4DBA0174">
            <w:pPr>
              <w:spacing w:line="280" w:lineRule="exact"/>
              <w:jc w:val="center"/>
              <w:rPr>
                <w:rFonts w:ascii="Times New Roman" w:hAnsi="Times New Roman" w:cs="Times New Roman"/>
                <w:sz w:val="21"/>
                <w:szCs w:val="21"/>
              </w:rPr>
            </w:pPr>
          </w:p>
        </w:tc>
        <w:tc>
          <w:tcPr>
            <w:tcW w:w="910" w:type="pct"/>
            <w:gridSpan w:val="2"/>
            <w:tcBorders>
              <w:top w:val="single" w:color="auto" w:sz="4" w:space="0"/>
              <w:left w:val="nil"/>
              <w:bottom w:val="single" w:color="auto" w:sz="4" w:space="0"/>
              <w:right w:val="single" w:color="auto" w:sz="4" w:space="0"/>
            </w:tcBorders>
            <w:vAlign w:val="center"/>
          </w:tcPr>
          <w:p w14:paraId="72B1DBE2">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监测点位</w:t>
            </w:r>
          </w:p>
        </w:tc>
        <w:tc>
          <w:tcPr>
            <w:tcW w:w="985" w:type="pct"/>
            <w:gridSpan w:val="3"/>
            <w:tcBorders>
              <w:top w:val="single" w:color="auto" w:sz="4" w:space="0"/>
              <w:left w:val="nil"/>
              <w:bottom w:val="single" w:color="auto" w:sz="4" w:space="0"/>
              <w:right w:val="single" w:color="auto" w:sz="4" w:space="0"/>
            </w:tcBorders>
            <w:vAlign w:val="center"/>
          </w:tcPr>
          <w:p w14:paraId="15E89D88">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w:t>
            </w:r>
          </w:p>
        </w:tc>
        <w:tc>
          <w:tcPr>
            <w:tcW w:w="2022" w:type="pct"/>
            <w:gridSpan w:val="7"/>
            <w:tcBorders>
              <w:top w:val="single" w:color="auto" w:sz="4" w:space="0"/>
              <w:left w:val="nil"/>
              <w:bottom w:val="single" w:color="auto" w:sz="4" w:space="0"/>
              <w:right w:val="nil"/>
            </w:tcBorders>
            <w:vAlign w:val="center"/>
          </w:tcPr>
          <w:p w14:paraId="2ED55652">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（尾水池出口）</w:t>
            </w:r>
          </w:p>
        </w:tc>
      </w:tr>
      <w:tr w14:paraId="3E417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2CE0D45D">
            <w:pPr>
              <w:spacing w:line="300" w:lineRule="exact"/>
              <w:jc w:val="center"/>
              <w:rPr>
                <w:rFonts w:ascii="Times New Roman" w:hAnsi="Times New Roman" w:cs="Times New Roman"/>
                <w:sz w:val="21"/>
                <w:szCs w:val="21"/>
              </w:rPr>
            </w:pPr>
          </w:p>
        </w:tc>
        <w:tc>
          <w:tcPr>
            <w:tcW w:w="823" w:type="pct"/>
            <w:vMerge w:val="continue"/>
            <w:tcBorders>
              <w:top w:val="nil"/>
              <w:left w:val="nil"/>
              <w:bottom w:val="single" w:color="auto" w:sz="4" w:space="0"/>
              <w:right w:val="single" w:color="auto" w:sz="4" w:space="0"/>
            </w:tcBorders>
            <w:vAlign w:val="center"/>
          </w:tcPr>
          <w:p w14:paraId="08AAAADF">
            <w:pPr>
              <w:spacing w:line="280" w:lineRule="exact"/>
              <w:jc w:val="center"/>
              <w:rPr>
                <w:rFonts w:ascii="Times New Roman" w:hAnsi="Times New Roman" w:cs="Times New Roman"/>
                <w:sz w:val="21"/>
                <w:szCs w:val="21"/>
              </w:rPr>
            </w:pPr>
          </w:p>
        </w:tc>
        <w:tc>
          <w:tcPr>
            <w:tcW w:w="910" w:type="pct"/>
            <w:gridSpan w:val="2"/>
            <w:tcBorders>
              <w:top w:val="single" w:color="auto" w:sz="4" w:space="0"/>
              <w:left w:val="nil"/>
              <w:bottom w:val="single" w:color="auto" w:sz="4" w:space="0"/>
              <w:right w:val="single" w:color="auto" w:sz="4" w:space="0"/>
            </w:tcBorders>
            <w:vAlign w:val="center"/>
          </w:tcPr>
          <w:p w14:paraId="492B7D60">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监测因子</w:t>
            </w:r>
          </w:p>
        </w:tc>
        <w:tc>
          <w:tcPr>
            <w:tcW w:w="985" w:type="pct"/>
            <w:gridSpan w:val="3"/>
            <w:tcBorders>
              <w:top w:val="single" w:color="auto" w:sz="4" w:space="0"/>
              <w:left w:val="nil"/>
              <w:bottom w:val="single" w:color="auto" w:sz="4" w:space="0"/>
              <w:right w:val="single" w:color="auto" w:sz="4" w:space="0"/>
            </w:tcBorders>
            <w:vAlign w:val="center"/>
          </w:tcPr>
          <w:p w14:paraId="13264B7F">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w:t>
            </w:r>
          </w:p>
        </w:tc>
        <w:tc>
          <w:tcPr>
            <w:tcW w:w="2022" w:type="pct"/>
            <w:gridSpan w:val="7"/>
            <w:tcBorders>
              <w:top w:val="single" w:color="auto" w:sz="4" w:space="0"/>
              <w:left w:val="nil"/>
              <w:bottom w:val="single" w:color="auto" w:sz="4" w:space="0"/>
              <w:right w:val="nil"/>
            </w:tcBorders>
            <w:vAlign w:val="center"/>
          </w:tcPr>
          <w:p w14:paraId="597E9CDB">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eastAsia="宋体" w:cs="Times New Roman"/>
                <w:sz w:val="21"/>
                <w:szCs w:val="21"/>
              </w:rPr>
              <w:t>《农田灌溉水质标准》（GB5084-2021）中"水作标准"中基本控制项目</w:t>
            </w:r>
            <w:r>
              <w:rPr>
                <w:rFonts w:hint="eastAsia" w:ascii="Times New Roman" w:hAnsi="Times New Roman" w:eastAsia="宋体" w:cs="Times New Roman"/>
                <w:sz w:val="21"/>
                <w:szCs w:val="21"/>
              </w:rPr>
              <w:t>（pH、</w:t>
            </w:r>
            <w:r>
              <w:rPr>
                <w:rFonts w:ascii="Times New Roman" w:hAnsi="Times New Roman" w:cs="Times New Roman"/>
                <w:sz w:val="21"/>
                <w:szCs w:val="21"/>
              </w:rPr>
              <w:t>COD</w:t>
            </w:r>
            <w:r>
              <w:rPr>
                <w:rFonts w:hint="eastAsia" w:ascii="Times New Roman" w:hAnsi="Times New Roman" w:cs="Times New Roman"/>
                <w:sz w:val="21"/>
                <w:szCs w:val="21"/>
              </w:rPr>
              <w:t>、</w:t>
            </w:r>
            <w:r>
              <w:rPr>
                <w:rFonts w:ascii="Times New Roman" w:hAnsi="Times New Roman" w:cs="Times New Roman"/>
                <w:sz w:val="21"/>
                <w:szCs w:val="21"/>
              </w:rPr>
              <w:t>BOD</w:t>
            </w:r>
            <w:r>
              <w:rPr>
                <w:rFonts w:ascii="Times New Roman" w:hAnsi="Times New Roman" w:cs="Times New Roman"/>
                <w:sz w:val="21"/>
                <w:szCs w:val="21"/>
                <w:vertAlign w:val="subscript"/>
              </w:rPr>
              <w:t>5</w:t>
            </w:r>
            <w:r>
              <w:rPr>
                <w:rFonts w:hint="eastAsia" w:ascii="Times New Roman" w:hAnsi="Times New Roman" w:cs="Times New Roman"/>
                <w:sz w:val="21"/>
                <w:szCs w:val="21"/>
              </w:rPr>
              <w:t>、</w:t>
            </w:r>
            <w:r>
              <w:rPr>
                <w:rFonts w:ascii="Times New Roman" w:hAnsi="Times New Roman" w:cs="Times New Roman"/>
                <w:sz w:val="21"/>
                <w:szCs w:val="21"/>
              </w:rPr>
              <w:t>SS</w:t>
            </w:r>
            <w:r>
              <w:rPr>
                <w:rFonts w:hint="eastAsia" w:ascii="Times New Roman" w:hAnsi="Times New Roman" w:cs="Times New Roman"/>
                <w:sz w:val="21"/>
                <w:szCs w:val="21"/>
              </w:rPr>
              <w:t>、粪大肠菌群、氯化物、硫化物、全盐量、总铅、总镉、六价铬、总汞、总砷、蛔虫卵数）</w:t>
            </w:r>
          </w:p>
        </w:tc>
      </w:tr>
      <w:tr w14:paraId="12BD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nil"/>
              <w:bottom w:val="single" w:color="auto" w:sz="4" w:space="0"/>
              <w:right w:val="single" w:color="auto" w:sz="4" w:space="0"/>
            </w:tcBorders>
            <w:vAlign w:val="center"/>
          </w:tcPr>
          <w:p w14:paraId="078BA4F6">
            <w:pPr>
              <w:spacing w:line="300" w:lineRule="exact"/>
              <w:jc w:val="center"/>
              <w:rPr>
                <w:rFonts w:ascii="Times New Roman" w:hAnsi="Times New Roman" w:cs="Times New Roman"/>
                <w:sz w:val="21"/>
                <w:szCs w:val="21"/>
              </w:rPr>
            </w:pPr>
          </w:p>
        </w:tc>
        <w:tc>
          <w:tcPr>
            <w:tcW w:w="823" w:type="pct"/>
            <w:tcBorders>
              <w:top w:val="single" w:color="auto" w:sz="4" w:space="0"/>
              <w:left w:val="nil"/>
              <w:bottom w:val="single" w:color="auto" w:sz="4" w:space="0"/>
              <w:right w:val="single" w:color="auto" w:sz="4" w:space="0"/>
            </w:tcBorders>
            <w:vAlign w:val="center"/>
          </w:tcPr>
          <w:p w14:paraId="5BC8ADE1">
            <w:pPr>
              <w:adjustRightInd w:val="0"/>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污染物排放清单</w:t>
            </w:r>
          </w:p>
        </w:tc>
        <w:tc>
          <w:tcPr>
            <w:tcW w:w="3918" w:type="pct"/>
            <w:gridSpan w:val="12"/>
            <w:tcBorders>
              <w:top w:val="single" w:color="auto" w:sz="4" w:space="0"/>
              <w:left w:val="nil"/>
              <w:bottom w:val="single" w:color="auto" w:sz="4" w:space="0"/>
              <w:right w:val="nil"/>
            </w:tcBorders>
            <w:vAlign w:val="center"/>
          </w:tcPr>
          <w:p w14:paraId="3D13E3D1">
            <w:pPr>
              <w:spacing w:line="280" w:lineRule="exact"/>
              <w:jc w:val="center"/>
              <w:rPr>
                <w:rFonts w:ascii="Times New Roman" w:hAnsi="Times New Roman" w:cs="Times New Roman"/>
                <w:sz w:val="21"/>
                <w:szCs w:val="21"/>
              </w:rPr>
            </w:pPr>
            <w:r>
              <w:rPr>
                <w:rFonts w:hint="eastAsia" w:ascii="Times New Roman" w:hAnsi="Times New Roman" w:cs="Times New Roman"/>
                <w:sz w:val="21"/>
                <w:szCs w:val="21"/>
              </w:rPr>
              <w:t>无</w:t>
            </w:r>
          </w:p>
        </w:tc>
      </w:tr>
      <w:tr w14:paraId="40B4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pct"/>
            <w:gridSpan w:val="2"/>
            <w:tcBorders>
              <w:top w:val="single" w:color="auto" w:sz="4" w:space="0"/>
              <w:left w:val="nil"/>
              <w:bottom w:val="single" w:color="auto" w:sz="4" w:space="0"/>
              <w:right w:val="single" w:color="auto" w:sz="4" w:space="0"/>
            </w:tcBorders>
            <w:vAlign w:val="center"/>
          </w:tcPr>
          <w:p w14:paraId="79D7A119">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评价结论</w:t>
            </w:r>
          </w:p>
        </w:tc>
        <w:tc>
          <w:tcPr>
            <w:tcW w:w="3918" w:type="pct"/>
            <w:gridSpan w:val="12"/>
            <w:tcBorders>
              <w:top w:val="single" w:color="auto" w:sz="4" w:space="0"/>
              <w:left w:val="nil"/>
              <w:bottom w:val="single" w:color="auto" w:sz="4" w:space="0"/>
              <w:right w:val="nil"/>
            </w:tcBorders>
            <w:vAlign w:val="center"/>
          </w:tcPr>
          <w:p w14:paraId="719B10DF">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可以接受☑；不可以接受</w:t>
            </w:r>
            <w:r>
              <w:rPr>
                <w:rFonts w:ascii="Times New Roman" w:hAnsi="Times New Roman" w:cs="Times New Roman"/>
                <w:sz w:val="21"/>
                <w:szCs w:val="21"/>
              </w:rPr>
              <w:t>□</w:t>
            </w:r>
          </w:p>
        </w:tc>
      </w:tr>
      <w:tr w14:paraId="26A6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4"/>
            <w:tcBorders>
              <w:top w:val="single" w:color="auto" w:sz="4" w:space="0"/>
              <w:left w:val="nil"/>
              <w:bottom w:val="single" w:color="auto" w:sz="12" w:space="0"/>
              <w:right w:val="nil"/>
            </w:tcBorders>
            <w:vAlign w:val="center"/>
          </w:tcPr>
          <w:p w14:paraId="529F8AEA">
            <w:pPr>
              <w:adjustRightIn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注：</w:t>
            </w:r>
            <w:r>
              <w:rPr>
                <w:rFonts w:ascii="Times New Roman" w:hAnsi="Times New Roman" w:cs="Times New Roman"/>
                <w:sz w:val="21"/>
                <w:szCs w:val="21"/>
              </w:rPr>
              <w:t>“□”</w:t>
            </w:r>
            <w:r>
              <w:rPr>
                <w:rFonts w:hint="eastAsia" w:ascii="Times New Roman" w:hAnsi="Times New Roman" w:cs="Times New Roman"/>
                <w:sz w:val="21"/>
                <w:szCs w:val="21"/>
              </w:rPr>
              <w:t>为勾选项，可</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    )”</w:t>
            </w:r>
            <w:r>
              <w:rPr>
                <w:rFonts w:hint="eastAsia" w:ascii="Times New Roman" w:hAnsi="Times New Roman" w:cs="Times New Roman"/>
                <w:sz w:val="21"/>
                <w:szCs w:val="21"/>
              </w:rPr>
              <w:t>为内容填写项；</w:t>
            </w:r>
            <w:r>
              <w:rPr>
                <w:rFonts w:ascii="Times New Roman" w:hAnsi="Times New Roman" w:cs="Times New Roman"/>
                <w:sz w:val="21"/>
                <w:szCs w:val="21"/>
              </w:rPr>
              <w:t>“</w:t>
            </w:r>
            <w:r>
              <w:rPr>
                <w:rFonts w:hint="eastAsia" w:ascii="Times New Roman" w:hAnsi="Times New Roman" w:cs="Times New Roman"/>
                <w:sz w:val="21"/>
                <w:szCs w:val="21"/>
              </w:rPr>
              <w:t>备注</w:t>
            </w:r>
            <w:r>
              <w:rPr>
                <w:rFonts w:ascii="Times New Roman" w:hAnsi="Times New Roman" w:cs="Times New Roman"/>
                <w:sz w:val="21"/>
                <w:szCs w:val="21"/>
              </w:rPr>
              <w:t>”</w:t>
            </w:r>
            <w:r>
              <w:rPr>
                <w:rFonts w:hint="eastAsia" w:ascii="Times New Roman" w:hAnsi="Times New Roman" w:cs="Times New Roman"/>
                <w:sz w:val="21"/>
                <w:szCs w:val="21"/>
              </w:rPr>
              <w:t>为其他补充内容</w:t>
            </w:r>
          </w:p>
        </w:tc>
      </w:tr>
    </w:tbl>
    <w:p w14:paraId="7EFF3D07">
      <w:pPr>
        <w:pStyle w:val="4"/>
        <w:spacing w:after="0" w:line="480" w:lineRule="exact"/>
        <w:jc w:val="both"/>
      </w:pPr>
      <w:bookmarkStart w:id="115" w:name="_Toc4658"/>
      <w:r>
        <w:rPr>
          <w:rFonts w:hint="eastAsia"/>
        </w:rPr>
        <w:t>5</w:t>
      </w:r>
      <w:r>
        <w:t>.</w:t>
      </w:r>
      <w:r>
        <w:rPr>
          <w:rFonts w:hint="eastAsia"/>
        </w:rPr>
        <w:t>4</w:t>
      </w:r>
      <w:r>
        <w:t xml:space="preserve"> </w:t>
      </w:r>
      <w:r>
        <w:rPr>
          <w:rFonts w:hint="eastAsia"/>
        </w:rPr>
        <w:t>声环境影响评价</w:t>
      </w:r>
      <w:bookmarkEnd w:id="115"/>
    </w:p>
    <w:p w14:paraId="342CDEDF">
      <w:pPr>
        <w:pStyle w:val="7"/>
        <w:spacing w:line="480" w:lineRule="exact"/>
      </w:pPr>
      <w:r>
        <w:rPr>
          <w:rFonts w:hint="eastAsia"/>
        </w:rPr>
        <w:t>5</w:t>
      </w:r>
      <w:r>
        <w:t>.</w:t>
      </w:r>
      <w:r>
        <w:rPr>
          <w:rFonts w:hint="eastAsia"/>
        </w:rPr>
        <w:t>4</w:t>
      </w:r>
      <w:r>
        <w:t xml:space="preserve">.1 </w:t>
      </w:r>
      <w:r>
        <w:rPr>
          <w:rFonts w:hint="eastAsia"/>
        </w:rPr>
        <w:t>评价目的及评价范围</w:t>
      </w:r>
    </w:p>
    <w:p w14:paraId="4DD501B7">
      <w:pPr>
        <w:spacing w:line="480" w:lineRule="exact"/>
        <w:ind w:firstLine="482"/>
        <w:rPr>
          <w:rFonts w:ascii="Times New Roman"/>
          <w:color w:val="000000"/>
          <w:szCs w:val="24"/>
        </w:rPr>
      </w:pPr>
      <w:r>
        <w:rPr>
          <w:rFonts w:ascii="Times New Roman"/>
          <w:color w:val="000000"/>
          <w:szCs w:val="24"/>
        </w:rPr>
        <w:t>（1）评价目的</w:t>
      </w:r>
    </w:p>
    <w:p w14:paraId="6E7F91F7">
      <w:pPr>
        <w:spacing w:line="480" w:lineRule="exact"/>
        <w:ind w:firstLine="482"/>
        <w:rPr>
          <w:rFonts w:ascii="Times New Roman"/>
          <w:color w:val="000000"/>
          <w:szCs w:val="24"/>
        </w:rPr>
      </w:pPr>
      <w:r>
        <w:rPr>
          <w:rFonts w:ascii="Times New Roman"/>
          <w:color w:val="000000"/>
          <w:szCs w:val="24"/>
        </w:rPr>
        <w:t>通过对项目营运期间各个噪声源对环境影响的预测，评价项目声源对周围声环境影响的程度和范围，找出存在问题，为提出污染防治措施提供依据。</w:t>
      </w:r>
    </w:p>
    <w:p w14:paraId="2122B22D">
      <w:pPr>
        <w:spacing w:line="480" w:lineRule="exact"/>
        <w:ind w:firstLine="482"/>
        <w:rPr>
          <w:rFonts w:ascii="Times New Roman"/>
          <w:color w:val="000000"/>
          <w:szCs w:val="24"/>
        </w:rPr>
      </w:pPr>
      <w:r>
        <w:rPr>
          <w:rFonts w:ascii="Times New Roman"/>
          <w:color w:val="000000"/>
          <w:szCs w:val="24"/>
        </w:rPr>
        <w:t>（2）评价范围</w:t>
      </w:r>
    </w:p>
    <w:p w14:paraId="6803994B">
      <w:pPr>
        <w:spacing w:line="480" w:lineRule="exact"/>
        <w:ind w:firstLine="482"/>
        <w:rPr>
          <w:rFonts w:ascii="Times New Roman"/>
          <w:color w:val="000000"/>
          <w:szCs w:val="24"/>
        </w:rPr>
      </w:pPr>
      <w:r>
        <w:rPr>
          <w:rFonts w:ascii="Times New Roman"/>
          <w:color w:val="000000"/>
          <w:szCs w:val="24"/>
        </w:rPr>
        <w:t>项目的声评价范围为厂界外200米范围。</w:t>
      </w:r>
    </w:p>
    <w:p w14:paraId="7829EE52">
      <w:pPr>
        <w:pStyle w:val="7"/>
        <w:spacing w:line="480" w:lineRule="exact"/>
      </w:pPr>
      <w:r>
        <w:rPr>
          <w:rFonts w:hint="eastAsia"/>
        </w:rPr>
        <w:t>5</w:t>
      </w:r>
      <w:r>
        <w:t>.</w:t>
      </w:r>
      <w:r>
        <w:rPr>
          <w:rFonts w:hint="eastAsia"/>
        </w:rPr>
        <w:t>4</w:t>
      </w:r>
      <w:r>
        <w:t>.</w:t>
      </w:r>
      <w:r>
        <w:rPr>
          <w:rFonts w:hint="eastAsia"/>
        </w:rPr>
        <w:t>2</w:t>
      </w:r>
      <w:r>
        <w:t xml:space="preserve"> </w:t>
      </w:r>
      <w:r>
        <w:rPr>
          <w:rFonts w:hint="eastAsia"/>
        </w:rPr>
        <w:t>项目噪声源强</w:t>
      </w:r>
    </w:p>
    <w:p w14:paraId="189B53AA">
      <w:pPr>
        <w:spacing w:line="480" w:lineRule="exact"/>
        <w:ind w:firstLine="482"/>
        <w:rPr>
          <w:rFonts w:ascii="Times New Roman"/>
          <w:color w:val="000000"/>
          <w:szCs w:val="24"/>
        </w:rPr>
      </w:pPr>
      <w:r>
        <w:rPr>
          <w:rFonts w:ascii="Times New Roman"/>
          <w:color w:val="000000"/>
          <w:szCs w:val="24"/>
        </w:rPr>
        <w:t>调查工程项目声源种类与数量、各声源的空间位置、声源的作用时间等，用类比测量法确定声源声压级。项目的噪声源情况主要来源于</w:t>
      </w:r>
      <w:r>
        <w:rPr>
          <w:rFonts w:hint="eastAsia" w:ascii="Times New Roman"/>
          <w:color w:val="000000"/>
          <w:szCs w:val="24"/>
          <w:lang w:val="en-US" w:eastAsia="zh-CN"/>
        </w:rPr>
        <w:t>电热水锅炉</w:t>
      </w:r>
      <w:r>
        <w:rPr>
          <w:rFonts w:hint="eastAsia"/>
        </w:rPr>
        <w:t>、水泵、各类风机等设备运转产生的噪声及鸡叫声</w:t>
      </w:r>
      <w:r>
        <w:rPr>
          <w:rFonts w:ascii="Times New Roman"/>
          <w:color w:val="000000"/>
          <w:szCs w:val="24"/>
        </w:rPr>
        <w:t>，各设备的噪声值及设备距离见表5.</w:t>
      </w:r>
      <w:r>
        <w:rPr>
          <w:rFonts w:hint="eastAsia" w:ascii="Times New Roman"/>
          <w:color w:val="000000"/>
          <w:szCs w:val="24"/>
        </w:rPr>
        <w:t>4</w:t>
      </w:r>
      <w:r>
        <w:rPr>
          <w:rFonts w:ascii="Times New Roman"/>
          <w:color w:val="000000"/>
          <w:szCs w:val="24"/>
        </w:rPr>
        <w:t>-1与表5.</w:t>
      </w:r>
      <w:r>
        <w:rPr>
          <w:rFonts w:hint="eastAsia" w:ascii="Times New Roman"/>
          <w:color w:val="000000"/>
          <w:szCs w:val="24"/>
        </w:rPr>
        <w:t>4</w:t>
      </w:r>
      <w:r>
        <w:rPr>
          <w:rFonts w:ascii="Times New Roman"/>
          <w:color w:val="000000"/>
          <w:szCs w:val="24"/>
        </w:rPr>
        <w:t>-2。</w:t>
      </w:r>
    </w:p>
    <w:p w14:paraId="26B7BA96">
      <w:pPr>
        <w:widowControl/>
        <w:ind w:firstLine="480" w:firstLineChars="200"/>
        <w:sectPr>
          <w:pgSz w:w="11906" w:h="16838"/>
          <w:pgMar w:top="1440" w:right="1701" w:bottom="1440" w:left="1701" w:header="1021" w:footer="1134" w:gutter="0"/>
          <w:pgNumType w:fmt="decimal"/>
          <w:cols w:space="425" w:num="1"/>
          <w:docGrid w:type="lines" w:linePitch="326" w:charSpace="0"/>
        </w:sectPr>
      </w:pPr>
    </w:p>
    <w:p w14:paraId="0EDE8988">
      <w:pPr>
        <w:pStyle w:val="31"/>
        <w:spacing w:before="0"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项目主要噪声源强</w:t>
      </w:r>
      <w:r>
        <w:rPr>
          <w:color w:val="000000" w:themeColor="text1"/>
          <w14:textFill>
            <w14:solidFill>
              <w14:schemeClr w14:val="tx1"/>
            </w14:solidFill>
          </w14:textFill>
        </w:rPr>
        <w:t>调查清单</w:t>
      </w:r>
      <w:r>
        <w:rPr>
          <w:rFonts w:hint="eastAsia"/>
          <w:color w:val="000000" w:themeColor="text1"/>
          <w14:textFill>
            <w14:solidFill>
              <w14:schemeClr w14:val="tx1"/>
            </w14:solidFill>
          </w14:textFill>
        </w:rPr>
        <w:t>（室内</w:t>
      </w:r>
      <w:r>
        <w:rPr>
          <w:color w:val="000000" w:themeColor="text1"/>
          <w14:textFill>
            <w14:solidFill>
              <w14:schemeClr w14:val="tx1"/>
            </w14:solidFill>
          </w14:textFill>
        </w:rPr>
        <w:t>声源</w:t>
      </w:r>
      <w:r>
        <w:rPr>
          <w:rFonts w:hint="eastAsia"/>
          <w:color w:val="000000" w:themeColor="text1"/>
          <w14:textFill>
            <w14:solidFill>
              <w14:schemeClr w14:val="tx1"/>
            </w14:solidFill>
          </w14:textFill>
        </w:rPr>
        <w:t>）</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46"/>
        <w:gridCol w:w="830"/>
        <w:gridCol w:w="1276"/>
        <w:gridCol w:w="1417"/>
        <w:gridCol w:w="851"/>
        <w:gridCol w:w="1701"/>
        <w:gridCol w:w="850"/>
        <w:gridCol w:w="851"/>
        <w:gridCol w:w="850"/>
        <w:gridCol w:w="851"/>
        <w:gridCol w:w="850"/>
        <w:gridCol w:w="851"/>
        <w:gridCol w:w="850"/>
        <w:gridCol w:w="851"/>
        <w:gridCol w:w="633"/>
      </w:tblGrid>
      <w:tr w14:paraId="312BDB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46" w:type="dxa"/>
            <w:vMerge w:val="restart"/>
            <w:vAlign w:val="center"/>
          </w:tcPr>
          <w:p w14:paraId="75A66541">
            <w:pPr>
              <w:pStyle w:val="61"/>
            </w:pPr>
            <w:r>
              <w:rPr>
                <w:rFonts w:hint="eastAsia"/>
              </w:rPr>
              <w:t>序号</w:t>
            </w:r>
          </w:p>
        </w:tc>
        <w:tc>
          <w:tcPr>
            <w:tcW w:w="830" w:type="dxa"/>
            <w:vMerge w:val="restart"/>
            <w:vAlign w:val="center"/>
          </w:tcPr>
          <w:p w14:paraId="75CF9387">
            <w:pPr>
              <w:pStyle w:val="61"/>
            </w:pPr>
            <w:r>
              <w:rPr>
                <w:rFonts w:hint="eastAsia"/>
              </w:rPr>
              <w:t>建筑</w:t>
            </w:r>
            <w:r>
              <w:t>物名称</w:t>
            </w:r>
          </w:p>
        </w:tc>
        <w:tc>
          <w:tcPr>
            <w:tcW w:w="1276" w:type="dxa"/>
            <w:vMerge w:val="restart"/>
            <w:vAlign w:val="center"/>
          </w:tcPr>
          <w:p w14:paraId="51560BCA">
            <w:pPr>
              <w:pStyle w:val="61"/>
            </w:pPr>
            <w:r>
              <w:rPr>
                <w:rFonts w:hint="eastAsia"/>
              </w:rPr>
              <w:t>声源名称</w:t>
            </w:r>
          </w:p>
        </w:tc>
        <w:tc>
          <w:tcPr>
            <w:tcW w:w="1417" w:type="dxa"/>
            <w:vMerge w:val="restart"/>
            <w:vAlign w:val="center"/>
          </w:tcPr>
          <w:p w14:paraId="38DD2C2D">
            <w:pPr>
              <w:pStyle w:val="61"/>
            </w:pPr>
            <w:r>
              <w:rPr>
                <w:rFonts w:hint="eastAsia"/>
              </w:rPr>
              <w:t>型号</w:t>
            </w:r>
          </w:p>
        </w:tc>
        <w:tc>
          <w:tcPr>
            <w:tcW w:w="851" w:type="dxa"/>
            <w:vMerge w:val="restart"/>
            <w:vAlign w:val="center"/>
          </w:tcPr>
          <w:p w14:paraId="6967E827">
            <w:pPr>
              <w:pStyle w:val="61"/>
            </w:pPr>
            <w:r>
              <w:rPr>
                <w:rFonts w:hint="eastAsia"/>
              </w:rPr>
              <w:t>声源强度</w:t>
            </w:r>
          </w:p>
          <w:p w14:paraId="09F61FA1">
            <w:pPr>
              <w:pStyle w:val="61"/>
            </w:pPr>
            <w:r>
              <w:rPr>
                <w:rFonts w:hint="eastAsia"/>
              </w:rPr>
              <w:t>d</w:t>
            </w:r>
            <w:r>
              <w:t>B(A)</w:t>
            </w:r>
          </w:p>
        </w:tc>
        <w:tc>
          <w:tcPr>
            <w:tcW w:w="1701" w:type="dxa"/>
            <w:vMerge w:val="restart"/>
            <w:vAlign w:val="center"/>
          </w:tcPr>
          <w:p w14:paraId="4F651698">
            <w:pPr>
              <w:pStyle w:val="61"/>
            </w:pPr>
            <w:r>
              <w:rPr>
                <w:rFonts w:hint="eastAsia"/>
              </w:rPr>
              <w:t>声源控制</w:t>
            </w:r>
            <w:r>
              <w:t>措施</w:t>
            </w:r>
          </w:p>
        </w:tc>
        <w:tc>
          <w:tcPr>
            <w:tcW w:w="2551" w:type="dxa"/>
            <w:gridSpan w:val="3"/>
            <w:vAlign w:val="center"/>
          </w:tcPr>
          <w:p w14:paraId="6D7A6145">
            <w:pPr>
              <w:pStyle w:val="61"/>
            </w:pPr>
            <w:r>
              <w:rPr>
                <w:rFonts w:hint="eastAsia"/>
              </w:rPr>
              <w:t>空间相对</w:t>
            </w:r>
            <w:r>
              <w:t>位置</w:t>
            </w:r>
            <w:r>
              <w:rPr>
                <w:rFonts w:hint="eastAsia"/>
              </w:rPr>
              <w:t>/</w:t>
            </w:r>
            <w:r>
              <w:t>m</w:t>
            </w:r>
          </w:p>
        </w:tc>
        <w:tc>
          <w:tcPr>
            <w:tcW w:w="851" w:type="dxa"/>
            <w:vMerge w:val="restart"/>
            <w:vAlign w:val="center"/>
          </w:tcPr>
          <w:p w14:paraId="47FA0329">
            <w:pPr>
              <w:pStyle w:val="61"/>
            </w:pPr>
            <w:r>
              <w:rPr>
                <w:rFonts w:hint="eastAsia"/>
              </w:rPr>
              <w:t>距室内</w:t>
            </w:r>
            <w:r>
              <w:t>边界</w:t>
            </w:r>
            <w:r>
              <w:rPr>
                <w:rFonts w:hint="eastAsia"/>
              </w:rPr>
              <w:t>距离/m</w:t>
            </w:r>
          </w:p>
        </w:tc>
        <w:tc>
          <w:tcPr>
            <w:tcW w:w="850" w:type="dxa"/>
            <w:vMerge w:val="restart"/>
            <w:vAlign w:val="center"/>
          </w:tcPr>
          <w:p w14:paraId="7B11A5EC">
            <w:pPr>
              <w:pStyle w:val="61"/>
            </w:pPr>
            <w:r>
              <w:rPr>
                <w:rFonts w:hint="eastAsia"/>
              </w:rPr>
              <w:t>室内</w:t>
            </w:r>
            <w:r>
              <w:t>边界声级</w:t>
            </w:r>
            <w:r>
              <w:rPr>
                <w:rFonts w:hint="eastAsia"/>
              </w:rPr>
              <w:t>/ d</w:t>
            </w:r>
            <w:r>
              <w:t>B(A)</w:t>
            </w:r>
          </w:p>
        </w:tc>
        <w:tc>
          <w:tcPr>
            <w:tcW w:w="851" w:type="dxa"/>
            <w:vMerge w:val="restart"/>
            <w:vAlign w:val="center"/>
          </w:tcPr>
          <w:p w14:paraId="4F5ED5D9">
            <w:pPr>
              <w:pStyle w:val="61"/>
            </w:pPr>
            <w:r>
              <w:rPr>
                <w:rFonts w:hint="eastAsia"/>
              </w:rPr>
              <w:t>运行</w:t>
            </w:r>
            <w:r>
              <w:t>时段</w:t>
            </w:r>
          </w:p>
        </w:tc>
        <w:tc>
          <w:tcPr>
            <w:tcW w:w="850" w:type="dxa"/>
            <w:vMerge w:val="restart"/>
            <w:vAlign w:val="center"/>
          </w:tcPr>
          <w:p w14:paraId="5BBAF1AF">
            <w:pPr>
              <w:pStyle w:val="61"/>
            </w:pPr>
            <w:r>
              <w:rPr>
                <w:rFonts w:hint="eastAsia"/>
              </w:rPr>
              <w:t>建筑物</w:t>
            </w:r>
            <w:r>
              <w:t>插入损失</w:t>
            </w:r>
            <w:r>
              <w:rPr>
                <w:rFonts w:hint="eastAsia"/>
              </w:rPr>
              <w:t>/ d</w:t>
            </w:r>
            <w:r>
              <w:t>B(A)</w:t>
            </w:r>
          </w:p>
        </w:tc>
        <w:tc>
          <w:tcPr>
            <w:tcW w:w="1484" w:type="dxa"/>
            <w:gridSpan w:val="2"/>
            <w:vAlign w:val="center"/>
          </w:tcPr>
          <w:p w14:paraId="5747D1A4">
            <w:pPr>
              <w:pStyle w:val="61"/>
            </w:pPr>
            <w:r>
              <w:rPr>
                <w:rFonts w:hint="eastAsia"/>
              </w:rPr>
              <w:t>建筑物</w:t>
            </w:r>
            <w:r>
              <w:t>外噪</w:t>
            </w:r>
            <w:r>
              <w:rPr>
                <w:rFonts w:hint="eastAsia"/>
              </w:rPr>
              <w:t>声</w:t>
            </w:r>
          </w:p>
        </w:tc>
      </w:tr>
      <w:tr w14:paraId="6066A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46" w:type="dxa"/>
            <w:vMerge w:val="continue"/>
            <w:vAlign w:val="center"/>
          </w:tcPr>
          <w:p w14:paraId="6288E3C0">
            <w:pPr>
              <w:pStyle w:val="61"/>
            </w:pPr>
          </w:p>
        </w:tc>
        <w:tc>
          <w:tcPr>
            <w:tcW w:w="830" w:type="dxa"/>
            <w:vMerge w:val="continue"/>
            <w:vAlign w:val="center"/>
          </w:tcPr>
          <w:p w14:paraId="5D37E9FF">
            <w:pPr>
              <w:pStyle w:val="61"/>
            </w:pPr>
          </w:p>
        </w:tc>
        <w:tc>
          <w:tcPr>
            <w:tcW w:w="1276" w:type="dxa"/>
            <w:vMerge w:val="continue"/>
            <w:vAlign w:val="center"/>
          </w:tcPr>
          <w:p w14:paraId="05566A44">
            <w:pPr>
              <w:pStyle w:val="61"/>
            </w:pPr>
          </w:p>
        </w:tc>
        <w:tc>
          <w:tcPr>
            <w:tcW w:w="1417" w:type="dxa"/>
            <w:vMerge w:val="continue"/>
            <w:vAlign w:val="center"/>
          </w:tcPr>
          <w:p w14:paraId="32CE89E0">
            <w:pPr>
              <w:pStyle w:val="61"/>
            </w:pPr>
          </w:p>
        </w:tc>
        <w:tc>
          <w:tcPr>
            <w:tcW w:w="851" w:type="dxa"/>
            <w:vMerge w:val="continue"/>
            <w:vAlign w:val="center"/>
          </w:tcPr>
          <w:p w14:paraId="108E8CB1">
            <w:pPr>
              <w:pStyle w:val="61"/>
            </w:pPr>
          </w:p>
        </w:tc>
        <w:tc>
          <w:tcPr>
            <w:tcW w:w="1701" w:type="dxa"/>
            <w:vMerge w:val="continue"/>
            <w:vAlign w:val="center"/>
          </w:tcPr>
          <w:p w14:paraId="60B923D5">
            <w:pPr>
              <w:pStyle w:val="61"/>
            </w:pPr>
          </w:p>
        </w:tc>
        <w:tc>
          <w:tcPr>
            <w:tcW w:w="850" w:type="dxa"/>
            <w:vAlign w:val="center"/>
          </w:tcPr>
          <w:p w14:paraId="4E69B98C">
            <w:pPr>
              <w:pStyle w:val="61"/>
            </w:pPr>
            <w:r>
              <w:rPr>
                <w:rFonts w:hint="eastAsia"/>
              </w:rPr>
              <w:t>X</w:t>
            </w:r>
          </w:p>
        </w:tc>
        <w:tc>
          <w:tcPr>
            <w:tcW w:w="851" w:type="dxa"/>
            <w:vAlign w:val="center"/>
          </w:tcPr>
          <w:p w14:paraId="6D9F102F">
            <w:pPr>
              <w:pStyle w:val="61"/>
            </w:pPr>
            <w:r>
              <w:rPr>
                <w:rFonts w:hint="eastAsia"/>
              </w:rPr>
              <w:t>Y</w:t>
            </w:r>
          </w:p>
        </w:tc>
        <w:tc>
          <w:tcPr>
            <w:tcW w:w="850" w:type="dxa"/>
            <w:vAlign w:val="center"/>
          </w:tcPr>
          <w:p w14:paraId="004C6B39">
            <w:pPr>
              <w:pStyle w:val="61"/>
            </w:pPr>
            <w:r>
              <w:rPr>
                <w:rFonts w:hint="eastAsia"/>
              </w:rPr>
              <w:t>Z</w:t>
            </w:r>
          </w:p>
        </w:tc>
        <w:tc>
          <w:tcPr>
            <w:tcW w:w="851" w:type="dxa"/>
            <w:vMerge w:val="continue"/>
            <w:vAlign w:val="center"/>
          </w:tcPr>
          <w:p w14:paraId="2131280C">
            <w:pPr>
              <w:pStyle w:val="61"/>
            </w:pPr>
          </w:p>
        </w:tc>
        <w:tc>
          <w:tcPr>
            <w:tcW w:w="850" w:type="dxa"/>
            <w:vMerge w:val="continue"/>
            <w:vAlign w:val="center"/>
          </w:tcPr>
          <w:p w14:paraId="54EF3247">
            <w:pPr>
              <w:pStyle w:val="61"/>
            </w:pPr>
          </w:p>
        </w:tc>
        <w:tc>
          <w:tcPr>
            <w:tcW w:w="851" w:type="dxa"/>
            <w:vMerge w:val="continue"/>
            <w:vAlign w:val="center"/>
          </w:tcPr>
          <w:p w14:paraId="3B5CAE5F">
            <w:pPr>
              <w:pStyle w:val="61"/>
            </w:pPr>
          </w:p>
        </w:tc>
        <w:tc>
          <w:tcPr>
            <w:tcW w:w="850" w:type="dxa"/>
            <w:vMerge w:val="continue"/>
            <w:vAlign w:val="center"/>
          </w:tcPr>
          <w:p w14:paraId="6C1A6A29">
            <w:pPr>
              <w:pStyle w:val="61"/>
            </w:pPr>
          </w:p>
        </w:tc>
        <w:tc>
          <w:tcPr>
            <w:tcW w:w="851" w:type="dxa"/>
            <w:vAlign w:val="center"/>
          </w:tcPr>
          <w:p w14:paraId="6B1A5892">
            <w:pPr>
              <w:pStyle w:val="61"/>
            </w:pPr>
            <w:r>
              <w:rPr>
                <w:rFonts w:hint="eastAsia"/>
              </w:rPr>
              <w:t>声压级/ d</w:t>
            </w:r>
            <w:r>
              <w:t>B(A)</w:t>
            </w:r>
          </w:p>
        </w:tc>
        <w:tc>
          <w:tcPr>
            <w:tcW w:w="633" w:type="dxa"/>
            <w:vAlign w:val="center"/>
          </w:tcPr>
          <w:p w14:paraId="0A0B4838">
            <w:pPr>
              <w:pStyle w:val="61"/>
            </w:pPr>
            <w:r>
              <w:rPr>
                <w:rFonts w:hint="eastAsia"/>
              </w:rPr>
              <w:t>建筑物</w:t>
            </w:r>
            <w:r>
              <w:t>外距离</w:t>
            </w:r>
            <w:r>
              <w:rPr>
                <w:rFonts w:hint="eastAsia"/>
              </w:rPr>
              <w:t>/m</w:t>
            </w:r>
          </w:p>
        </w:tc>
      </w:tr>
      <w:tr w14:paraId="1B203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46" w:type="dxa"/>
            <w:vAlign w:val="center"/>
          </w:tcPr>
          <w:p w14:paraId="6C9A3A89">
            <w:pPr>
              <w:pStyle w:val="61"/>
            </w:pPr>
            <w:r>
              <w:rPr>
                <w:rFonts w:hint="eastAsia"/>
              </w:rPr>
              <w:t>1</w:t>
            </w:r>
          </w:p>
        </w:tc>
        <w:tc>
          <w:tcPr>
            <w:tcW w:w="830" w:type="dxa"/>
            <w:vAlign w:val="center"/>
          </w:tcPr>
          <w:p w14:paraId="2E68F419">
            <w:pPr>
              <w:pStyle w:val="61"/>
            </w:pPr>
            <w:r>
              <w:rPr>
                <w:rFonts w:hint="eastAsia"/>
              </w:rPr>
              <w:t>1</w:t>
            </w:r>
            <w:r>
              <w:t>#</w:t>
            </w:r>
            <w:r>
              <w:rPr>
                <w:rFonts w:hint="eastAsia"/>
              </w:rPr>
              <w:t>鸡舍</w:t>
            </w:r>
          </w:p>
        </w:tc>
        <w:tc>
          <w:tcPr>
            <w:tcW w:w="1276" w:type="dxa"/>
            <w:vAlign w:val="center"/>
          </w:tcPr>
          <w:p w14:paraId="7E6512F8">
            <w:pPr>
              <w:pStyle w:val="61"/>
            </w:pPr>
            <w:r>
              <w:rPr>
                <w:rFonts w:hint="eastAsia"/>
              </w:rPr>
              <w:t>鸡叫声</w:t>
            </w:r>
          </w:p>
        </w:tc>
        <w:tc>
          <w:tcPr>
            <w:tcW w:w="1417" w:type="dxa"/>
            <w:vAlign w:val="center"/>
          </w:tcPr>
          <w:p w14:paraId="5C94EFB4">
            <w:pPr>
              <w:pStyle w:val="61"/>
            </w:pPr>
            <w:r>
              <w:rPr>
                <w:rFonts w:hint="eastAsia"/>
              </w:rPr>
              <w:t>/</w:t>
            </w:r>
          </w:p>
        </w:tc>
        <w:tc>
          <w:tcPr>
            <w:tcW w:w="851" w:type="dxa"/>
            <w:vAlign w:val="center"/>
          </w:tcPr>
          <w:p w14:paraId="1E744385">
            <w:pPr>
              <w:pStyle w:val="61"/>
            </w:pPr>
            <w:r>
              <w:rPr>
                <w:rFonts w:hint="eastAsia"/>
                <w:color w:val="000000" w:themeColor="text1"/>
                <w:szCs w:val="21"/>
                <w14:textFill>
                  <w14:solidFill>
                    <w14:schemeClr w14:val="tx1"/>
                  </w14:solidFill>
                </w14:textFill>
              </w:rPr>
              <w:t>70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80</w:t>
            </w:r>
          </w:p>
        </w:tc>
        <w:tc>
          <w:tcPr>
            <w:tcW w:w="1701" w:type="dxa"/>
            <w:vMerge w:val="restart"/>
            <w:vAlign w:val="center"/>
          </w:tcPr>
          <w:p w14:paraId="0A3E5088">
            <w:pPr>
              <w:pStyle w:val="61"/>
            </w:pPr>
            <w:r>
              <w:rPr>
                <w:rFonts w:hint="eastAsia" w:ascii="宋体" w:hAnsi="宋体" w:cs="宋体"/>
                <w:color w:val="000000"/>
                <w:szCs w:val="21"/>
                <w:lang w:bidi="ar"/>
              </w:rPr>
              <w:t>喂足饲料和水，避免饥渴及突发性噪声，</w:t>
            </w:r>
            <w:r>
              <w:rPr>
                <w:bCs/>
                <w:color w:val="000000" w:themeColor="text1"/>
                <w:szCs w:val="21"/>
                <w14:textFill>
                  <w14:solidFill>
                    <w14:schemeClr w14:val="tx1"/>
                  </w14:solidFill>
                </w14:textFill>
              </w:rPr>
              <w:t>合理布局、厂房隔声、距离衰减、绿化吸声</w:t>
            </w:r>
            <w:r>
              <w:rPr>
                <w:rFonts w:hint="eastAsia"/>
              </w:rPr>
              <w:t>等</w:t>
            </w:r>
          </w:p>
        </w:tc>
        <w:tc>
          <w:tcPr>
            <w:tcW w:w="850" w:type="dxa"/>
            <w:vAlign w:val="center"/>
          </w:tcPr>
          <w:p w14:paraId="095403CC">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851" w:type="dxa"/>
            <w:vAlign w:val="center"/>
          </w:tcPr>
          <w:p w14:paraId="032B974A">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850" w:type="dxa"/>
            <w:vAlign w:val="center"/>
          </w:tcPr>
          <w:p w14:paraId="72246C72">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51" w:type="dxa"/>
            <w:vAlign w:val="center"/>
          </w:tcPr>
          <w:p w14:paraId="405796B8">
            <w:pPr>
              <w:pStyle w:val="61"/>
            </w:pPr>
            <w:r>
              <w:rPr>
                <w:rFonts w:hint="eastAsia"/>
              </w:rPr>
              <w:t>3</w:t>
            </w:r>
          </w:p>
        </w:tc>
        <w:tc>
          <w:tcPr>
            <w:tcW w:w="850" w:type="dxa"/>
            <w:vAlign w:val="center"/>
          </w:tcPr>
          <w:p w14:paraId="096B2F62">
            <w:pPr>
              <w:pStyle w:val="61"/>
            </w:pPr>
            <w:r>
              <w:t>66.9</w:t>
            </w:r>
            <w:r>
              <w:rPr>
                <w:rFonts w:hint="eastAsia"/>
              </w:rPr>
              <w:t>2</w:t>
            </w:r>
          </w:p>
        </w:tc>
        <w:tc>
          <w:tcPr>
            <w:tcW w:w="851" w:type="dxa"/>
            <w:vAlign w:val="center"/>
          </w:tcPr>
          <w:p w14:paraId="49166A22">
            <w:pPr>
              <w:pStyle w:val="61"/>
            </w:pPr>
            <w:r>
              <w:rPr>
                <w:rFonts w:hint="eastAsia"/>
              </w:rPr>
              <w:t>全天</w:t>
            </w:r>
          </w:p>
        </w:tc>
        <w:tc>
          <w:tcPr>
            <w:tcW w:w="850" w:type="dxa"/>
            <w:vAlign w:val="center"/>
          </w:tcPr>
          <w:p w14:paraId="45C08507">
            <w:pPr>
              <w:pStyle w:val="61"/>
            </w:pPr>
            <w:r>
              <w:rPr>
                <w:rFonts w:hint="eastAsia"/>
              </w:rPr>
              <w:t>25</w:t>
            </w:r>
          </w:p>
        </w:tc>
        <w:tc>
          <w:tcPr>
            <w:tcW w:w="851" w:type="dxa"/>
            <w:vAlign w:val="center"/>
          </w:tcPr>
          <w:p w14:paraId="4AF8C432">
            <w:pPr>
              <w:pStyle w:val="61"/>
            </w:pPr>
            <w:r>
              <w:rPr>
                <w:sz w:val="20"/>
                <w:szCs w:val="20"/>
              </w:rPr>
              <w:t>41.9</w:t>
            </w:r>
            <w:r>
              <w:rPr>
                <w:rFonts w:hint="eastAsia"/>
                <w:sz w:val="20"/>
                <w:szCs w:val="20"/>
              </w:rPr>
              <w:t>2</w:t>
            </w:r>
          </w:p>
        </w:tc>
        <w:tc>
          <w:tcPr>
            <w:tcW w:w="633" w:type="dxa"/>
            <w:vAlign w:val="center"/>
          </w:tcPr>
          <w:p w14:paraId="6F77B0C6">
            <w:pPr>
              <w:pStyle w:val="61"/>
            </w:pPr>
            <w:r>
              <w:rPr>
                <w:rFonts w:hint="eastAsia"/>
              </w:rPr>
              <w:t>1</w:t>
            </w:r>
          </w:p>
        </w:tc>
      </w:tr>
      <w:tr w14:paraId="01624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46" w:type="dxa"/>
            <w:vAlign w:val="center"/>
          </w:tcPr>
          <w:p w14:paraId="199A82DA">
            <w:pPr>
              <w:pStyle w:val="61"/>
            </w:pPr>
            <w:r>
              <w:rPr>
                <w:rFonts w:hint="eastAsia"/>
              </w:rPr>
              <w:t>2</w:t>
            </w:r>
          </w:p>
        </w:tc>
        <w:tc>
          <w:tcPr>
            <w:tcW w:w="830" w:type="dxa"/>
            <w:vAlign w:val="center"/>
          </w:tcPr>
          <w:p w14:paraId="0ECE9DE5">
            <w:pPr>
              <w:pStyle w:val="61"/>
            </w:pPr>
            <w:r>
              <w:rPr>
                <w:rFonts w:hint="eastAsia"/>
              </w:rPr>
              <w:t>2</w:t>
            </w:r>
            <w:r>
              <w:t>#</w:t>
            </w:r>
            <w:r>
              <w:rPr>
                <w:rFonts w:hint="eastAsia"/>
              </w:rPr>
              <w:t>鸡舍</w:t>
            </w:r>
          </w:p>
        </w:tc>
        <w:tc>
          <w:tcPr>
            <w:tcW w:w="1276" w:type="dxa"/>
            <w:vAlign w:val="center"/>
          </w:tcPr>
          <w:p w14:paraId="109B45DE">
            <w:pPr>
              <w:pStyle w:val="61"/>
            </w:pPr>
            <w:r>
              <w:rPr>
                <w:rFonts w:hint="eastAsia"/>
              </w:rPr>
              <w:t>鸡叫声</w:t>
            </w:r>
          </w:p>
        </w:tc>
        <w:tc>
          <w:tcPr>
            <w:tcW w:w="1417" w:type="dxa"/>
            <w:vAlign w:val="center"/>
          </w:tcPr>
          <w:p w14:paraId="2D98B75F">
            <w:pPr>
              <w:pStyle w:val="61"/>
            </w:pPr>
            <w:r>
              <w:rPr>
                <w:rFonts w:hint="eastAsia"/>
              </w:rPr>
              <w:t>/</w:t>
            </w:r>
          </w:p>
        </w:tc>
        <w:tc>
          <w:tcPr>
            <w:tcW w:w="851" w:type="dxa"/>
            <w:vAlign w:val="center"/>
          </w:tcPr>
          <w:p w14:paraId="3BA05B99">
            <w:pPr>
              <w:pStyle w:val="61"/>
            </w:pPr>
            <w:r>
              <w:rPr>
                <w:rFonts w:hint="eastAsia"/>
                <w:color w:val="000000" w:themeColor="text1"/>
                <w:szCs w:val="21"/>
                <w14:textFill>
                  <w14:solidFill>
                    <w14:schemeClr w14:val="tx1"/>
                  </w14:solidFill>
                </w14:textFill>
              </w:rPr>
              <w:t>70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80</w:t>
            </w:r>
          </w:p>
        </w:tc>
        <w:tc>
          <w:tcPr>
            <w:tcW w:w="1701" w:type="dxa"/>
            <w:vMerge w:val="continue"/>
            <w:vAlign w:val="center"/>
          </w:tcPr>
          <w:p w14:paraId="6B60B2F8">
            <w:pPr>
              <w:pStyle w:val="61"/>
            </w:pPr>
          </w:p>
        </w:tc>
        <w:tc>
          <w:tcPr>
            <w:tcW w:w="850" w:type="dxa"/>
            <w:vAlign w:val="center"/>
          </w:tcPr>
          <w:p w14:paraId="46308B4C">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102</w:t>
            </w:r>
          </w:p>
        </w:tc>
        <w:tc>
          <w:tcPr>
            <w:tcW w:w="851" w:type="dxa"/>
            <w:vAlign w:val="center"/>
          </w:tcPr>
          <w:p w14:paraId="34E7E9C7">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53</w:t>
            </w:r>
          </w:p>
        </w:tc>
        <w:tc>
          <w:tcPr>
            <w:tcW w:w="850" w:type="dxa"/>
            <w:vAlign w:val="center"/>
          </w:tcPr>
          <w:p w14:paraId="22CF490F">
            <w:pPr>
              <w:pStyle w:val="61"/>
            </w:pPr>
            <w:r>
              <w:rPr>
                <w:rFonts w:hint="eastAsia"/>
              </w:rPr>
              <w:t>1</w:t>
            </w:r>
          </w:p>
        </w:tc>
        <w:tc>
          <w:tcPr>
            <w:tcW w:w="851" w:type="dxa"/>
            <w:vAlign w:val="center"/>
          </w:tcPr>
          <w:p w14:paraId="7A2EAD41">
            <w:pPr>
              <w:pStyle w:val="61"/>
            </w:pPr>
            <w:r>
              <w:rPr>
                <w:rFonts w:hint="eastAsia"/>
              </w:rPr>
              <w:t>3</w:t>
            </w:r>
          </w:p>
        </w:tc>
        <w:tc>
          <w:tcPr>
            <w:tcW w:w="850" w:type="dxa"/>
            <w:vAlign w:val="center"/>
          </w:tcPr>
          <w:p w14:paraId="3CC84DEB">
            <w:pPr>
              <w:pStyle w:val="61"/>
            </w:pPr>
            <w:r>
              <w:t>66.9</w:t>
            </w:r>
            <w:r>
              <w:rPr>
                <w:rFonts w:hint="eastAsia"/>
              </w:rPr>
              <w:t>2</w:t>
            </w:r>
          </w:p>
        </w:tc>
        <w:tc>
          <w:tcPr>
            <w:tcW w:w="851" w:type="dxa"/>
            <w:vAlign w:val="center"/>
          </w:tcPr>
          <w:p w14:paraId="5F33B8BC">
            <w:pPr>
              <w:pStyle w:val="61"/>
            </w:pPr>
            <w:r>
              <w:rPr>
                <w:rFonts w:hint="eastAsia"/>
              </w:rPr>
              <w:t>全天</w:t>
            </w:r>
          </w:p>
        </w:tc>
        <w:tc>
          <w:tcPr>
            <w:tcW w:w="850" w:type="dxa"/>
            <w:vAlign w:val="center"/>
          </w:tcPr>
          <w:p w14:paraId="3120D2C6">
            <w:pPr>
              <w:pStyle w:val="61"/>
            </w:pPr>
            <w:r>
              <w:rPr>
                <w:rFonts w:hint="eastAsia"/>
              </w:rPr>
              <w:t>25</w:t>
            </w:r>
          </w:p>
        </w:tc>
        <w:tc>
          <w:tcPr>
            <w:tcW w:w="851" w:type="dxa"/>
            <w:vAlign w:val="center"/>
          </w:tcPr>
          <w:p w14:paraId="05F69538">
            <w:pPr>
              <w:pStyle w:val="61"/>
            </w:pPr>
            <w:r>
              <w:rPr>
                <w:sz w:val="20"/>
                <w:szCs w:val="20"/>
              </w:rPr>
              <w:t>41.9</w:t>
            </w:r>
            <w:r>
              <w:rPr>
                <w:rFonts w:hint="eastAsia"/>
                <w:sz w:val="20"/>
                <w:szCs w:val="20"/>
              </w:rPr>
              <w:t>2</w:t>
            </w:r>
          </w:p>
        </w:tc>
        <w:tc>
          <w:tcPr>
            <w:tcW w:w="633" w:type="dxa"/>
            <w:vAlign w:val="center"/>
          </w:tcPr>
          <w:p w14:paraId="2BF0F264">
            <w:pPr>
              <w:pStyle w:val="61"/>
            </w:pPr>
            <w:r>
              <w:rPr>
                <w:rFonts w:hint="eastAsia"/>
              </w:rPr>
              <w:t>1</w:t>
            </w:r>
          </w:p>
        </w:tc>
      </w:tr>
      <w:tr w14:paraId="3C7072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46" w:type="dxa"/>
            <w:vAlign w:val="center"/>
          </w:tcPr>
          <w:p w14:paraId="75116158">
            <w:pPr>
              <w:pStyle w:val="61"/>
            </w:pPr>
            <w:r>
              <w:rPr>
                <w:rFonts w:hint="eastAsia"/>
              </w:rPr>
              <w:t>3</w:t>
            </w:r>
          </w:p>
        </w:tc>
        <w:tc>
          <w:tcPr>
            <w:tcW w:w="830" w:type="dxa"/>
            <w:vAlign w:val="center"/>
          </w:tcPr>
          <w:p w14:paraId="4CF4E7DC">
            <w:pPr>
              <w:pStyle w:val="61"/>
            </w:pPr>
            <w:r>
              <w:rPr>
                <w:rFonts w:hint="eastAsia"/>
              </w:rPr>
              <w:t>3</w:t>
            </w:r>
            <w:r>
              <w:t>#</w:t>
            </w:r>
            <w:r>
              <w:rPr>
                <w:rFonts w:hint="eastAsia"/>
              </w:rPr>
              <w:t>鸡舍</w:t>
            </w:r>
          </w:p>
        </w:tc>
        <w:tc>
          <w:tcPr>
            <w:tcW w:w="1276" w:type="dxa"/>
            <w:vAlign w:val="center"/>
          </w:tcPr>
          <w:p w14:paraId="08BC0588">
            <w:pPr>
              <w:pStyle w:val="61"/>
            </w:pPr>
            <w:r>
              <w:rPr>
                <w:rFonts w:hint="eastAsia"/>
              </w:rPr>
              <w:t>鸡叫声</w:t>
            </w:r>
          </w:p>
        </w:tc>
        <w:tc>
          <w:tcPr>
            <w:tcW w:w="1417" w:type="dxa"/>
            <w:vAlign w:val="center"/>
          </w:tcPr>
          <w:p w14:paraId="23F8AEF7">
            <w:pPr>
              <w:pStyle w:val="61"/>
            </w:pPr>
            <w:r>
              <w:rPr>
                <w:rFonts w:hint="eastAsia"/>
              </w:rPr>
              <w:t>/</w:t>
            </w:r>
          </w:p>
        </w:tc>
        <w:tc>
          <w:tcPr>
            <w:tcW w:w="851" w:type="dxa"/>
            <w:vAlign w:val="center"/>
          </w:tcPr>
          <w:p w14:paraId="19609787">
            <w:pPr>
              <w:pStyle w:val="61"/>
            </w:pPr>
            <w:r>
              <w:rPr>
                <w:rFonts w:hint="eastAsia"/>
                <w:color w:val="000000" w:themeColor="text1"/>
                <w:szCs w:val="21"/>
                <w14:textFill>
                  <w14:solidFill>
                    <w14:schemeClr w14:val="tx1"/>
                  </w14:solidFill>
                </w14:textFill>
              </w:rPr>
              <w:t>70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80</w:t>
            </w:r>
          </w:p>
        </w:tc>
        <w:tc>
          <w:tcPr>
            <w:tcW w:w="1701" w:type="dxa"/>
            <w:vMerge w:val="continue"/>
            <w:vAlign w:val="center"/>
          </w:tcPr>
          <w:p w14:paraId="0B1F9E2F">
            <w:pPr>
              <w:pStyle w:val="61"/>
            </w:pPr>
          </w:p>
        </w:tc>
        <w:tc>
          <w:tcPr>
            <w:tcW w:w="850" w:type="dxa"/>
            <w:vAlign w:val="center"/>
          </w:tcPr>
          <w:p w14:paraId="39D0D073">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104</w:t>
            </w:r>
          </w:p>
        </w:tc>
        <w:tc>
          <w:tcPr>
            <w:tcW w:w="851" w:type="dxa"/>
            <w:vAlign w:val="center"/>
          </w:tcPr>
          <w:p w14:paraId="67592C99">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76</w:t>
            </w:r>
          </w:p>
        </w:tc>
        <w:tc>
          <w:tcPr>
            <w:tcW w:w="850" w:type="dxa"/>
            <w:vAlign w:val="center"/>
          </w:tcPr>
          <w:p w14:paraId="0290360C">
            <w:pPr>
              <w:pStyle w:val="61"/>
            </w:pPr>
            <w:r>
              <w:rPr>
                <w:rFonts w:hint="eastAsia"/>
              </w:rPr>
              <w:t>1</w:t>
            </w:r>
          </w:p>
        </w:tc>
        <w:tc>
          <w:tcPr>
            <w:tcW w:w="851" w:type="dxa"/>
            <w:vAlign w:val="center"/>
          </w:tcPr>
          <w:p w14:paraId="7D4890C3">
            <w:pPr>
              <w:pStyle w:val="61"/>
            </w:pPr>
            <w:r>
              <w:rPr>
                <w:rFonts w:hint="eastAsia"/>
              </w:rPr>
              <w:t>3</w:t>
            </w:r>
          </w:p>
        </w:tc>
        <w:tc>
          <w:tcPr>
            <w:tcW w:w="850" w:type="dxa"/>
            <w:vAlign w:val="center"/>
          </w:tcPr>
          <w:p w14:paraId="55202ACF">
            <w:pPr>
              <w:pStyle w:val="61"/>
            </w:pPr>
            <w:r>
              <w:t>66.9</w:t>
            </w:r>
            <w:r>
              <w:rPr>
                <w:rFonts w:hint="eastAsia"/>
              </w:rPr>
              <w:t>2</w:t>
            </w:r>
          </w:p>
        </w:tc>
        <w:tc>
          <w:tcPr>
            <w:tcW w:w="851" w:type="dxa"/>
            <w:vAlign w:val="center"/>
          </w:tcPr>
          <w:p w14:paraId="3CCE5375">
            <w:pPr>
              <w:pStyle w:val="61"/>
            </w:pPr>
            <w:r>
              <w:rPr>
                <w:rFonts w:hint="eastAsia"/>
              </w:rPr>
              <w:t>全天</w:t>
            </w:r>
          </w:p>
        </w:tc>
        <w:tc>
          <w:tcPr>
            <w:tcW w:w="850" w:type="dxa"/>
            <w:vAlign w:val="center"/>
          </w:tcPr>
          <w:p w14:paraId="789A6CBC">
            <w:pPr>
              <w:pStyle w:val="61"/>
            </w:pPr>
            <w:r>
              <w:rPr>
                <w:rFonts w:hint="eastAsia"/>
              </w:rPr>
              <w:t>25</w:t>
            </w:r>
          </w:p>
        </w:tc>
        <w:tc>
          <w:tcPr>
            <w:tcW w:w="851" w:type="dxa"/>
            <w:vAlign w:val="center"/>
          </w:tcPr>
          <w:p w14:paraId="75C69AE3">
            <w:pPr>
              <w:pStyle w:val="61"/>
            </w:pPr>
            <w:r>
              <w:rPr>
                <w:sz w:val="20"/>
                <w:szCs w:val="20"/>
              </w:rPr>
              <w:t>41.9</w:t>
            </w:r>
            <w:r>
              <w:rPr>
                <w:rFonts w:hint="eastAsia"/>
                <w:sz w:val="20"/>
                <w:szCs w:val="20"/>
              </w:rPr>
              <w:t>2</w:t>
            </w:r>
          </w:p>
        </w:tc>
        <w:tc>
          <w:tcPr>
            <w:tcW w:w="633" w:type="dxa"/>
            <w:vAlign w:val="center"/>
          </w:tcPr>
          <w:p w14:paraId="5E5AE256">
            <w:pPr>
              <w:pStyle w:val="61"/>
            </w:pPr>
            <w:r>
              <w:rPr>
                <w:rFonts w:hint="eastAsia"/>
              </w:rPr>
              <w:t>1</w:t>
            </w:r>
          </w:p>
        </w:tc>
      </w:tr>
      <w:tr w14:paraId="4345E8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46" w:type="dxa"/>
            <w:vAlign w:val="center"/>
          </w:tcPr>
          <w:p w14:paraId="1BE09121">
            <w:pPr>
              <w:pStyle w:val="61"/>
            </w:pPr>
            <w:r>
              <w:rPr>
                <w:rFonts w:hint="eastAsia"/>
              </w:rPr>
              <w:t>4</w:t>
            </w:r>
          </w:p>
        </w:tc>
        <w:tc>
          <w:tcPr>
            <w:tcW w:w="830" w:type="dxa"/>
            <w:vAlign w:val="center"/>
          </w:tcPr>
          <w:p w14:paraId="234EB37B">
            <w:pPr>
              <w:pStyle w:val="61"/>
            </w:pPr>
            <w:r>
              <w:rPr>
                <w:rFonts w:hint="eastAsia"/>
              </w:rPr>
              <w:t>4</w:t>
            </w:r>
            <w:r>
              <w:t>#</w:t>
            </w:r>
            <w:r>
              <w:rPr>
                <w:rFonts w:hint="eastAsia"/>
              </w:rPr>
              <w:t>鸡舍</w:t>
            </w:r>
          </w:p>
        </w:tc>
        <w:tc>
          <w:tcPr>
            <w:tcW w:w="1276" w:type="dxa"/>
            <w:vAlign w:val="center"/>
          </w:tcPr>
          <w:p w14:paraId="5978305A">
            <w:pPr>
              <w:pStyle w:val="61"/>
            </w:pPr>
            <w:r>
              <w:rPr>
                <w:rFonts w:hint="eastAsia"/>
              </w:rPr>
              <w:t>鸡叫声</w:t>
            </w:r>
          </w:p>
        </w:tc>
        <w:tc>
          <w:tcPr>
            <w:tcW w:w="1417" w:type="dxa"/>
            <w:vAlign w:val="center"/>
          </w:tcPr>
          <w:p w14:paraId="799FB381">
            <w:pPr>
              <w:pStyle w:val="61"/>
            </w:pPr>
            <w:r>
              <w:rPr>
                <w:rFonts w:hint="eastAsia"/>
              </w:rPr>
              <w:t>/</w:t>
            </w:r>
          </w:p>
        </w:tc>
        <w:tc>
          <w:tcPr>
            <w:tcW w:w="851" w:type="dxa"/>
            <w:vAlign w:val="center"/>
          </w:tcPr>
          <w:p w14:paraId="72DF0AD4">
            <w:pPr>
              <w:pStyle w:val="61"/>
            </w:pPr>
            <w:r>
              <w:rPr>
                <w:rFonts w:hint="eastAsia"/>
                <w:color w:val="000000" w:themeColor="text1"/>
                <w:szCs w:val="21"/>
                <w14:textFill>
                  <w14:solidFill>
                    <w14:schemeClr w14:val="tx1"/>
                  </w14:solidFill>
                </w14:textFill>
              </w:rPr>
              <w:t>70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80</w:t>
            </w:r>
          </w:p>
        </w:tc>
        <w:tc>
          <w:tcPr>
            <w:tcW w:w="1701" w:type="dxa"/>
            <w:vMerge w:val="continue"/>
            <w:vAlign w:val="center"/>
          </w:tcPr>
          <w:p w14:paraId="77725304">
            <w:pPr>
              <w:pStyle w:val="61"/>
            </w:pPr>
          </w:p>
        </w:tc>
        <w:tc>
          <w:tcPr>
            <w:tcW w:w="850" w:type="dxa"/>
            <w:vAlign w:val="center"/>
          </w:tcPr>
          <w:p w14:paraId="1CD5B9C7">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106</w:t>
            </w:r>
          </w:p>
        </w:tc>
        <w:tc>
          <w:tcPr>
            <w:tcW w:w="851" w:type="dxa"/>
            <w:vAlign w:val="center"/>
          </w:tcPr>
          <w:p w14:paraId="5918DB4F">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99</w:t>
            </w:r>
          </w:p>
        </w:tc>
        <w:tc>
          <w:tcPr>
            <w:tcW w:w="850" w:type="dxa"/>
            <w:vAlign w:val="center"/>
          </w:tcPr>
          <w:p w14:paraId="021633F6">
            <w:pPr>
              <w:pStyle w:val="61"/>
            </w:pPr>
            <w:r>
              <w:rPr>
                <w:rFonts w:hint="eastAsia"/>
              </w:rPr>
              <w:t>1</w:t>
            </w:r>
          </w:p>
        </w:tc>
        <w:tc>
          <w:tcPr>
            <w:tcW w:w="851" w:type="dxa"/>
            <w:vAlign w:val="center"/>
          </w:tcPr>
          <w:p w14:paraId="5A407AE4">
            <w:pPr>
              <w:pStyle w:val="61"/>
            </w:pPr>
            <w:r>
              <w:rPr>
                <w:rFonts w:hint="eastAsia"/>
              </w:rPr>
              <w:t>3</w:t>
            </w:r>
          </w:p>
        </w:tc>
        <w:tc>
          <w:tcPr>
            <w:tcW w:w="850" w:type="dxa"/>
            <w:vAlign w:val="center"/>
          </w:tcPr>
          <w:p w14:paraId="093B16B8">
            <w:pPr>
              <w:pStyle w:val="61"/>
            </w:pPr>
            <w:r>
              <w:t>66.9</w:t>
            </w:r>
            <w:r>
              <w:rPr>
                <w:rFonts w:hint="eastAsia"/>
              </w:rPr>
              <w:t>2</w:t>
            </w:r>
          </w:p>
        </w:tc>
        <w:tc>
          <w:tcPr>
            <w:tcW w:w="851" w:type="dxa"/>
            <w:vAlign w:val="center"/>
          </w:tcPr>
          <w:p w14:paraId="764407C6">
            <w:pPr>
              <w:pStyle w:val="61"/>
            </w:pPr>
            <w:r>
              <w:rPr>
                <w:rFonts w:hint="eastAsia"/>
              </w:rPr>
              <w:t>全天</w:t>
            </w:r>
          </w:p>
        </w:tc>
        <w:tc>
          <w:tcPr>
            <w:tcW w:w="850" w:type="dxa"/>
            <w:vAlign w:val="center"/>
          </w:tcPr>
          <w:p w14:paraId="68675280">
            <w:pPr>
              <w:pStyle w:val="61"/>
            </w:pPr>
            <w:r>
              <w:rPr>
                <w:rFonts w:hint="eastAsia"/>
              </w:rPr>
              <w:t>25</w:t>
            </w:r>
          </w:p>
        </w:tc>
        <w:tc>
          <w:tcPr>
            <w:tcW w:w="851" w:type="dxa"/>
            <w:vAlign w:val="center"/>
          </w:tcPr>
          <w:p w14:paraId="248F0030">
            <w:pPr>
              <w:pStyle w:val="61"/>
            </w:pPr>
            <w:r>
              <w:rPr>
                <w:sz w:val="20"/>
                <w:szCs w:val="20"/>
              </w:rPr>
              <w:t>41.9</w:t>
            </w:r>
            <w:r>
              <w:rPr>
                <w:rFonts w:hint="eastAsia"/>
                <w:sz w:val="20"/>
                <w:szCs w:val="20"/>
              </w:rPr>
              <w:t>2</w:t>
            </w:r>
          </w:p>
        </w:tc>
        <w:tc>
          <w:tcPr>
            <w:tcW w:w="633" w:type="dxa"/>
            <w:vAlign w:val="center"/>
          </w:tcPr>
          <w:p w14:paraId="3995FA93">
            <w:pPr>
              <w:pStyle w:val="61"/>
            </w:pPr>
            <w:r>
              <w:rPr>
                <w:rFonts w:hint="eastAsia"/>
              </w:rPr>
              <w:t>1</w:t>
            </w:r>
          </w:p>
        </w:tc>
      </w:tr>
      <w:tr w14:paraId="58E5E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46" w:type="dxa"/>
            <w:vAlign w:val="center"/>
          </w:tcPr>
          <w:p w14:paraId="5A7E9AB3">
            <w:pPr>
              <w:pStyle w:val="61"/>
            </w:pPr>
            <w:r>
              <w:rPr>
                <w:rFonts w:hint="eastAsia"/>
              </w:rPr>
              <w:t>5</w:t>
            </w:r>
          </w:p>
        </w:tc>
        <w:tc>
          <w:tcPr>
            <w:tcW w:w="830" w:type="dxa"/>
            <w:vAlign w:val="center"/>
          </w:tcPr>
          <w:p w14:paraId="04CD26E5">
            <w:pPr>
              <w:pStyle w:val="61"/>
            </w:pPr>
            <w:r>
              <w:rPr>
                <w:rFonts w:hint="eastAsia"/>
              </w:rPr>
              <w:t>5</w:t>
            </w:r>
            <w:r>
              <w:t>#</w:t>
            </w:r>
            <w:r>
              <w:rPr>
                <w:rFonts w:hint="eastAsia"/>
              </w:rPr>
              <w:t>鸡舍</w:t>
            </w:r>
          </w:p>
        </w:tc>
        <w:tc>
          <w:tcPr>
            <w:tcW w:w="1276" w:type="dxa"/>
            <w:vAlign w:val="center"/>
          </w:tcPr>
          <w:p w14:paraId="1D684062">
            <w:pPr>
              <w:pStyle w:val="61"/>
            </w:pPr>
            <w:r>
              <w:rPr>
                <w:rFonts w:hint="eastAsia"/>
              </w:rPr>
              <w:t>鸡叫声</w:t>
            </w:r>
          </w:p>
        </w:tc>
        <w:tc>
          <w:tcPr>
            <w:tcW w:w="1417" w:type="dxa"/>
            <w:vAlign w:val="center"/>
          </w:tcPr>
          <w:p w14:paraId="5644F689">
            <w:pPr>
              <w:pStyle w:val="61"/>
            </w:pPr>
            <w:r>
              <w:rPr>
                <w:rFonts w:hint="eastAsia"/>
              </w:rPr>
              <w:t>/</w:t>
            </w:r>
          </w:p>
        </w:tc>
        <w:tc>
          <w:tcPr>
            <w:tcW w:w="851" w:type="dxa"/>
            <w:vAlign w:val="center"/>
          </w:tcPr>
          <w:p w14:paraId="26887364">
            <w:pPr>
              <w:pStyle w:val="61"/>
            </w:pPr>
            <w:r>
              <w:rPr>
                <w:rFonts w:hint="eastAsia"/>
                <w:color w:val="000000" w:themeColor="text1"/>
                <w:szCs w:val="21"/>
                <w14:textFill>
                  <w14:solidFill>
                    <w14:schemeClr w14:val="tx1"/>
                  </w14:solidFill>
                </w14:textFill>
              </w:rPr>
              <w:t>70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80</w:t>
            </w:r>
          </w:p>
        </w:tc>
        <w:tc>
          <w:tcPr>
            <w:tcW w:w="1701" w:type="dxa"/>
            <w:vMerge w:val="continue"/>
            <w:vAlign w:val="center"/>
          </w:tcPr>
          <w:p w14:paraId="53FE3D3E">
            <w:pPr>
              <w:pStyle w:val="61"/>
            </w:pPr>
          </w:p>
        </w:tc>
        <w:tc>
          <w:tcPr>
            <w:tcW w:w="850" w:type="dxa"/>
            <w:vAlign w:val="center"/>
          </w:tcPr>
          <w:p w14:paraId="582084B4">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108</w:t>
            </w:r>
          </w:p>
        </w:tc>
        <w:tc>
          <w:tcPr>
            <w:tcW w:w="851" w:type="dxa"/>
            <w:vAlign w:val="center"/>
          </w:tcPr>
          <w:p w14:paraId="20180D5F">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125</w:t>
            </w:r>
          </w:p>
        </w:tc>
        <w:tc>
          <w:tcPr>
            <w:tcW w:w="850" w:type="dxa"/>
            <w:vAlign w:val="center"/>
          </w:tcPr>
          <w:p w14:paraId="7328D474">
            <w:pPr>
              <w:pStyle w:val="61"/>
            </w:pPr>
            <w:r>
              <w:rPr>
                <w:rFonts w:hint="eastAsia"/>
              </w:rPr>
              <w:t>1</w:t>
            </w:r>
          </w:p>
        </w:tc>
        <w:tc>
          <w:tcPr>
            <w:tcW w:w="851" w:type="dxa"/>
            <w:vAlign w:val="center"/>
          </w:tcPr>
          <w:p w14:paraId="04591466">
            <w:pPr>
              <w:pStyle w:val="61"/>
            </w:pPr>
            <w:r>
              <w:rPr>
                <w:rFonts w:hint="eastAsia"/>
              </w:rPr>
              <w:t>3</w:t>
            </w:r>
          </w:p>
        </w:tc>
        <w:tc>
          <w:tcPr>
            <w:tcW w:w="850" w:type="dxa"/>
            <w:vAlign w:val="center"/>
          </w:tcPr>
          <w:p w14:paraId="267AC5D0">
            <w:pPr>
              <w:pStyle w:val="61"/>
            </w:pPr>
            <w:r>
              <w:t>66.9</w:t>
            </w:r>
            <w:r>
              <w:rPr>
                <w:rFonts w:hint="eastAsia"/>
              </w:rPr>
              <w:t>2</w:t>
            </w:r>
          </w:p>
        </w:tc>
        <w:tc>
          <w:tcPr>
            <w:tcW w:w="851" w:type="dxa"/>
            <w:vAlign w:val="center"/>
          </w:tcPr>
          <w:p w14:paraId="5D9FB18E">
            <w:pPr>
              <w:pStyle w:val="61"/>
            </w:pPr>
            <w:r>
              <w:rPr>
                <w:rFonts w:hint="eastAsia"/>
              </w:rPr>
              <w:t>全天</w:t>
            </w:r>
          </w:p>
        </w:tc>
        <w:tc>
          <w:tcPr>
            <w:tcW w:w="850" w:type="dxa"/>
            <w:vAlign w:val="center"/>
          </w:tcPr>
          <w:p w14:paraId="0DAB0AD7">
            <w:pPr>
              <w:pStyle w:val="61"/>
            </w:pPr>
            <w:r>
              <w:rPr>
                <w:rFonts w:hint="eastAsia"/>
              </w:rPr>
              <w:t>25</w:t>
            </w:r>
          </w:p>
        </w:tc>
        <w:tc>
          <w:tcPr>
            <w:tcW w:w="851" w:type="dxa"/>
            <w:vAlign w:val="center"/>
          </w:tcPr>
          <w:p w14:paraId="212D6E76">
            <w:pPr>
              <w:pStyle w:val="61"/>
            </w:pPr>
            <w:r>
              <w:rPr>
                <w:sz w:val="20"/>
                <w:szCs w:val="20"/>
              </w:rPr>
              <w:t>41.9</w:t>
            </w:r>
            <w:r>
              <w:rPr>
                <w:rFonts w:hint="eastAsia"/>
                <w:sz w:val="20"/>
                <w:szCs w:val="20"/>
              </w:rPr>
              <w:t>2</w:t>
            </w:r>
          </w:p>
        </w:tc>
        <w:tc>
          <w:tcPr>
            <w:tcW w:w="633" w:type="dxa"/>
            <w:vAlign w:val="center"/>
          </w:tcPr>
          <w:p w14:paraId="009398C8">
            <w:pPr>
              <w:pStyle w:val="61"/>
            </w:pPr>
            <w:r>
              <w:rPr>
                <w:rFonts w:hint="eastAsia"/>
              </w:rPr>
              <w:t>1</w:t>
            </w:r>
          </w:p>
        </w:tc>
      </w:tr>
      <w:tr w14:paraId="78462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46" w:type="dxa"/>
            <w:vAlign w:val="center"/>
          </w:tcPr>
          <w:p w14:paraId="6A0158A3">
            <w:pPr>
              <w:pStyle w:val="61"/>
            </w:pPr>
            <w:r>
              <w:rPr>
                <w:rFonts w:hint="eastAsia"/>
              </w:rPr>
              <w:t>6</w:t>
            </w:r>
          </w:p>
        </w:tc>
        <w:tc>
          <w:tcPr>
            <w:tcW w:w="830" w:type="dxa"/>
            <w:vAlign w:val="center"/>
          </w:tcPr>
          <w:p w14:paraId="672ECE08">
            <w:pPr>
              <w:pStyle w:val="61"/>
            </w:pPr>
            <w:r>
              <w:rPr>
                <w:rFonts w:hint="eastAsia"/>
              </w:rPr>
              <w:t>6</w:t>
            </w:r>
            <w:r>
              <w:t>#</w:t>
            </w:r>
            <w:r>
              <w:rPr>
                <w:rFonts w:hint="eastAsia"/>
              </w:rPr>
              <w:t>鸡舍</w:t>
            </w:r>
          </w:p>
        </w:tc>
        <w:tc>
          <w:tcPr>
            <w:tcW w:w="1276" w:type="dxa"/>
            <w:vAlign w:val="center"/>
          </w:tcPr>
          <w:p w14:paraId="1060F0CF">
            <w:pPr>
              <w:pStyle w:val="61"/>
            </w:pPr>
            <w:r>
              <w:rPr>
                <w:rFonts w:hint="eastAsia"/>
              </w:rPr>
              <w:t>鸡叫声</w:t>
            </w:r>
          </w:p>
        </w:tc>
        <w:tc>
          <w:tcPr>
            <w:tcW w:w="1417" w:type="dxa"/>
            <w:vAlign w:val="center"/>
          </w:tcPr>
          <w:p w14:paraId="7AD99B4F">
            <w:pPr>
              <w:pStyle w:val="61"/>
            </w:pPr>
            <w:r>
              <w:rPr>
                <w:rFonts w:hint="eastAsia"/>
              </w:rPr>
              <w:t>/</w:t>
            </w:r>
          </w:p>
        </w:tc>
        <w:tc>
          <w:tcPr>
            <w:tcW w:w="851" w:type="dxa"/>
            <w:vAlign w:val="center"/>
          </w:tcPr>
          <w:p w14:paraId="1B4B3C05">
            <w:pPr>
              <w:pStyle w:val="61"/>
            </w:pPr>
            <w:r>
              <w:rPr>
                <w:rFonts w:hint="eastAsia"/>
                <w:color w:val="000000" w:themeColor="text1"/>
                <w:szCs w:val="21"/>
                <w14:textFill>
                  <w14:solidFill>
                    <w14:schemeClr w14:val="tx1"/>
                  </w14:solidFill>
                </w14:textFill>
              </w:rPr>
              <w:t>70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80</w:t>
            </w:r>
          </w:p>
        </w:tc>
        <w:tc>
          <w:tcPr>
            <w:tcW w:w="1701" w:type="dxa"/>
            <w:vMerge w:val="continue"/>
            <w:vAlign w:val="center"/>
          </w:tcPr>
          <w:p w14:paraId="501E3C7C">
            <w:pPr>
              <w:pStyle w:val="61"/>
            </w:pPr>
          </w:p>
        </w:tc>
        <w:tc>
          <w:tcPr>
            <w:tcW w:w="850" w:type="dxa"/>
            <w:vAlign w:val="center"/>
          </w:tcPr>
          <w:p w14:paraId="625D8DEF">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110</w:t>
            </w:r>
          </w:p>
        </w:tc>
        <w:tc>
          <w:tcPr>
            <w:tcW w:w="851" w:type="dxa"/>
            <w:vAlign w:val="center"/>
          </w:tcPr>
          <w:p w14:paraId="53F75B6E">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150</w:t>
            </w:r>
          </w:p>
        </w:tc>
        <w:tc>
          <w:tcPr>
            <w:tcW w:w="850" w:type="dxa"/>
            <w:vAlign w:val="center"/>
          </w:tcPr>
          <w:p w14:paraId="54861380">
            <w:pPr>
              <w:pStyle w:val="61"/>
            </w:pPr>
            <w:r>
              <w:rPr>
                <w:rFonts w:hint="eastAsia"/>
              </w:rPr>
              <w:t>1</w:t>
            </w:r>
          </w:p>
        </w:tc>
        <w:tc>
          <w:tcPr>
            <w:tcW w:w="851" w:type="dxa"/>
            <w:vAlign w:val="center"/>
          </w:tcPr>
          <w:p w14:paraId="77250E5C">
            <w:pPr>
              <w:pStyle w:val="61"/>
            </w:pPr>
            <w:r>
              <w:rPr>
                <w:rFonts w:hint="eastAsia"/>
              </w:rPr>
              <w:t>3</w:t>
            </w:r>
          </w:p>
        </w:tc>
        <w:tc>
          <w:tcPr>
            <w:tcW w:w="850" w:type="dxa"/>
            <w:vAlign w:val="center"/>
          </w:tcPr>
          <w:p w14:paraId="292DBA98">
            <w:pPr>
              <w:pStyle w:val="61"/>
            </w:pPr>
            <w:r>
              <w:t>66.9</w:t>
            </w:r>
            <w:r>
              <w:rPr>
                <w:rFonts w:hint="eastAsia"/>
              </w:rPr>
              <w:t>2</w:t>
            </w:r>
          </w:p>
        </w:tc>
        <w:tc>
          <w:tcPr>
            <w:tcW w:w="851" w:type="dxa"/>
            <w:vAlign w:val="center"/>
          </w:tcPr>
          <w:p w14:paraId="6EBDDD5B">
            <w:pPr>
              <w:pStyle w:val="61"/>
            </w:pPr>
            <w:r>
              <w:rPr>
                <w:rFonts w:hint="eastAsia"/>
              </w:rPr>
              <w:t>全天</w:t>
            </w:r>
          </w:p>
        </w:tc>
        <w:tc>
          <w:tcPr>
            <w:tcW w:w="850" w:type="dxa"/>
            <w:vAlign w:val="center"/>
          </w:tcPr>
          <w:p w14:paraId="44B6D89C">
            <w:pPr>
              <w:pStyle w:val="61"/>
            </w:pPr>
            <w:r>
              <w:rPr>
                <w:rFonts w:hint="eastAsia"/>
              </w:rPr>
              <w:t>25</w:t>
            </w:r>
          </w:p>
        </w:tc>
        <w:tc>
          <w:tcPr>
            <w:tcW w:w="851" w:type="dxa"/>
            <w:vAlign w:val="center"/>
          </w:tcPr>
          <w:p w14:paraId="3256A62B">
            <w:pPr>
              <w:pStyle w:val="61"/>
            </w:pPr>
            <w:r>
              <w:rPr>
                <w:sz w:val="20"/>
                <w:szCs w:val="20"/>
              </w:rPr>
              <w:t>41.9</w:t>
            </w:r>
            <w:r>
              <w:rPr>
                <w:rFonts w:hint="eastAsia"/>
                <w:sz w:val="20"/>
                <w:szCs w:val="20"/>
              </w:rPr>
              <w:t>2</w:t>
            </w:r>
          </w:p>
        </w:tc>
        <w:tc>
          <w:tcPr>
            <w:tcW w:w="633" w:type="dxa"/>
            <w:vAlign w:val="center"/>
          </w:tcPr>
          <w:p w14:paraId="150E9CBE">
            <w:pPr>
              <w:pStyle w:val="61"/>
            </w:pPr>
            <w:r>
              <w:rPr>
                <w:rFonts w:hint="eastAsia"/>
              </w:rPr>
              <w:t>1</w:t>
            </w:r>
          </w:p>
        </w:tc>
      </w:tr>
      <w:tr w14:paraId="4E3DD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46" w:type="dxa"/>
            <w:vAlign w:val="center"/>
          </w:tcPr>
          <w:p w14:paraId="174B5E8B">
            <w:pPr>
              <w:pStyle w:val="61"/>
            </w:pPr>
            <w:r>
              <w:rPr>
                <w:rFonts w:hint="eastAsia"/>
              </w:rPr>
              <w:t>7</w:t>
            </w:r>
          </w:p>
        </w:tc>
        <w:tc>
          <w:tcPr>
            <w:tcW w:w="830" w:type="dxa"/>
            <w:vAlign w:val="center"/>
          </w:tcPr>
          <w:p w14:paraId="5F2485DA">
            <w:pPr>
              <w:pStyle w:val="61"/>
            </w:pPr>
            <w:r>
              <w:rPr>
                <w:rFonts w:hint="eastAsia"/>
              </w:rPr>
              <w:t>7</w:t>
            </w:r>
            <w:r>
              <w:t>#</w:t>
            </w:r>
            <w:r>
              <w:rPr>
                <w:rFonts w:hint="eastAsia"/>
              </w:rPr>
              <w:t>鸡舍</w:t>
            </w:r>
          </w:p>
        </w:tc>
        <w:tc>
          <w:tcPr>
            <w:tcW w:w="1276" w:type="dxa"/>
            <w:vAlign w:val="center"/>
          </w:tcPr>
          <w:p w14:paraId="3C136820">
            <w:pPr>
              <w:pStyle w:val="61"/>
            </w:pPr>
            <w:r>
              <w:rPr>
                <w:rFonts w:hint="eastAsia"/>
              </w:rPr>
              <w:t>鸡叫声</w:t>
            </w:r>
          </w:p>
        </w:tc>
        <w:tc>
          <w:tcPr>
            <w:tcW w:w="1417" w:type="dxa"/>
            <w:vAlign w:val="center"/>
          </w:tcPr>
          <w:p w14:paraId="7F7464CC">
            <w:pPr>
              <w:pStyle w:val="61"/>
            </w:pPr>
            <w:r>
              <w:rPr>
                <w:rFonts w:hint="eastAsia"/>
              </w:rPr>
              <w:t>/</w:t>
            </w:r>
          </w:p>
        </w:tc>
        <w:tc>
          <w:tcPr>
            <w:tcW w:w="851" w:type="dxa"/>
            <w:vAlign w:val="center"/>
          </w:tcPr>
          <w:p w14:paraId="2A58CB81">
            <w:pPr>
              <w:pStyle w:val="61"/>
            </w:pPr>
            <w:r>
              <w:rPr>
                <w:rFonts w:hint="eastAsia"/>
                <w:color w:val="000000" w:themeColor="text1"/>
                <w:szCs w:val="21"/>
                <w14:textFill>
                  <w14:solidFill>
                    <w14:schemeClr w14:val="tx1"/>
                  </w14:solidFill>
                </w14:textFill>
              </w:rPr>
              <w:t>70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80</w:t>
            </w:r>
          </w:p>
        </w:tc>
        <w:tc>
          <w:tcPr>
            <w:tcW w:w="1701" w:type="dxa"/>
            <w:vMerge w:val="continue"/>
            <w:vAlign w:val="center"/>
          </w:tcPr>
          <w:p w14:paraId="173E4458">
            <w:pPr>
              <w:pStyle w:val="61"/>
            </w:pPr>
          </w:p>
        </w:tc>
        <w:tc>
          <w:tcPr>
            <w:tcW w:w="850" w:type="dxa"/>
            <w:vAlign w:val="center"/>
          </w:tcPr>
          <w:p w14:paraId="04D0842D">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112</w:t>
            </w:r>
          </w:p>
        </w:tc>
        <w:tc>
          <w:tcPr>
            <w:tcW w:w="851" w:type="dxa"/>
            <w:vAlign w:val="center"/>
          </w:tcPr>
          <w:p w14:paraId="04B4813E">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173</w:t>
            </w:r>
          </w:p>
        </w:tc>
        <w:tc>
          <w:tcPr>
            <w:tcW w:w="850" w:type="dxa"/>
            <w:vAlign w:val="center"/>
          </w:tcPr>
          <w:p w14:paraId="7625A3A6">
            <w:pPr>
              <w:pStyle w:val="61"/>
            </w:pPr>
            <w:r>
              <w:rPr>
                <w:rFonts w:hint="eastAsia"/>
              </w:rPr>
              <w:t>1</w:t>
            </w:r>
          </w:p>
        </w:tc>
        <w:tc>
          <w:tcPr>
            <w:tcW w:w="851" w:type="dxa"/>
            <w:vAlign w:val="center"/>
          </w:tcPr>
          <w:p w14:paraId="508311EF">
            <w:pPr>
              <w:pStyle w:val="61"/>
            </w:pPr>
            <w:r>
              <w:rPr>
                <w:rFonts w:hint="eastAsia"/>
              </w:rPr>
              <w:t>3</w:t>
            </w:r>
          </w:p>
        </w:tc>
        <w:tc>
          <w:tcPr>
            <w:tcW w:w="850" w:type="dxa"/>
            <w:vAlign w:val="center"/>
          </w:tcPr>
          <w:p w14:paraId="38F4DCFF">
            <w:pPr>
              <w:pStyle w:val="61"/>
            </w:pPr>
            <w:r>
              <w:t>66.9</w:t>
            </w:r>
            <w:r>
              <w:rPr>
                <w:rFonts w:hint="eastAsia"/>
              </w:rPr>
              <w:t>2</w:t>
            </w:r>
          </w:p>
        </w:tc>
        <w:tc>
          <w:tcPr>
            <w:tcW w:w="851" w:type="dxa"/>
            <w:vAlign w:val="center"/>
          </w:tcPr>
          <w:p w14:paraId="6A250DD0">
            <w:pPr>
              <w:pStyle w:val="61"/>
            </w:pPr>
            <w:r>
              <w:rPr>
                <w:rFonts w:hint="eastAsia"/>
              </w:rPr>
              <w:t>全天</w:t>
            </w:r>
          </w:p>
        </w:tc>
        <w:tc>
          <w:tcPr>
            <w:tcW w:w="850" w:type="dxa"/>
            <w:vAlign w:val="center"/>
          </w:tcPr>
          <w:p w14:paraId="556AEF9D">
            <w:pPr>
              <w:pStyle w:val="61"/>
            </w:pPr>
            <w:r>
              <w:rPr>
                <w:rFonts w:hint="eastAsia"/>
              </w:rPr>
              <w:t>25</w:t>
            </w:r>
          </w:p>
        </w:tc>
        <w:tc>
          <w:tcPr>
            <w:tcW w:w="851" w:type="dxa"/>
            <w:vAlign w:val="center"/>
          </w:tcPr>
          <w:p w14:paraId="248CBCB5">
            <w:pPr>
              <w:pStyle w:val="61"/>
            </w:pPr>
            <w:r>
              <w:rPr>
                <w:sz w:val="20"/>
                <w:szCs w:val="20"/>
              </w:rPr>
              <w:t>41.9</w:t>
            </w:r>
            <w:r>
              <w:rPr>
                <w:rFonts w:hint="eastAsia"/>
                <w:sz w:val="20"/>
                <w:szCs w:val="20"/>
              </w:rPr>
              <w:t>2</w:t>
            </w:r>
          </w:p>
        </w:tc>
        <w:tc>
          <w:tcPr>
            <w:tcW w:w="633" w:type="dxa"/>
            <w:vAlign w:val="center"/>
          </w:tcPr>
          <w:p w14:paraId="6BB0EDA9">
            <w:pPr>
              <w:pStyle w:val="61"/>
            </w:pPr>
            <w:r>
              <w:rPr>
                <w:rFonts w:hint="eastAsia"/>
              </w:rPr>
              <w:t>1</w:t>
            </w:r>
          </w:p>
        </w:tc>
      </w:tr>
      <w:tr w14:paraId="26C55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46" w:type="dxa"/>
            <w:vAlign w:val="center"/>
          </w:tcPr>
          <w:p w14:paraId="3C6E259F">
            <w:pPr>
              <w:pStyle w:val="61"/>
            </w:pPr>
            <w:r>
              <w:rPr>
                <w:rFonts w:hint="eastAsia"/>
              </w:rPr>
              <w:t>8</w:t>
            </w:r>
          </w:p>
        </w:tc>
        <w:tc>
          <w:tcPr>
            <w:tcW w:w="830" w:type="dxa"/>
            <w:vAlign w:val="center"/>
          </w:tcPr>
          <w:p w14:paraId="2FFB8B13">
            <w:pPr>
              <w:pStyle w:val="61"/>
            </w:pPr>
            <w:r>
              <w:rPr>
                <w:rFonts w:hint="eastAsia"/>
              </w:rPr>
              <w:t>8</w:t>
            </w:r>
            <w:r>
              <w:t>#</w:t>
            </w:r>
            <w:r>
              <w:rPr>
                <w:rFonts w:hint="eastAsia"/>
              </w:rPr>
              <w:t>鸡舍</w:t>
            </w:r>
          </w:p>
        </w:tc>
        <w:tc>
          <w:tcPr>
            <w:tcW w:w="1276" w:type="dxa"/>
            <w:vAlign w:val="center"/>
          </w:tcPr>
          <w:p w14:paraId="7ACBCF03">
            <w:pPr>
              <w:pStyle w:val="61"/>
            </w:pPr>
            <w:r>
              <w:rPr>
                <w:rFonts w:hint="eastAsia"/>
              </w:rPr>
              <w:t>鸡叫声</w:t>
            </w:r>
          </w:p>
        </w:tc>
        <w:tc>
          <w:tcPr>
            <w:tcW w:w="1417" w:type="dxa"/>
            <w:vAlign w:val="center"/>
          </w:tcPr>
          <w:p w14:paraId="5CD06438">
            <w:pPr>
              <w:pStyle w:val="61"/>
            </w:pPr>
            <w:r>
              <w:rPr>
                <w:rFonts w:hint="eastAsia"/>
              </w:rPr>
              <w:t>/</w:t>
            </w:r>
          </w:p>
        </w:tc>
        <w:tc>
          <w:tcPr>
            <w:tcW w:w="851" w:type="dxa"/>
            <w:vAlign w:val="center"/>
          </w:tcPr>
          <w:p w14:paraId="1D0B2585">
            <w:pPr>
              <w:pStyle w:val="61"/>
            </w:pPr>
            <w:r>
              <w:rPr>
                <w:rFonts w:hint="eastAsia"/>
                <w:color w:val="000000" w:themeColor="text1"/>
                <w:szCs w:val="21"/>
                <w14:textFill>
                  <w14:solidFill>
                    <w14:schemeClr w14:val="tx1"/>
                  </w14:solidFill>
                </w14:textFill>
              </w:rPr>
              <w:t>70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80</w:t>
            </w:r>
          </w:p>
        </w:tc>
        <w:tc>
          <w:tcPr>
            <w:tcW w:w="1701" w:type="dxa"/>
            <w:vMerge w:val="continue"/>
            <w:vAlign w:val="center"/>
          </w:tcPr>
          <w:p w14:paraId="6CED0416">
            <w:pPr>
              <w:pStyle w:val="61"/>
            </w:pPr>
          </w:p>
        </w:tc>
        <w:tc>
          <w:tcPr>
            <w:tcW w:w="850" w:type="dxa"/>
            <w:vAlign w:val="center"/>
          </w:tcPr>
          <w:p w14:paraId="0F1BC508">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114</w:t>
            </w:r>
          </w:p>
        </w:tc>
        <w:tc>
          <w:tcPr>
            <w:tcW w:w="851" w:type="dxa"/>
            <w:vAlign w:val="center"/>
          </w:tcPr>
          <w:p w14:paraId="59EFCB1B">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195</w:t>
            </w:r>
          </w:p>
        </w:tc>
        <w:tc>
          <w:tcPr>
            <w:tcW w:w="850" w:type="dxa"/>
            <w:vAlign w:val="center"/>
          </w:tcPr>
          <w:p w14:paraId="1D08DEC9">
            <w:pPr>
              <w:pStyle w:val="61"/>
            </w:pPr>
            <w:r>
              <w:rPr>
                <w:rFonts w:hint="eastAsia"/>
              </w:rPr>
              <w:t>1</w:t>
            </w:r>
          </w:p>
        </w:tc>
        <w:tc>
          <w:tcPr>
            <w:tcW w:w="851" w:type="dxa"/>
            <w:vAlign w:val="center"/>
          </w:tcPr>
          <w:p w14:paraId="77252DD9">
            <w:pPr>
              <w:pStyle w:val="61"/>
            </w:pPr>
            <w:r>
              <w:rPr>
                <w:rFonts w:hint="eastAsia"/>
              </w:rPr>
              <w:t>3</w:t>
            </w:r>
          </w:p>
        </w:tc>
        <w:tc>
          <w:tcPr>
            <w:tcW w:w="850" w:type="dxa"/>
            <w:vAlign w:val="center"/>
          </w:tcPr>
          <w:p w14:paraId="275F65FA">
            <w:pPr>
              <w:pStyle w:val="61"/>
            </w:pPr>
            <w:r>
              <w:t>66.9</w:t>
            </w:r>
            <w:r>
              <w:rPr>
                <w:rFonts w:hint="eastAsia"/>
              </w:rPr>
              <w:t>2</w:t>
            </w:r>
          </w:p>
        </w:tc>
        <w:tc>
          <w:tcPr>
            <w:tcW w:w="851" w:type="dxa"/>
            <w:vAlign w:val="center"/>
          </w:tcPr>
          <w:p w14:paraId="4A118D9A">
            <w:pPr>
              <w:pStyle w:val="61"/>
            </w:pPr>
            <w:r>
              <w:rPr>
                <w:rFonts w:hint="eastAsia"/>
              </w:rPr>
              <w:t>全天</w:t>
            </w:r>
          </w:p>
        </w:tc>
        <w:tc>
          <w:tcPr>
            <w:tcW w:w="850" w:type="dxa"/>
            <w:vAlign w:val="center"/>
          </w:tcPr>
          <w:p w14:paraId="7B7EA465">
            <w:pPr>
              <w:pStyle w:val="61"/>
            </w:pPr>
            <w:r>
              <w:rPr>
                <w:rFonts w:hint="eastAsia"/>
              </w:rPr>
              <w:t>25</w:t>
            </w:r>
          </w:p>
        </w:tc>
        <w:tc>
          <w:tcPr>
            <w:tcW w:w="851" w:type="dxa"/>
            <w:vAlign w:val="center"/>
          </w:tcPr>
          <w:p w14:paraId="006A3157">
            <w:pPr>
              <w:pStyle w:val="61"/>
            </w:pPr>
            <w:r>
              <w:rPr>
                <w:sz w:val="20"/>
                <w:szCs w:val="20"/>
              </w:rPr>
              <w:t>41.9</w:t>
            </w:r>
            <w:r>
              <w:rPr>
                <w:rFonts w:hint="eastAsia"/>
                <w:sz w:val="20"/>
                <w:szCs w:val="20"/>
              </w:rPr>
              <w:t>2</w:t>
            </w:r>
          </w:p>
        </w:tc>
        <w:tc>
          <w:tcPr>
            <w:tcW w:w="633" w:type="dxa"/>
            <w:vAlign w:val="center"/>
          </w:tcPr>
          <w:p w14:paraId="61796FB4">
            <w:pPr>
              <w:pStyle w:val="61"/>
            </w:pPr>
            <w:r>
              <w:rPr>
                <w:rFonts w:hint="eastAsia"/>
              </w:rPr>
              <w:t>1</w:t>
            </w:r>
          </w:p>
        </w:tc>
      </w:tr>
      <w:tr w14:paraId="254268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46" w:type="dxa"/>
            <w:vAlign w:val="center"/>
          </w:tcPr>
          <w:p w14:paraId="175D09AA">
            <w:pPr>
              <w:pStyle w:val="61"/>
            </w:pPr>
            <w:r>
              <w:rPr>
                <w:rFonts w:hint="eastAsia"/>
              </w:rPr>
              <w:t>9</w:t>
            </w:r>
          </w:p>
        </w:tc>
        <w:tc>
          <w:tcPr>
            <w:tcW w:w="830" w:type="dxa"/>
            <w:vAlign w:val="center"/>
          </w:tcPr>
          <w:p w14:paraId="697C79E3">
            <w:pPr>
              <w:pStyle w:val="61"/>
            </w:pPr>
            <w:r>
              <w:rPr>
                <w:rFonts w:hint="eastAsia"/>
              </w:rPr>
              <w:t>9</w:t>
            </w:r>
            <w:r>
              <w:t>#</w:t>
            </w:r>
            <w:r>
              <w:rPr>
                <w:rFonts w:hint="eastAsia"/>
              </w:rPr>
              <w:t>鸡舍</w:t>
            </w:r>
          </w:p>
        </w:tc>
        <w:tc>
          <w:tcPr>
            <w:tcW w:w="1276" w:type="dxa"/>
            <w:vAlign w:val="center"/>
          </w:tcPr>
          <w:p w14:paraId="0974A466">
            <w:pPr>
              <w:pStyle w:val="61"/>
            </w:pPr>
            <w:r>
              <w:rPr>
                <w:rFonts w:hint="eastAsia"/>
              </w:rPr>
              <w:t>鸡叫声</w:t>
            </w:r>
          </w:p>
        </w:tc>
        <w:tc>
          <w:tcPr>
            <w:tcW w:w="1417" w:type="dxa"/>
            <w:vAlign w:val="center"/>
          </w:tcPr>
          <w:p w14:paraId="0490AE20">
            <w:pPr>
              <w:pStyle w:val="61"/>
            </w:pPr>
            <w:r>
              <w:rPr>
                <w:rFonts w:hint="eastAsia"/>
              </w:rPr>
              <w:t>/</w:t>
            </w:r>
          </w:p>
        </w:tc>
        <w:tc>
          <w:tcPr>
            <w:tcW w:w="851" w:type="dxa"/>
            <w:vAlign w:val="center"/>
          </w:tcPr>
          <w:p w14:paraId="5BEE272C">
            <w:pPr>
              <w:pStyle w:val="61"/>
            </w:pPr>
            <w:r>
              <w:rPr>
                <w:rFonts w:hint="eastAsia"/>
                <w:color w:val="000000" w:themeColor="text1"/>
                <w:szCs w:val="21"/>
                <w14:textFill>
                  <w14:solidFill>
                    <w14:schemeClr w14:val="tx1"/>
                  </w14:solidFill>
                </w14:textFill>
              </w:rPr>
              <w:t>70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80</w:t>
            </w:r>
          </w:p>
        </w:tc>
        <w:tc>
          <w:tcPr>
            <w:tcW w:w="1701" w:type="dxa"/>
            <w:vMerge w:val="continue"/>
            <w:vAlign w:val="center"/>
          </w:tcPr>
          <w:p w14:paraId="155A76A6">
            <w:pPr>
              <w:pStyle w:val="61"/>
            </w:pPr>
          </w:p>
        </w:tc>
        <w:tc>
          <w:tcPr>
            <w:tcW w:w="850" w:type="dxa"/>
            <w:vAlign w:val="center"/>
          </w:tcPr>
          <w:p w14:paraId="6F82A222">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116</w:t>
            </w:r>
          </w:p>
        </w:tc>
        <w:tc>
          <w:tcPr>
            <w:tcW w:w="851" w:type="dxa"/>
            <w:vAlign w:val="center"/>
          </w:tcPr>
          <w:p w14:paraId="626321F9">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218</w:t>
            </w:r>
          </w:p>
        </w:tc>
        <w:tc>
          <w:tcPr>
            <w:tcW w:w="850" w:type="dxa"/>
            <w:vAlign w:val="center"/>
          </w:tcPr>
          <w:p w14:paraId="0F68F80E">
            <w:pPr>
              <w:pStyle w:val="61"/>
            </w:pPr>
            <w:r>
              <w:rPr>
                <w:rFonts w:hint="eastAsia"/>
              </w:rPr>
              <w:t>1</w:t>
            </w:r>
          </w:p>
        </w:tc>
        <w:tc>
          <w:tcPr>
            <w:tcW w:w="851" w:type="dxa"/>
            <w:vAlign w:val="center"/>
          </w:tcPr>
          <w:p w14:paraId="48E2CAC5">
            <w:pPr>
              <w:pStyle w:val="61"/>
            </w:pPr>
            <w:r>
              <w:rPr>
                <w:rFonts w:hint="eastAsia"/>
              </w:rPr>
              <w:t>3</w:t>
            </w:r>
          </w:p>
        </w:tc>
        <w:tc>
          <w:tcPr>
            <w:tcW w:w="850" w:type="dxa"/>
            <w:vAlign w:val="center"/>
          </w:tcPr>
          <w:p w14:paraId="33719223">
            <w:pPr>
              <w:pStyle w:val="61"/>
            </w:pPr>
            <w:r>
              <w:t>66.9</w:t>
            </w:r>
            <w:r>
              <w:rPr>
                <w:rFonts w:hint="eastAsia"/>
              </w:rPr>
              <w:t>2</w:t>
            </w:r>
          </w:p>
        </w:tc>
        <w:tc>
          <w:tcPr>
            <w:tcW w:w="851" w:type="dxa"/>
            <w:vAlign w:val="center"/>
          </w:tcPr>
          <w:p w14:paraId="012A7FCE">
            <w:pPr>
              <w:pStyle w:val="61"/>
            </w:pPr>
            <w:r>
              <w:rPr>
                <w:rFonts w:hint="eastAsia"/>
              </w:rPr>
              <w:t>全天</w:t>
            </w:r>
          </w:p>
        </w:tc>
        <w:tc>
          <w:tcPr>
            <w:tcW w:w="850" w:type="dxa"/>
            <w:vAlign w:val="center"/>
          </w:tcPr>
          <w:p w14:paraId="744F2A08">
            <w:pPr>
              <w:pStyle w:val="61"/>
            </w:pPr>
            <w:r>
              <w:rPr>
                <w:rFonts w:hint="eastAsia"/>
              </w:rPr>
              <w:t>25</w:t>
            </w:r>
          </w:p>
        </w:tc>
        <w:tc>
          <w:tcPr>
            <w:tcW w:w="851" w:type="dxa"/>
            <w:vAlign w:val="center"/>
          </w:tcPr>
          <w:p w14:paraId="09BE3EC8">
            <w:pPr>
              <w:pStyle w:val="61"/>
            </w:pPr>
            <w:r>
              <w:rPr>
                <w:sz w:val="20"/>
                <w:szCs w:val="20"/>
              </w:rPr>
              <w:t>41.9</w:t>
            </w:r>
            <w:r>
              <w:rPr>
                <w:rFonts w:hint="eastAsia"/>
                <w:sz w:val="20"/>
                <w:szCs w:val="20"/>
              </w:rPr>
              <w:t>2</w:t>
            </w:r>
          </w:p>
        </w:tc>
        <w:tc>
          <w:tcPr>
            <w:tcW w:w="633" w:type="dxa"/>
            <w:vAlign w:val="center"/>
          </w:tcPr>
          <w:p w14:paraId="53F810B2">
            <w:pPr>
              <w:pStyle w:val="61"/>
            </w:pPr>
            <w:r>
              <w:rPr>
                <w:rFonts w:hint="eastAsia"/>
              </w:rPr>
              <w:t>1</w:t>
            </w:r>
          </w:p>
        </w:tc>
      </w:tr>
      <w:tr w14:paraId="44920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46" w:type="dxa"/>
            <w:vAlign w:val="center"/>
          </w:tcPr>
          <w:p w14:paraId="49B8DEA5">
            <w:pPr>
              <w:pStyle w:val="61"/>
            </w:pPr>
            <w:r>
              <w:rPr>
                <w:rFonts w:hint="eastAsia"/>
              </w:rPr>
              <w:t>10</w:t>
            </w:r>
          </w:p>
        </w:tc>
        <w:tc>
          <w:tcPr>
            <w:tcW w:w="830" w:type="dxa"/>
            <w:vAlign w:val="center"/>
          </w:tcPr>
          <w:p w14:paraId="78BB8EEF">
            <w:pPr>
              <w:pStyle w:val="61"/>
            </w:pPr>
            <w:r>
              <w:rPr>
                <w:rFonts w:hint="eastAsia"/>
              </w:rPr>
              <w:t>10</w:t>
            </w:r>
            <w:r>
              <w:t>#</w:t>
            </w:r>
            <w:r>
              <w:rPr>
                <w:rFonts w:hint="eastAsia"/>
              </w:rPr>
              <w:t>鸡舍</w:t>
            </w:r>
          </w:p>
        </w:tc>
        <w:tc>
          <w:tcPr>
            <w:tcW w:w="1276" w:type="dxa"/>
            <w:vAlign w:val="center"/>
          </w:tcPr>
          <w:p w14:paraId="272AF0FB">
            <w:pPr>
              <w:pStyle w:val="61"/>
            </w:pPr>
            <w:r>
              <w:rPr>
                <w:rFonts w:hint="eastAsia"/>
              </w:rPr>
              <w:t>鸡叫声</w:t>
            </w:r>
          </w:p>
        </w:tc>
        <w:tc>
          <w:tcPr>
            <w:tcW w:w="1417" w:type="dxa"/>
            <w:vAlign w:val="center"/>
          </w:tcPr>
          <w:p w14:paraId="5EC8F572">
            <w:pPr>
              <w:pStyle w:val="61"/>
            </w:pPr>
            <w:r>
              <w:rPr>
                <w:rFonts w:hint="eastAsia"/>
              </w:rPr>
              <w:t>/</w:t>
            </w:r>
          </w:p>
        </w:tc>
        <w:tc>
          <w:tcPr>
            <w:tcW w:w="851" w:type="dxa"/>
            <w:vAlign w:val="center"/>
          </w:tcPr>
          <w:p w14:paraId="5FD5F2A3">
            <w:pPr>
              <w:pStyle w:val="61"/>
            </w:pPr>
            <w:r>
              <w:rPr>
                <w:rFonts w:hint="eastAsia"/>
                <w:color w:val="000000" w:themeColor="text1"/>
                <w:szCs w:val="21"/>
                <w14:textFill>
                  <w14:solidFill>
                    <w14:schemeClr w14:val="tx1"/>
                  </w14:solidFill>
                </w14:textFill>
              </w:rPr>
              <w:t>70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80</w:t>
            </w:r>
          </w:p>
        </w:tc>
        <w:tc>
          <w:tcPr>
            <w:tcW w:w="1701" w:type="dxa"/>
            <w:vMerge w:val="continue"/>
            <w:vAlign w:val="center"/>
          </w:tcPr>
          <w:p w14:paraId="1DDFF04D">
            <w:pPr>
              <w:pStyle w:val="61"/>
            </w:pPr>
          </w:p>
        </w:tc>
        <w:tc>
          <w:tcPr>
            <w:tcW w:w="850" w:type="dxa"/>
            <w:vAlign w:val="center"/>
          </w:tcPr>
          <w:p w14:paraId="2581B534">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118</w:t>
            </w:r>
          </w:p>
        </w:tc>
        <w:tc>
          <w:tcPr>
            <w:tcW w:w="851" w:type="dxa"/>
            <w:vAlign w:val="center"/>
          </w:tcPr>
          <w:p w14:paraId="7DE85E27">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241</w:t>
            </w:r>
          </w:p>
        </w:tc>
        <w:tc>
          <w:tcPr>
            <w:tcW w:w="850" w:type="dxa"/>
            <w:vAlign w:val="center"/>
          </w:tcPr>
          <w:p w14:paraId="4175A711">
            <w:pPr>
              <w:pStyle w:val="61"/>
            </w:pPr>
            <w:r>
              <w:rPr>
                <w:rFonts w:hint="eastAsia"/>
              </w:rPr>
              <w:t>1</w:t>
            </w:r>
          </w:p>
        </w:tc>
        <w:tc>
          <w:tcPr>
            <w:tcW w:w="851" w:type="dxa"/>
            <w:vAlign w:val="center"/>
          </w:tcPr>
          <w:p w14:paraId="352ACC15">
            <w:pPr>
              <w:pStyle w:val="61"/>
            </w:pPr>
            <w:r>
              <w:rPr>
                <w:rFonts w:hint="eastAsia"/>
              </w:rPr>
              <w:t>3</w:t>
            </w:r>
          </w:p>
        </w:tc>
        <w:tc>
          <w:tcPr>
            <w:tcW w:w="850" w:type="dxa"/>
            <w:vAlign w:val="center"/>
          </w:tcPr>
          <w:p w14:paraId="647A5597">
            <w:pPr>
              <w:pStyle w:val="61"/>
            </w:pPr>
            <w:r>
              <w:t>66.9</w:t>
            </w:r>
            <w:r>
              <w:rPr>
                <w:rFonts w:hint="eastAsia"/>
              </w:rPr>
              <w:t>2</w:t>
            </w:r>
          </w:p>
        </w:tc>
        <w:tc>
          <w:tcPr>
            <w:tcW w:w="851" w:type="dxa"/>
            <w:vAlign w:val="center"/>
          </w:tcPr>
          <w:p w14:paraId="5A76F336">
            <w:pPr>
              <w:pStyle w:val="61"/>
            </w:pPr>
            <w:r>
              <w:rPr>
                <w:rFonts w:hint="eastAsia"/>
              </w:rPr>
              <w:t>全天</w:t>
            </w:r>
          </w:p>
        </w:tc>
        <w:tc>
          <w:tcPr>
            <w:tcW w:w="850" w:type="dxa"/>
            <w:vAlign w:val="center"/>
          </w:tcPr>
          <w:p w14:paraId="7C5658C2">
            <w:pPr>
              <w:pStyle w:val="61"/>
            </w:pPr>
            <w:r>
              <w:rPr>
                <w:rFonts w:hint="eastAsia"/>
              </w:rPr>
              <w:t>25</w:t>
            </w:r>
          </w:p>
        </w:tc>
        <w:tc>
          <w:tcPr>
            <w:tcW w:w="851" w:type="dxa"/>
            <w:vAlign w:val="center"/>
          </w:tcPr>
          <w:p w14:paraId="71F8681A">
            <w:pPr>
              <w:pStyle w:val="61"/>
            </w:pPr>
            <w:r>
              <w:rPr>
                <w:sz w:val="20"/>
                <w:szCs w:val="20"/>
              </w:rPr>
              <w:t>41.9</w:t>
            </w:r>
            <w:r>
              <w:rPr>
                <w:rFonts w:hint="eastAsia"/>
                <w:sz w:val="20"/>
                <w:szCs w:val="20"/>
              </w:rPr>
              <w:t>2</w:t>
            </w:r>
          </w:p>
        </w:tc>
        <w:tc>
          <w:tcPr>
            <w:tcW w:w="633" w:type="dxa"/>
            <w:vAlign w:val="center"/>
          </w:tcPr>
          <w:p w14:paraId="20A81DA6">
            <w:pPr>
              <w:pStyle w:val="61"/>
            </w:pPr>
            <w:r>
              <w:rPr>
                <w:rFonts w:hint="eastAsia"/>
              </w:rPr>
              <w:t>1</w:t>
            </w:r>
          </w:p>
        </w:tc>
      </w:tr>
      <w:tr w14:paraId="31C95D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46" w:type="dxa"/>
            <w:vAlign w:val="center"/>
          </w:tcPr>
          <w:p w14:paraId="09D92413">
            <w:pPr>
              <w:pStyle w:val="61"/>
            </w:pPr>
            <w:r>
              <w:rPr>
                <w:rFonts w:hint="eastAsia"/>
              </w:rPr>
              <w:t>11</w:t>
            </w:r>
          </w:p>
        </w:tc>
        <w:tc>
          <w:tcPr>
            <w:tcW w:w="830" w:type="dxa"/>
            <w:vAlign w:val="center"/>
          </w:tcPr>
          <w:p w14:paraId="3FBDBC87">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锅炉房</w:t>
            </w:r>
          </w:p>
        </w:tc>
        <w:tc>
          <w:tcPr>
            <w:tcW w:w="1276" w:type="dxa"/>
            <w:vAlign w:val="center"/>
          </w:tcPr>
          <w:p w14:paraId="7F9ADC3B">
            <w:pPr>
              <w:pStyle w:val="6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电热水锅炉</w:t>
            </w:r>
          </w:p>
        </w:tc>
        <w:tc>
          <w:tcPr>
            <w:tcW w:w="1417" w:type="dxa"/>
            <w:vAlign w:val="center"/>
          </w:tcPr>
          <w:p w14:paraId="425A8719">
            <w:pPr>
              <w:pStyle w:val="61"/>
              <w:rPr>
                <w:color w:val="000000" w:themeColor="text1"/>
                <w14:textFill>
                  <w14:solidFill>
                    <w14:schemeClr w14:val="tx1"/>
                  </w14:solidFill>
                </w14:textFill>
              </w:rPr>
            </w:pPr>
            <w:r>
              <w:rPr>
                <w:rFonts w:hint="eastAsia"/>
                <w:color w:val="000000" w:themeColor="text1"/>
                <w14:textFill>
                  <w14:solidFill>
                    <w14:schemeClr w14:val="tx1"/>
                  </w14:solidFill>
                </w14:textFill>
              </w:rPr>
              <w:t>4t/h（1台）</w:t>
            </w:r>
          </w:p>
        </w:tc>
        <w:tc>
          <w:tcPr>
            <w:tcW w:w="851" w:type="dxa"/>
            <w:vAlign w:val="center"/>
          </w:tcPr>
          <w:p w14:paraId="4EA746FB">
            <w:pPr>
              <w:pStyle w:val="61"/>
              <w:rPr>
                <w:color w:val="000000" w:themeColor="text1"/>
                <w14:textFill>
                  <w14:solidFill>
                    <w14:schemeClr w14:val="tx1"/>
                  </w14:solidFill>
                </w14:textFill>
              </w:rPr>
            </w:pPr>
            <w:r>
              <w:rPr>
                <w:color w:val="000000" w:themeColor="text1"/>
                <w14:textFill>
                  <w14:solidFill>
                    <w14:schemeClr w14:val="tx1"/>
                  </w14:solidFill>
                </w14:textFill>
              </w:rPr>
              <w:t>70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80</w:t>
            </w:r>
          </w:p>
        </w:tc>
        <w:tc>
          <w:tcPr>
            <w:tcW w:w="1701" w:type="dxa"/>
            <w:vAlign w:val="center"/>
          </w:tcPr>
          <w:p w14:paraId="6BD4AD66">
            <w:pPr>
              <w:pStyle w:val="61"/>
            </w:pPr>
            <w:r>
              <w:rPr>
                <w:bCs/>
                <w:color w:val="000000" w:themeColor="text1"/>
                <w:szCs w:val="21"/>
                <w14:textFill>
                  <w14:solidFill>
                    <w14:schemeClr w14:val="tx1"/>
                  </w14:solidFill>
                </w14:textFill>
              </w:rPr>
              <w:t>建筑隔声、消声、减震</w:t>
            </w:r>
          </w:p>
        </w:tc>
        <w:tc>
          <w:tcPr>
            <w:tcW w:w="850" w:type="dxa"/>
            <w:vAlign w:val="center"/>
          </w:tcPr>
          <w:p w14:paraId="04680D91">
            <w:pPr>
              <w:pStyle w:val="61"/>
            </w:pPr>
            <w:r>
              <w:rPr>
                <w:rFonts w:hint="eastAsia"/>
              </w:rPr>
              <w:t>165</w:t>
            </w:r>
          </w:p>
        </w:tc>
        <w:tc>
          <w:tcPr>
            <w:tcW w:w="851" w:type="dxa"/>
            <w:vAlign w:val="center"/>
          </w:tcPr>
          <w:p w14:paraId="2738E03D">
            <w:pPr>
              <w:pStyle w:val="61"/>
            </w:pPr>
            <w:r>
              <w:rPr>
                <w:rFonts w:hint="eastAsia"/>
              </w:rPr>
              <w:t>115</w:t>
            </w:r>
          </w:p>
        </w:tc>
        <w:tc>
          <w:tcPr>
            <w:tcW w:w="850" w:type="dxa"/>
            <w:vAlign w:val="center"/>
          </w:tcPr>
          <w:p w14:paraId="556857FF">
            <w:pPr>
              <w:pStyle w:val="61"/>
            </w:pPr>
            <w:r>
              <w:rPr>
                <w:rFonts w:hint="eastAsia"/>
              </w:rPr>
              <w:t>1.5</w:t>
            </w:r>
          </w:p>
        </w:tc>
        <w:tc>
          <w:tcPr>
            <w:tcW w:w="851" w:type="dxa"/>
            <w:vAlign w:val="center"/>
          </w:tcPr>
          <w:p w14:paraId="0D4D99EE">
            <w:pPr>
              <w:pStyle w:val="61"/>
            </w:pPr>
            <w:r>
              <w:rPr>
                <w:rFonts w:hint="eastAsia"/>
              </w:rPr>
              <w:t>E/5</w:t>
            </w:r>
          </w:p>
        </w:tc>
        <w:tc>
          <w:tcPr>
            <w:tcW w:w="850" w:type="dxa"/>
            <w:vAlign w:val="center"/>
          </w:tcPr>
          <w:p w14:paraId="5C388A44">
            <w:pPr>
              <w:pStyle w:val="61"/>
            </w:pPr>
            <w:r>
              <w:rPr>
                <w:rFonts w:hint="eastAsia"/>
              </w:rPr>
              <w:t>65.86</w:t>
            </w:r>
          </w:p>
        </w:tc>
        <w:tc>
          <w:tcPr>
            <w:tcW w:w="851" w:type="dxa"/>
            <w:vAlign w:val="center"/>
          </w:tcPr>
          <w:p w14:paraId="0E3B6954">
            <w:pPr>
              <w:pStyle w:val="61"/>
            </w:pPr>
            <w:r>
              <w:rPr>
                <w:rFonts w:hint="eastAsia"/>
              </w:rPr>
              <w:t>生产时段</w:t>
            </w:r>
          </w:p>
        </w:tc>
        <w:tc>
          <w:tcPr>
            <w:tcW w:w="850" w:type="dxa"/>
            <w:vAlign w:val="center"/>
          </w:tcPr>
          <w:p w14:paraId="3D3F1786">
            <w:pPr>
              <w:pStyle w:val="61"/>
            </w:pPr>
            <w:r>
              <w:rPr>
                <w:rFonts w:hint="eastAsia"/>
              </w:rPr>
              <w:t>25</w:t>
            </w:r>
          </w:p>
        </w:tc>
        <w:tc>
          <w:tcPr>
            <w:tcW w:w="851" w:type="dxa"/>
            <w:vAlign w:val="center"/>
          </w:tcPr>
          <w:p w14:paraId="719B8A25">
            <w:pPr>
              <w:pStyle w:val="61"/>
            </w:pPr>
            <w:r>
              <w:rPr>
                <w:rFonts w:hint="eastAsia"/>
              </w:rPr>
              <w:t>40.86</w:t>
            </w:r>
          </w:p>
        </w:tc>
        <w:tc>
          <w:tcPr>
            <w:tcW w:w="633" w:type="dxa"/>
            <w:vAlign w:val="center"/>
          </w:tcPr>
          <w:p w14:paraId="0637D347">
            <w:pPr>
              <w:pStyle w:val="61"/>
            </w:pPr>
            <w:r>
              <w:rPr>
                <w:rFonts w:hint="eastAsia"/>
              </w:rPr>
              <w:t>1</w:t>
            </w:r>
          </w:p>
        </w:tc>
      </w:tr>
    </w:tbl>
    <w:p w14:paraId="2A0463C3">
      <w:pPr>
        <w:spacing w:line="360" w:lineRule="exact"/>
        <w:ind w:firstLine="420" w:firstLineChars="200"/>
        <w:rPr>
          <w:sz w:val="21"/>
          <w:szCs w:val="21"/>
        </w:rPr>
      </w:pPr>
      <w:r>
        <w:rPr>
          <w:rFonts w:hint="eastAsia"/>
          <w:sz w:val="21"/>
          <w:szCs w:val="21"/>
        </w:rPr>
        <w:t>注</w:t>
      </w:r>
      <w:r>
        <w:rPr>
          <w:sz w:val="21"/>
          <w:szCs w:val="21"/>
        </w:rPr>
        <w:t>：</w:t>
      </w:r>
      <w:r>
        <w:rPr>
          <w:color w:val="000000"/>
          <w:sz w:val="21"/>
          <w:szCs w:val="21"/>
        </w:rPr>
        <w:t>空间相对位置以厂房西南角为坐标原点，正东向为X轴正方向，正北向为Y轴正方向。</w:t>
      </w:r>
    </w:p>
    <w:p w14:paraId="02D5CC3A">
      <w:pPr>
        <w:widowControl/>
        <w:spacing w:line="500" w:lineRule="exact"/>
        <w:jc w:val="center"/>
        <w:rPr>
          <w:rFonts w:ascii="Times New Roman"/>
          <w:b/>
          <w:color w:val="000000"/>
          <w:szCs w:val="24"/>
        </w:rPr>
      </w:pPr>
      <w:r>
        <w:rPr>
          <w:rFonts w:ascii="Times New Roman"/>
          <w:b/>
          <w:color w:val="000000"/>
          <w:szCs w:val="24"/>
        </w:rPr>
        <w:t>表5.</w:t>
      </w:r>
      <w:r>
        <w:rPr>
          <w:rFonts w:hint="eastAsia" w:ascii="Times New Roman"/>
          <w:b/>
          <w:color w:val="000000"/>
          <w:szCs w:val="24"/>
        </w:rPr>
        <w:t>4-2</w:t>
      </w:r>
      <w:r>
        <w:rPr>
          <w:rFonts w:ascii="Times New Roman"/>
          <w:b/>
          <w:color w:val="000000"/>
          <w:szCs w:val="24"/>
        </w:rPr>
        <w:t xml:space="preserve"> </w:t>
      </w:r>
      <w:r>
        <w:rPr>
          <w:rFonts w:hint="eastAsia" w:ascii="Times New Roman"/>
          <w:b/>
          <w:color w:val="000000"/>
          <w:szCs w:val="24"/>
        </w:rPr>
        <w:t>项目</w:t>
      </w:r>
      <w:r>
        <w:rPr>
          <w:rFonts w:ascii="Times New Roman"/>
          <w:b/>
          <w:color w:val="000000"/>
          <w:szCs w:val="24"/>
        </w:rPr>
        <w:t>噪声源强调查清单（室外声源）</w:t>
      </w:r>
    </w:p>
    <w:tbl>
      <w:tblPr>
        <w:tblStyle w:val="41"/>
        <w:tblW w:w="4997" w:type="pct"/>
        <w:jc w:val="center"/>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autofit"/>
        <w:tblCellMar>
          <w:top w:w="0" w:type="dxa"/>
          <w:left w:w="11" w:type="dxa"/>
          <w:bottom w:w="0" w:type="dxa"/>
          <w:right w:w="11" w:type="dxa"/>
        </w:tblCellMar>
      </w:tblPr>
      <w:tblGrid>
        <w:gridCol w:w="579"/>
        <w:gridCol w:w="2075"/>
        <w:gridCol w:w="1370"/>
        <w:gridCol w:w="1499"/>
        <w:gridCol w:w="1236"/>
        <w:gridCol w:w="1191"/>
        <w:gridCol w:w="1823"/>
        <w:gridCol w:w="2783"/>
        <w:gridCol w:w="1416"/>
      </w:tblGrid>
      <w:tr w14:paraId="10696719">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07" w:type="pct"/>
            <w:vMerge w:val="restart"/>
            <w:vAlign w:val="center"/>
          </w:tcPr>
          <w:p w14:paraId="26D25318">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序号</w:t>
            </w:r>
          </w:p>
        </w:tc>
        <w:tc>
          <w:tcPr>
            <w:tcW w:w="742" w:type="pct"/>
            <w:vMerge w:val="restart"/>
            <w:vAlign w:val="center"/>
          </w:tcPr>
          <w:p w14:paraId="0FA0FB4E">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声源名称</w:t>
            </w:r>
          </w:p>
        </w:tc>
        <w:tc>
          <w:tcPr>
            <w:tcW w:w="490" w:type="pct"/>
            <w:vMerge w:val="restart"/>
            <w:vAlign w:val="center"/>
          </w:tcPr>
          <w:p w14:paraId="306715A2">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型号</w:t>
            </w:r>
          </w:p>
        </w:tc>
        <w:tc>
          <w:tcPr>
            <w:tcW w:w="1404" w:type="pct"/>
            <w:gridSpan w:val="3"/>
            <w:vAlign w:val="center"/>
          </w:tcPr>
          <w:p w14:paraId="3756A827">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空间相对位置/m</w:t>
            </w:r>
          </w:p>
        </w:tc>
        <w:tc>
          <w:tcPr>
            <w:tcW w:w="652" w:type="pct"/>
            <w:vAlign w:val="center"/>
          </w:tcPr>
          <w:p w14:paraId="129B4736">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声源源强</w:t>
            </w:r>
          </w:p>
        </w:tc>
        <w:tc>
          <w:tcPr>
            <w:tcW w:w="995" w:type="pct"/>
            <w:vMerge w:val="restart"/>
            <w:vAlign w:val="center"/>
          </w:tcPr>
          <w:p w14:paraId="33E662D4">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声源控制措施</w:t>
            </w:r>
          </w:p>
        </w:tc>
        <w:tc>
          <w:tcPr>
            <w:tcW w:w="506" w:type="pct"/>
            <w:vMerge w:val="restart"/>
            <w:vAlign w:val="center"/>
          </w:tcPr>
          <w:p w14:paraId="41810BAA">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运行时段</w:t>
            </w:r>
          </w:p>
        </w:tc>
      </w:tr>
      <w:tr w14:paraId="505BA64D">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07" w:type="pct"/>
            <w:vMerge w:val="continue"/>
            <w:vAlign w:val="center"/>
          </w:tcPr>
          <w:p w14:paraId="0C69D756">
            <w:pPr>
              <w:pStyle w:val="89"/>
              <w:rPr>
                <w:rFonts w:ascii="Times New Roman" w:hAnsi="Times New Roman" w:eastAsia="宋体" w:cs="Times New Roman"/>
                <w:color w:val="000000"/>
                <w:sz w:val="21"/>
                <w:szCs w:val="21"/>
              </w:rPr>
            </w:pPr>
          </w:p>
        </w:tc>
        <w:tc>
          <w:tcPr>
            <w:tcW w:w="742" w:type="pct"/>
            <w:vMerge w:val="continue"/>
            <w:vAlign w:val="center"/>
          </w:tcPr>
          <w:p w14:paraId="44F2211F">
            <w:pPr>
              <w:pStyle w:val="89"/>
              <w:rPr>
                <w:rFonts w:ascii="Times New Roman" w:hAnsi="Times New Roman" w:eastAsia="宋体" w:cs="Times New Roman"/>
                <w:color w:val="000000"/>
                <w:sz w:val="21"/>
                <w:szCs w:val="21"/>
              </w:rPr>
            </w:pPr>
          </w:p>
        </w:tc>
        <w:tc>
          <w:tcPr>
            <w:tcW w:w="490" w:type="pct"/>
            <w:vMerge w:val="continue"/>
            <w:vAlign w:val="center"/>
          </w:tcPr>
          <w:p w14:paraId="648F0778">
            <w:pPr>
              <w:pStyle w:val="89"/>
              <w:rPr>
                <w:rFonts w:ascii="Times New Roman" w:hAnsi="Times New Roman" w:eastAsia="宋体" w:cs="Times New Roman"/>
                <w:color w:val="000000"/>
                <w:sz w:val="21"/>
                <w:szCs w:val="21"/>
              </w:rPr>
            </w:pPr>
          </w:p>
        </w:tc>
        <w:tc>
          <w:tcPr>
            <w:tcW w:w="536" w:type="pct"/>
            <w:vAlign w:val="center"/>
          </w:tcPr>
          <w:p w14:paraId="616331EF">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X</w:t>
            </w:r>
          </w:p>
        </w:tc>
        <w:tc>
          <w:tcPr>
            <w:tcW w:w="442" w:type="pct"/>
            <w:vAlign w:val="center"/>
          </w:tcPr>
          <w:p w14:paraId="20D35370">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Y</w:t>
            </w:r>
          </w:p>
        </w:tc>
        <w:tc>
          <w:tcPr>
            <w:tcW w:w="426" w:type="pct"/>
            <w:vAlign w:val="center"/>
          </w:tcPr>
          <w:p w14:paraId="72C448EC">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Z</w:t>
            </w:r>
          </w:p>
        </w:tc>
        <w:tc>
          <w:tcPr>
            <w:tcW w:w="652" w:type="pct"/>
            <w:vAlign w:val="center"/>
          </w:tcPr>
          <w:p w14:paraId="1908961E">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声功率级/dB(A)</w:t>
            </w:r>
          </w:p>
        </w:tc>
        <w:tc>
          <w:tcPr>
            <w:tcW w:w="995" w:type="pct"/>
            <w:vMerge w:val="continue"/>
            <w:vAlign w:val="center"/>
          </w:tcPr>
          <w:p w14:paraId="71ADA39A">
            <w:pPr>
              <w:pStyle w:val="89"/>
              <w:rPr>
                <w:rFonts w:ascii="Times New Roman" w:hAnsi="Times New Roman" w:eastAsia="宋体" w:cs="Times New Roman"/>
                <w:color w:val="000000"/>
                <w:sz w:val="21"/>
                <w:szCs w:val="21"/>
              </w:rPr>
            </w:pPr>
          </w:p>
        </w:tc>
        <w:tc>
          <w:tcPr>
            <w:tcW w:w="506" w:type="pct"/>
            <w:vMerge w:val="continue"/>
            <w:vAlign w:val="center"/>
          </w:tcPr>
          <w:p w14:paraId="04EB38FE">
            <w:pPr>
              <w:pStyle w:val="89"/>
              <w:rPr>
                <w:rFonts w:ascii="Times New Roman" w:hAnsi="Times New Roman" w:eastAsia="宋体" w:cs="Times New Roman"/>
                <w:color w:val="000000"/>
                <w:sz w:val="21"/>
                <w:szCs w:val="21"/>
              </w:rPr>
            </w:pPr>
          </w:p>
        </w:tc>
      </w:tr>
      <w:tr w14:paraId="7A0F4C85">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07" w:type="pct"/>
            <w:vAlign w:val="center"/>
          </w:tcPr>
          <w:p w14:paraId="0AD5C8DE">
            <w:pPr>
              <w:pStyle w:val="89"/>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1</w:t>
            </w:r>
          </w:p>
        </w:tc>
        <w:tc>
          <w:tcPr>
            <w:tcW w:w="742" w:type="pct"/>
            <w:vAlign w:val="center"/>
          </w:tcPr>
          <w:p w14:paraId="17023BCF">
            <w:pPr>
              <w:adjustRightIn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风机（若干）</w:t>
            </w:r>
          </w:p>
        </w:tc>
        <w:tc>
          <w:tcPr>
            <w:tcW w:w="490" w:type="pct"/>
            <w:vAlign w:val="center"/>
          </w:tcPr>
          <w:p w14:paraId="0A2DBAD5">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36" w:type="pct"/>
            <w:vAlign w:val="center"/>
          </w:tcPr>
          <w:p w14:paraId="067EEA21">
            <w:pPr>
              <w:pStyle w:val="89"/>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150</w:t>
            </w:r>
          </w:p>
        </w:tc>
        <w:tc>
          <w:tcPr>
            <w:tcW w:w="442" w:type="pct"/>
            <w:vAlign w:val="center"/>
          </w:tcPr>
          <w:p w14:paraId="5B453015">
            <w:pPr>
              <w:pStyle w:val="89"/>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3</w:t>
            </w:r>
          </w:p>
        </w:tc>
        <w:tc>
          <w:tcPr>
            <w:tcW w:w="426" w:type="pct"/>
            <w:vAlign w:val="center"/>
          </w:tcPr>
          <w:p w14:paraId="3C109D3D">
            <w:pPr>
              <w:pStyle w:val="89"/>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3</w:t>
            </w:r>
          </w:p>
        </w:tc>
        <w:tc>
          <w:tcPr>
            <w:tcW w:w="652" w:type="pct"/>
            <w:vAlign w:val="center"/>
          </w:tcPr>
          <w:p w14:paraId="317FA8C7">
            <w:pPr>
              <w:adjustRightInd w:val="0"/>
              <w:spacing w:line="300" w:lineRule="exact"/>
              <w:jc w:val="center"/>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themeColor="text1"/>
                <w:sz w:val="21"/>
                <w:szCs w:val="21"/>
                <w14:textFill>
                  <w14:solidFill>
                    <w14:schemeClr w14:val="tx1"/>
                  </w14:solidFill>
                </w14:textFill>
              </w:rPr>
              <w:t>75</w:t>
            </w:r>
            <w:r>
              <w:rPr>
                <w:rFonts w:ascii="Times New Roman" w:hAnsi="Times New Roman" w:eastAsia="宋体" w:cs="Times New Roman"/>
                <w:bCs/>
                <w:color w:val="000000" w:themeColor="text1"/>
                <w:sz w:val="21"/>
                <w:szCs w:val="21"/>
                <w14:textFill>
                  <w14:solidFill>
                    <w14:schemeClr w14:val="tx1"/>
                  </w14:solidFill>
                </w14:textFill>
              </w:rPr>
              <w:t>~</w:t>
            </w:r>
            <w:r>
              <w:rPr>
                <w:rFonts w:hint="eastAsia" w:ascii="Times New Roman" w:hAnsi="Times New Roman" w:eastAsia="宋体" w:cs="Times New Roman"/>
                <w:bCs/>
                <w:color w:val="000000" w:themeColor="text1"/>
                <w:sz w:val="21"/>
                <w:szCs w:val="21"/>
                <w14:textFill>
                  <w14:solidFill>
                    <w14:schemeClr w14:val="tx1"/>
                  </w14:solidFill>
                </w14:textFill>
              </w:rPr>
              <w:t>85</w:t>
            </w:r>
          </w:p>
        </w:tc>
        <w:tc>
          <w:tcPr>
            <w:tcW w:w="995" w:type="pct"/>
            <w:vMerge w:val="restart"/>
            <w:vAlign w:val="center"/>
          </w:tcPr>
          <w:p w14:paraId="0E7DDBC8">
            <w:pPr>
              <w:pStyle w:val="89"/>
              <w:rPr>
                <w:rFonts w:ascii="Times New Roman" w:hAnsi="Times New Roman" w:eastAsia="宋体" w:cs="Times New Roman"/>
                <w:color w:val="000000"/>
                <w:sz w:val="21"/>
                <w:szCs w:val="21"/>
              </w:rPr>
            </w:pPr>
            <w:r>
              <w:rPr>
                <w:rFonts w:ascii="Times New Roman" w:hAnsi="Times New Roman" w:eastAsia="宋体" w:cs="Times New Roman"/>
                <w:color w:val="000000" w:themeColor="text1"/>
                <w:sz w:val="21"/>
                <w:szCs w:val="21"/>
                <w14:textFill>
                  <w14:solidFill>
                    <w14:schemeClr w14:val="tx1"/>
                  </w14:solidFill>
                </w14:textFill>
              </w:rPr>
              <w:t>合理布置、消声器、减震垫</w:t>
            </w:r>
            <w:r>
              <w:rPr>
                <w:rFonts w:hint="eastAsia" w:ascii="Times New Roman" w:hAnsi="Times New Roman" w:eastAsia="宋体" w:cs="Times New Roman"/>
                <w:color w:val="000000" w:themeColor="text1"/>
                <w:sz w:val="21"/>
                <w:szCs w:val="21"/>
                <w14:textFill>
                  <w14:solidFill>
                    <w14:schemeClr w14:val="tx1"/>
                  </w14:solidFill>
                </w14:textFill>
              </w:rPr>
              <w:t>等</w:t>
            </w:r>
          </w:p>
        </w:tc>
        <w:tc>
          <w:tcPr>
            <w:tcW w:w="506" w:type="pct"/>
            <w:vAlign w:val="center"/>
          </w:tcPr>
          <w:p w14:paraId="04D97690">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生产时段</w:t>
            </w:r>
          </w:p>
        </w:tc>
      </w:tr>
      <w:tr w14:paraId="49192291">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07" w:type="pct"/>
            <w:vAlign w:val="center"/>
          </w:tcPr>
          <w:p w14:paraId="10CDEC16">
            <w:pPr>
              <w:pStyle w:val="89"/>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2</w:t>
            </w:r>
          </w:p>
        </w:tc>
        <w:tc>
          <w:tcPr>
            <w:tcW w:w="742" w:type="pct"/>
            <w:vAlign w:val="center"/>
          </w:tcPr>
          <w:p w14:paraId="402623B8">
            <w:pPr>
              <w:adjustRightIn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水泵（若干）</w:t>
            </w:r>
          </w:p>
        </w:tc>
        <w:tc>
          <w:tcPr>
            <w:tcW w:w="490" w:type="pct"/>
            <w:vAlign w:val="center"/>
          </w:tcPr>
          <w:p w14:paraId="2C1428AA">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36" w:type="pct"/>
            <w:vAlign w:val="center"/>
          </w:tcPr>
          <w:p w14:paraId="2F78D3CD">
            <w:pPr>
              <w:pStyle w:val="89"/>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125</w:t>
            </w:r>
          </w:p>
        </w:tc>
        <w:tc>
          <w:tcPr>
            <w:tcW w:w="442" w:type="pct"/>
            <w:vAlign w:val="center"/>
          </w:tcPr>
          <w:p w14:paraId="100735EC">
            <w:pPr>
              <w:pStyle w:val="89"/>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265</w:t>
            </w:r>
          </w:p>
        </w:tc>
        <w:tc>
          <w:tcPr>
            <w:tcW w:w="426" w:type="pct"/>
            <w:vAlign w:val="center"/>
          </w:tcPr>
          <w:p w14:paraId="369C1BC8">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p>
        </w:tc>
        <w:tc>
          <w:tcPr>
            <w:tcW w:w="652" w:type="pct"/>
            <w:vAlign w:val="center"/>
          </w:tcPr>
          <w:p w14:paraId="23555BDA">
            <w:pPr>
              <w:adjustRightInd w:val="0"/>
              <w:spacing w:line="300" w:lineRule="exact"/>
              <w:jc w:val="center"/>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themeColor="text1"/>
                <w:sz w:val="21"/>
                <w:szCs w:val="21"/>
                <w14:textFill>
                  <w14:solidFill>
                    <w14:schemeClr w14:val="tx1"/>
                  </w14:solidFill>
                </w14:textFill>
              </w:rPr>
              <w:t>75</w:t>
            </w:r>
            <w:r>
              <w:rPr>
                <w:rFonts w:ascii="Times New Roman" w:hAnsi="Times New Roman" w:eastAsia="宋体" w:cs="Times New Roman"/>
                <w:bCs/>
                <w:color w:val="000000" w:themeColor="text1"/>
                <w:sz w:val="21"/>
                <w:szCs w:val="21"/>
                <w14:textFill>
                  <w14:solidFill>
                    <w14:schemeClr w14:val="tx1"/>
                  </w14:solidFill>
                </w14:textFill>
              </w:rPr>
              <w:t>~</w:t>
            </w:r>
            <w:r>
              <w:rPr>
                <w:rFonts w:hint="eastAsia" w:ascii="Times New Roman" w:hAnsi="Times New Roman" w:eastAsia="宋体" w:cs="Times New Roman"/>
                <w:bCs/>
                <w:color w:val="000000" w:themeColor="text1"/>
                <w:sz w:val="21"/>
                <w:szCs w:val="21"/>
                <w14:textFill>
                  <w14:solidFill>
                    <w14:schemeClr w14:val="tx1"/>
                  </w14:solidFill>
                </w14:textFill>
              </w:rPr>
              <w:t>85</w:t>
            </w:r>
          </w:p>
        </w:tc>
        <w:tc>
          <w:tcPr>
            <w:tcW w:w="995" w:type="pct"/>
            <w:vMerge w:val="continue"/>
            <w:vAlign w:val="center"/>
          </w:tcPr>
          <w:p w14:paraId="2D7BD18B">
            <w:pPr>
              <w:pStyle w:val="89"/>
              <w:rPr>
                <w:rFonts w:ascii="Times New Roman" w:hAnsi="Times New Roman" w:eastAsia="宋体" w:cs="Times New Roman"/>
                <w:color w:val="000000"/>
                <w:sz w:val="21"/>
                <w:szCs w:val="21"/>
              </w:rPr>
            </w:pPr>
          </w:p>
        </w:tc>
        <w:tc>
          <w:tcPr>
            <w:tcW w:w="506" w:type="pct"/>
            <w:vAlign w:val="center"/>
          </w:tcPr>
          <w:p w14:paraId="6AEC9F32">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生产时段</w:t>
            </w:r>
          </w:p>
        </w:tc>
      </w:tr>
    </w:tbl>
    <w:p w14:paraId="524ABCA0">
      <w:pPr>
        <w:pStyle w:val="7"/>
        <w:spacing w:line="480" w:lineRule="exact"/>
      </w:pPr>
      <w:r>
        <w:rPr>
          <w:rFonts w:hint="eastAsia"/>
        </w:rPr>
        <w:t>5</w:t>
      </w:r>
      <w:r>
        <w:t>.</w:t>
      </w:r>
      <w:r>
        <w:rPr>
          <w:rFonts w:hint="eastAsia"/>
        </w:rPr>
        <w:t>4</w:t>
      </w:r>
      <w:r>
        <w:t>.</w:t>
      </w:r>
      <w:r>
        <w:rPr>
          <w:rFonts w:hint="eastAsia"/>
        </w:rPr>
        <w:t>3</w:t>
      </w:r>
      <w:r>
        <w:t xml:space="preserve"> </w:t>
      </w:r>
      <w:r>
        <w:rPr>
          <w:rFonts w:hint="eastAsia"/>
        </w:rPr>
        <w:t>声环境保护目标</w:t>
      </w:r>
    </w:p>
    <w:p w14:paraId="6A5D6DAB">
      <w:pPr>
        <w:pStyle w:val="31"/>
        <w:spacing w:before="0" w:line="480" w:lineRule="exact"/>
        <w:ind w:firstLine="480" w:firstLineChars="200"/>
        <w:jc w:val="both"/>
        <w:rPr>
          <w:rFonts w:ascii="宋体" w:hAnsi="宋体" w:eastAsia="宋体"/>
          <w:b w:val="0"/>
          <w:bCs w:val="0"/>
          <w:szCs w:val="24"/>
        </w:rPr>
      </w:pPr>
      <w:r>
        <w:rPr>
          <w:rFonts w:hint="eastAsia" w:ascii="宋体" w:hAnsi="宋体" w:eastAsia="宋体"/>
          <w:b w:val="0"/>
          <w:bCs w:val="0"/>
          <w:szCs w:val="24"/>
        </w:rPr>
        <w:t>本项目声环境保护目标情况见表</w:t>
      </w:r>
      <w:r>
        <w:rPr>
          <w:rFonts w:hint="eastAsia" w:ascii="TimesNewRomanPSMT" w:hAnsi="TimesNewRomanPSMT" w:eastAsia="宋体"/>
          <w:b w:val="0"/>
          <w:bCs w:val="0"/>
          <w:szCs w:val="24"/>
        </w:rPr>
        <w:t>5.4-3</w:t>
      </w:r>
      <w:r>
        <w:rPr>
          <w:rFonts w:hint="eastAsia" w:ascii="宋体" w:hAnsi="宋体" w:eastAsia="宋体"/>
          <w:b w:val="0"/>
          <w:bCs w:val="0"/>
          <w:szCs w:val="24"/>
        </w:rPr>
        <w:t>。</w:t>
      </w:r>
    </w:p>
    <w:p w14:paraId="01EBECF8">
      <w:pPr>
        <w:pStyle w:val="31"/>
        <w:spacing w:before="0" w:line="480" w:lineRule="exact"/>
      </w:pPr>
      <w:r>
        <w:rPr>
          <w:rFonts w:hint="eastAsia"/>
        </w:rPr>
        <w:t>表</w:t>
      </w:r>
      <w:r>
        <w:t>5.</w:t>
      </w:r>
      <w:r>
        <w:rPr>
          <w:rFonts w:hint="eastAsia"/>
        </w:rPr>
        <w:t>4</w:t>
      </w:r>
      <w:r>
        <w:t>-</w:t>
      </w:r>
      <w:r>
        <w:rPr>
          <w:rFonts w:hint="eastAsia"/>
        </w:rPr>
        <w:t xml:space="preserve">3 </w:t>
      </w:r>
      <w:r>
        <w:t xml:space="preserve"> </w:t>
      </w:r>
      <w:r>
        <w:rPr>
          <w:rFonts w:hint="eastAsia"/>
        </w:rPr>
        <w:t>项目周围声环境保护</w:t>
      </w:r>
      <w:r>
        <w:t>目标调查表</w:t>
      </w:r>
    </w:p>
    <w:tbl>
      <w:tblPr>
        <w:tblStyle w:val="42"/>
        <w:tblW w:w="5000" w:type="pct"/>
        <w:tblInd w:w="0" w:type="dxa"/>
        <w:tblBorders>
          <w:top w:val="single" w:color="auto" w:sz="6" w:space="0"/>
          <w:left w:val="none" w:color="auto" w:sz="0" w:space="0"/>
          <w:bottom w:val="single" w:color="auto" w:sz="6" w:space="0"/>
          <w:right w:val="none" w:color="auto" w:sz="0" w:space="0"/>
          <w:insideH w:val="single" w:color="auto" w:sz="6" w:space="0"/>
          <w:insideV w:val="single" w:color="auto" w:sz="4" w:space="0"/>
        </w:tblBorders>
        <w:tblLayout w:type="autofit"/>
        <w:tblCellMar>
          <w:top w:w="0" w:type="dxa"/>
          <w:left w:w="0" w:type="dxa"/>
          <w:bottom w:w="0" w:type="dxa"/>
          <w:right w:w="0" w:type="dxa"/>
        </w:tblCellMar>
      </w:tblPr>
      <w:tblGrid>
        <w:gridCol w:w="700"/>
        <w:gridCol w:w="1559"/>
        <w:gridCol w:w="992"/>
        <w:gridCol w:w="992"/>
        <w:gridCol w:w="997"/>
        <w:gridCol w:w="1559"/>
        <w:gridCol w:w="992"/>
        <w:gridCol w:w="2723"/>
        <w:gridCol w:w="3444"/>
      </w:tblGrid>
      <w:tr w14:paraId="360C5B74">
        <w:tblPrEx>
          <w:tblBorders>
            <w:top w:val="single" w:color="auto" w:sz="6" w:space="0"/>
            <w:left w:val="none" w:color="auto" w:sz="0" w:space="0"/>
            <w:bottom w:val="single" w:color="auto" w:sz="6"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97" w:hRule="atLeast"/>
        </w:trPr>
        <w:tc>
          <w:tcPr>
            <w:tcW w:w="251" w:type="pct"/>
            <w:vMerge w:val="restart"/>
            <w:tcBorders>
              <w:tl2br w:val="nil"/>
              <w:tr2bl w:val="nil"/>
            </w:tcBorders>
            <w:vAlign w:val="center"/>
          </w:tcPr>
          <w:p w14:paraId="1A0DAE1A">
            <w:pPr>
              <w:spacing w:line="280" w:lineRule="exact"/>
              <w:jc w:val="center"/>
              <w:rPr>
                <w:rFonts w:ascii="Times New Roman" w:hAnsi="Times New Roman" w:eastAsia="宋体"/>
                <w:sz w:val="21"/>
              </w:rPr>
            </w:pPr>
            <w:r>
              <w:rPr>
                <w:rFonts w:hint="eastAsia" w:ascii="Times New Roman" w:hAnsi="Times New Roman" w:eastAsia="宋体"/>
                <w:sz w:val="21"/>
              </w:rPr>
              <w:t>序号</w:t>
            </w:r>
          </w:p>
        </w:tc>
        <w:tc>
          <w:tcPr>
            <w:tcW w:w="558" w:type="pct"/>
            <w:vMerge w:val="restart"/>
            <w:tcBorders>
              <w:tl2br w:val="nil"/>
              <w:tr2bl w:val="nil"/>
            </w:tcBorders>
            <w:vAlign w:val="center"/>
          </w:tcPr>
          <w:p w14:paraId="03E8ADCF">
            <w:pPr>
              <w:spacing w:line="280" w:lineRule="exact"/>
              <w:jc w:val="center"/>
              <w:rPr>
                <w:rFonts w:ascii="Times New Roman" w:hAnsi="Times New Roman" w:eastAsia="宋体"/>
                <w:sz w:val="21"/>
              </w:rPr>
            </w:pPr>
            <w:r>
              <w:rPr>
                <w:rFonts w:hint="eastAsia" w:ascii="Times New Roman" w:hAnsi="Times New Roman" w:eastAsia="宋体"/>
                <w:sz w:val="21"/>
              </w:rPr>
              <w:t>声环境</w:t>
            </w:r>
            <w:r>
              <w:rPr>
                <w:rFonts w:ascii="Times New Roman" w:hAnsi="Times New Roman" w:eastAsia="宋体"/>
                <w:sz w:val="21"/>
              </w:rPr>
              <w:t>保护目标</w:t>
            </w:r>
          </w:p>
        </w:tc>
        <w:tc>
          <w:tcPr>
            <w:tcW w:w="1067" w:type="pct"/>
            <w:gridSpan w:val="3"/>
            <w:tcBorders>
              <w:tl2br w:val="nil"/>
              <w:tr2bl w:val="nil"/>
            </w:tcBorders>
            <w:vAlign w:val="center"/>
          </w:tcPr>
          <w:p w14:paraId="10FFA3DA">
            <w:pPr>
              <w:spacing w:line="280" w:lineRule="exact"/>
              <w:jc w:val="center"/>
              <w:rPr>
                <w:rFonts w:ascii="Times New Roman" w:hAnsi="Times New Roman" w:eastAsia="宋体"/>
                <w:sz w:val="21"/>
              </w:rPr>
            </w:pPr>
            <w:r>
              <w:rPr>
                <w:rFonts w:hint="eastAsia" w:ascii="Times New Roman" w:hAnsi="Times New Roman" w:eastAsia="宋体"/>
                <w:sz w:val="21"/>
              </w:rPr>
              <w:t>空间</w:t>
            </w:r>
            <w:r>
              <w:rPr>
                <w:rFonts w:ascii="Times New Roman" w:hAnsi="Times New Roman" w:eastAsia="宋体"/>
                <w:sz w:val="21"/>
              </w:rPr>
              <w:t>相对位置</w:t>
            </w:r>
            <w:r>
              <w:rPr>
                <w:rFonts w:hint="eastAsia" w:ascii="Times New Roman" w:hAnsi="Times New Roman" w:eastAsia="宋体"/>
                <w:sz w:val="21"/>
              </w:rPr>
              <w:t>/m</w:t>
            </w:r>
          </w:p>
        </w:tc>
        <w:tc>
          <w:tcPr>
            <w:tcW w:w="558" w:type="pct"/>
            <w:vMerge w:val="restart"/>
            <w:tcBorders>
              <w:tl2br w:val="nil"/>
              <w:tr2bl w:val="nil"/>
            </w:tcBorders>
            <w:vAlign w:val="center"/>
          </w:tcPr>
          <w:p w14:paraId="07DAA218">
            <w:pPr>
              <w:spacing w:line="280" w:lineRule="exact"/>
              <w:jc w:val="center"/>
              <w:rPr>
                <w:rFonts w:ascii="Times New Roman" w:hAnsi="Times New Roman" w:eastAsia="宋体"/>
                <w:sz w:val="21"/>
              </w:rPr>
            </w:pPr>
            <w:r>
              <w:rPr>
                <w:rFonts w:hint="eastAsia" w:ascii="Times New Roman" w:hAnsi="Times New Roman" w:eastAsia="宋体"/>
                <w:sz w:val="21"/>
              </w:rPr>
              <w:t>距</w:t>
            </w:r>
            <w:r>
              <w:rPr>
                <w:rFonts w:ascii="Times New Roman" w:hAnsi="Times New Roman" w:eastAsia="宋体"/>
                <w:sz w:val="21"/>
              </w:rPr>
              <w:t>厂界最近距离</w:t>
            </w:r>
            <w:r>
              <w:rPr>
                <w:rFonts w:hint="eastAsia" w:ascii="Times New Roman" w:hAnsi="Times New Roman" w:eastAsia="宋体"/>
                <w:sz w:val="21"/>
              </w:rPr>
              <w:t>/m</w:t>
            </w:r>
          </w:p>
        </w:tc>
        <w:tc>
          <w:tcPr>
            <w:tcW w:w="355" w:type="pct"/>
            <w:vMerge w:val="restart"/>
            <w:tcBorders>
              <w:tl2br w:val="nil"/>
              <w:tr2bl w:val="nil"/>
            </w:tcBorders>
            <w:vAlign w:val="center"/>
          </w:tcPr>
          <w:p w14:paraId="15696D7F">
            <w:pPr>
              <w:spacing w:line="280" w:lineRule="exact"/>
              <w:jc w:val="center"/>
              <w:rPr>
                <w:rFonts w:ascii="Times New Roman" w:hAnsi="Times New Roman" w:eastAsia="宋体"/>
                <w:sz w:val="21"/>
              </w:rPr>
            </w:pPr>
            <w:r>
              <w:rPr>
                <w:rFonts w:hint="eastAsia" w:ascii="Times New Roman" w:hAnsi="Times New Roman" w:eastAsia="宋体"/>
                <w:sz w:val="21"/>
              </w:rPr>
              <w:t>方位</w:t>
            </w:r>
          </w:p>
        </w:tc>
        <w:tc>
          <w:tcPr>
            <w:tcW w:w="975" w:type="pct"/>
            <w:vMerge w:val="restart"/>
            <w:tcBorders>
              <w:tl2br w:val="nil"/>
              <w:tr2bl w:val="nil"/>
            </w:tcBorders>
            <w:vAlign w:val="center"/>
          </w:tcPr>
          <w:p w14:paraId="3F8499A1">
            <w:pPr>
              <w:spacing w:line="280" w:lineRule="exact"/>
              <w:jc w:val="center"/>
              <w:rPr>
                <w:rFonts w:ascii="Times New Roman" w:hAnsi="Times New Roman" w:eastAsia="宋体"/>
                <w:sz w:val="21"/>
              </w:rPr>
            </w:pPr>
            <w:r>
              <w:rPr>
                <w:rFonts w:hint="eastAsia" w:ascii="Times New Roman" w:hAnsi="Times New Roman" w:eastAsia="宋体"/>
                <w:sz w:val="21"/>
              </w:rPr>
              <w:t>执行标准/功能</w:t>
            </w:r>
            <w:r>
              <w:rPr>
                <w:rFonts w:ascii="Times New Roman" w:hAnsi="Times New Roman" w:eastAsia="宋体"/>
                <w:sz w:val="21"/>
              </w:rPr>
              <w:t>区类别</w:t>
            </w:r>
          </w:p>
        </w:tc>
        <w:tc>
          <w:tcPr>
            <w:tcW w:w="1233" w:type="pct"/>
            <w:vMerge w:val="restart"/>
            <w:tcBorders>
              <w:tl2br w:val="nil"/>
              <w:tr2bl w:val="nil"/>
            </w:tcBorders>
            <w:vAlign w:val="center"/>
          </w:tcPr>
          <w:p w14:paraId="66A9D649">
            <w:pPr>
              <w:spacing w:line="280" w:lineRule="exact"/>
              <w:jc w:val="center"/>
              <w:rPr>
                <w:rFonts w:ascii="Times New Roman" w:hAnsi="Times New Roman" w:eastAsia="宋体"/>
                <w:sz w:val="21"/>
              </w:rPr>
            </w:pPr>
            <w:r>
              <w:rPr>
                <w:rFonts w:hint="eastAsia" w:ascii="Times New Roman" w:hAnsi="Times New Roman" w:eastAsia="宋体"/>
                <w:sz w:val="21"/>
              </w:rPr>
              <w:t>声环境</w:t>
            </w:r>
            <w:r>
              <w:rPr>
                <w:rFonts w:ascii="Times New Roman" w:hAnsi="Times New Roman" w:eastAsia="宋体"/>
                <w:sz w:val="21"/>
              </w:rPr>
              <w:t>保护目标情况说明</w:t>
            </w:r>
          </w:p>
        </w:tc>
      </w:tr>
      <w:tr w14:paraId="6AF426E8">
        <w:tblPrEx>
          <w:tblBorders>
            <w:top w:val="single" w:color="auto" w:sz="6" w:space="0"/>
            <w:left w:val="none" w:color="auto" w:sz="0" w:space="0"/>
            <w:bottom w:val="single" w:color="auto" w:sz="6"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97" w:hRule="atLeast"/>
        </w:trPr>
        <w:tc>
          <w:tcPr>
            <w:tcW w:w="251" w:type="pct"/>
            <w:vMerge w:val="continue"/>
            <w:tcBorders>
              <w:tl2br w:val="nil"/>
              <w:tr2bl w:val="nil"/>
            </w:tcBorders>
            <w:vAlign w:val="center"/>
          </w:tcPr>
          <w:p w14:paraId="3C389B69">
            <w:pPr>
              <w:spacing w:line="280" w:lineRule="exact"/>
              <w:jc w:val="center"/>
              <w:rPr>
                <w:rFonts w:ascii="Times New Roman" w:hAnsi="Times New Roman" w:eastAsia="宋体"/>
                <w:sz w:val="21"/>
              </w:rPr>
            </w:pPr>
          </w:p>
        </w:tc>
        <w:tc>
          <w:tcPr>
            <w:tcW w:w="558" w:type="pct"/>
            <w:vMerge w:val="continue"/>
            <w:tcBorders>
              <w:tl2br w:val="nil"/>
              <w:tr2bl w:val="nil"/>
            </w:tcBorders>
            <w:vAlign w:val="center"/>
          </w:tcPr>
          <w:p w14:paraId="363F7786">
            <w:pPr>
              <w:spacing w:line="280" w:lineRule="exact"/>
              <w:jc w:val="center"/>
              <w:rPr>
                <w:rFonts w:ascii="Times New Roman" w:hAnsi="Times New Roman" w:eastAsia="宋体"/>
                <w:sz w:val="21"/>
              </w:rPr>
            </w:pPr>
          </w:p>
        </w:tc>
        <w:tc>
          <w:tcPr>
            <w:tcW w:w="355" w:type="pct"/>
            <w:tcBorders>
              <w:tl2br w:val="nil"/>
              <w:tr2bl w:val="nil"/>
            </w:tcBorders>
            <w:vAlign w:val="center"/>
          </w:tcPr>
          <w:p w14:paraId="68CBFF31">
            <w:pPr>
              <w:spacing w:line="280" w:lineRule="exact"/>
              <w:jc w:val="center"/>
              <w:rPr>
                <w:rFonts w:ascii="Times New Roman" w:hAnsi="Times New Roman" w:eastAsia="宋体"/>
                <w:sz w:val="21"/>
              </w:rPr>
            </w:pPr>
            <w:r>
              <w:rPr>
                <w:rFonts w:hint="eastAsia" w:ascii="Times New Roman" w:hAnsi="Times New Roman" w:eastAsia="宋体"/>
                <w:sz w:val="21"/>
              </w:rPr>
              <w:t>X</w:t>
            </w:r>
          </w:p>
        </w:tc>
        <w:tc>
          <w:tcPr>
            <w:tcW w:w="355" w:type="pct"/>
            <w:tcBorders>
              <w:tl2br w:val="nil"/>
              <w:tr2bl w:val="nil"/>
            </w:tcBorders>
            <w:vAlign w:val="center"/>
          </w:tcPr>
          <w:p w14:paraId="2D543220">
            <w:pPr>
              <w:spacing w:line="280" w:lineRule="exact"/>
              <w:jc w:val="center"/>
              <w:rPr>
                <w:rFonts w:ascii="Times New Roman" w:hAnsi="Times New Roman" w:eastAsia="宋体"/>
                <w:sz w:val="21"/>
              </w:rPr>
            </w:pPr>
            <w:r>
              <w:rPr>
                <w:rFonts w:hint="eastAsia" w:ascii="Times New Roman" w:hAnsi="Times New Roman" w:eastAsia="宋体"/>
                <w:sz w:val="21"/>
              </w:rPr>
              <w:t>Y</w:t>
            </w:r>
          </w:p>
        </w:tc>
        <w:tc>
          <w:tcPr>
            <w:tcW w:w="357" w:type="pct"/>
            <w:tcBorders>
              <w:tl2br w:val="nil"/>
              <w:tr2bl w:val="nil"/>
            </w:tcBorders>
            <w:vAlign w:val="center"/>
          </w:tcPr>
          <w:p w14:paraId="0042B6AF">
            <w:pPr>
              <w:spacing w:line="280" w:lineRule="exact"/>
              <w:jc w:val="center"/>
              <w:rPr>
                <w:rFonts w:ascii="Times New Roman" w:hAnsi="Times New Roman" w:eastAsia="宋体"/>
                <w:sz w:val="21"/>
              </w:rPr>
            </w:pPr>
            <w:r>
              <w:rPr>
                <w:rFonts w:hint="eastAsia" w:ascii="Times New Roman" w:hAnsi="Times New Roman" w:eastAsia="宋体"/>
                <w:sz w:val="21"/>
              </w:rPr>
              <w:t>Z</w:t>
            </w:r>
          </w:p>
        </w:tc>
        <w:tc>
          <w:tcPr>
            <w:tcW w:w="558" w:type="pct"/>
            <w:vMerge w:val="continue"/>
            <w:tcBorders>
              <w:tl2br w:val="nil"/>
              <w:tr2bl w:val="nil"/>
            </w:tcBorders>
            <w:vAlign w:val="center"/>
          </w:tcPr>
          <w:p w14:paraId="2CEB4965">
            <w:pPr>
              <w:spacing w:line="280" w:lineRule="exact"/>
              <w:jc w:val="center"/>
              <w:rPr>
                <w:rFonts w:ascii="Times New Roman" w:hAnsi="Times New Roman" w:eastAsia="宋体"/>
                <w:sz w:val="21"/>
              </w:rPr>
            </w:pPr>
          </w:p>
        </w:tc>
        <w:tc>
          <w:tcPr>
            <w:tcW w:w="355" w:type="pct"/>
            <w:vMerge w:val="continue"/>
            <w:tcBorders>
              <w:tl2br w:val="nil"/>
              <w:tr2bl w:val="nil"/>
            </w:tcBorders>
            <w:vAlign w:val="center"/>
          </w:tcPr>
          <w:p w14:paraId="0D5BD8F4">
            <w:pPr>
              <w:spacing w:line="280" w:lineRule="exact"/>
              <w:jc w:val="center"/>
              <w:rPr>
                <w:rFonts w:ascii="Times New Roman" w:hAnsi="Times New Roman" w:eastAsia="宋体"/>
                <w:sz w:val="21"/>
              </w:rPr>
            </w:pPr>
          </w:p>
        </w:tc>
        <w:tc>
          <w:tcPr>
            <w:tcW w:w="975" w:type="pct"/>
            <w:vMerge w:val="continue"/>
            <w:tcBorders>
              <w:tl2br w:val="nil"/>
              <w:tr2bl w:val="nil"/>
            </w:tcBorders>
            <w:vAlign w:val="center"/>
          </w:tcPr>
          <w:p w14:paraId="6B584D97">
            <w:pPr>
              <w:spacing w:line="280" w:lineRule="exact"/>
              <w:jc w:val="center"/>
              <w:rPr>
                <w:rFonts w:ascii="Times New Roman" w:hAnsi="Times New Roman" w:eastAsia="宋体"/>
                <w:sz w:val="21"/>
              </w:rPr>
            </w:pPr>
          </w:p>
        </w:tc>
        <w:tc>
          <w:tcPr>
            <w:tcW w:w="1233" w:type="pct"/>
            <w:vMerge w:val="continue"/>
            <w:tcBorders>
              <w:tl2br w:val="nil"/>
              <w:tr2bl w:val="nil"/>
            </w:tcBorders>
            <w:vAlign w:val="center"/>
          </w:tcPr>
          <w:p w14:paraId="34AB4D93">
            <w:pPr>
              <w:spacing w:line="280" w:lineRule="exact"/>
              <w:jc w:val="center"/>
              <w:rPr>
                <w:rFonts w:ascii="Times New Roman" w:hAnsi="Times New Roman" w:eastAsia="宋体"/>
                <w:sz w:val="21"/>
              </w:rPr>
            </w:pPr>
          </w:p>
        </w:tc>
      </w:tr>
      <w:tr w14:paraId="25674075">
        <w:tblPrEx>
          <w:tblBorders>
            <w:top w:val="single" w:color="auto" w:sz="6" w:space="0"/>
            <w:left w:val="none" w:color="auto" w:sz="0" w:space="0"/>
            <w:bottom w:val="single" w:color="auto" w:sz="6"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97" w:hRule="atLeast"/>
        </w:trPr>
        <w:tc>
          <w:tcPr>
            <w:tcW w:w="251" w:type="pct"/>
            <w:tcBorders>
              <w:tl2br w:val="nil"/>
              <w:tr2bl w:val="nil"/>
            </w:tcBorders>
            <w:vAlign w:val="center"/>
          </w:tcPr>
          <w:p w14:paraId="09B3A007">
            <w:pPr>
              <w:spacing w:line="280" w:lineRule="exact"/>
              <w:jc w:val="center"/>
              <w:rPr>
                <w:rFonts w:ascii="Times New Roman" w:hAnsi="Times New Roman" w:eastAsia="宋体"/>
                <w:sz w:val="21"/>
              </w:rPr>
            </w:pPr>
            <w:r>
              <w:rPr>
                <w:rFonts w:hint="eastAsia" w:ascii="Times New Roman" w:hAnsi="Times New Roman" w:eastAsia="宋体"/>
                <w:sz w:val="21"/>
              </w:rPr>
              <w:t>1</w:t>
            </w:r>
          </w:p>
        </w:tc>
        <w:tc>
          <w:tcPr>
            <w:tcW w:w="558" w:type="pct"/>
            <w:tcBorders>
              <w:tl2br w:val="nil"/>
              <w:tr2bl w:val="nil"/>
            </w:tcBorders>
            <w:vAlign w:val="center"/>
          </w:tcPr>
          <w:p w14:paraId="71C77898">
            <w:pPr>
              <w:spacing w:line="280" w:lineRule="exact"/>
              <w:jc w:val="center"/>
              <w:rPr>
                <w:rFonts w:ascii="Times New Roman" w:hAnsi="Times New Roman" w:eastAsia="宋体"/>
                <w:sz w:val="21"/>
              </w:rPr>
            </w:pPr>
            <w:r>
              <w:rPr>
                <w:rFonts w:hint="eastAsia" w:ascii="Times New Roman" w:hAnsi="Times New Roman" w:eastAsia="宋体"/>
                <w:sz w:val="21"/>
              </w:rPr>
              <w:t>戴庄</w:t>
            </w:r>
          </w:p>
        </w:tc>
        <w:tc>
          <w:tcPr>
            <w:tcW w:w="355" w:type="pct"/>
            <w:tcBorders>
              <w:tl2br w:val="nil"/>
              <w:tr2bl w:val="nil"/>
            </w:tcBorders>
            <w:vAlign w:val="center"/>
          </w:tcPr>
          <w:p w14:paraId="1A4F6EFE">
            <w:pPr>
              <w:spacing w:line="280" w:lineRule="exact"/>
              <w:jc w:val="center"/>
              <w:rPr>
                <w:rFonts w:ascii="Times New Roman" w:hAnsi="Times New Roman" w:eastAsia="宋体"/>
                <w:sz w:val="21"/>
              </w:rPr>
            </w:pPr>
            <w:r>
              <w:rPr>
                <w:rFonts w:hint="eastAsia" w:ascii="Times New Roman" w:hAnsi="Times New Roman" w:eastAsia="宋体"/>
                <w:sz w:val="21"/>
              </w:rPr>
              <w:t>-70</w:t>
            </w:r>
          </w:p>
        </w:tc>
        <w:tc>
          <w:tcPr>
            <w:tcW w:w="355" w:type="pct"/>
            <w:tcBorders>
              <w:tl2br w:val="nil"/>
              <w:tr2bl w:val="nil"/>
            </w:tcBorders>
            <w:vAlign w:val="center"/>
          </w:tcPr>
          <w:p w14:paraId="69152E1C">
            <w:pPr>
              <w:spacing w:line="280" w:lineRule="exact"/>
              <w:jc w:val="center"/>
              <w:rPr>
                <w:rFonts w:ascii="Times New Roman" w:hAnsi="Times New Roman" w:eastAsia="宋体"/>
                <w:sz w:val="21"/>
              </w:rPr>
            </w:pPr>
            <w:r>
              <w:rPr>
                <w:rFonts w:hint="eastAsia" w:ascii="Times New Roman" w:hAnsi="Times New Roman" w:eastAsia="宋体"/>
                <w:sz w:val="21"/>
              </w:rPr>
              <w:t>280</w:t>
            </w:r>
          </w:p>
        </w:tc>
        <w:tc>
          <w:tcPr>
            <w:tcW w:w="357" w:type="pct"/>
            <w:tcBorders>
              <w:tl2br w:val="nil"/>
              <w:tr2bl w:val="nil"/>
            </w:tcBorders>
            <w:vAlign w:val="center"/>
          </w:tcPr>
          <w:p w14:paraId="4C6BB277">
            <w:pPr>
              <w:spacing w:line="280" w:lineRule="exact"/>
              <w:jc w:val="center"/>
              <w:rPr>
                <w:rFonts w:ascii="Times New Roman" w:hAnsi="Times New Roman" w:eastAsia="宋体"/>
                <w:sz w:val="21"/>
              </w:rPr>
            </w:pPr>
            <w:r>
              <w:rPr>
                <w:rFonts w:hint="eastAsia" w:ascii="Times New Roman" w:hAnsi="Times New Roman" w:eastAsia="宋体"/>
                <w:sz w:val="21"/>
              </w:rPr>
              <w:t>2.5</w:t>
            </w:r>
          </w:p>
        </w:tc>
        <w:tc>
          <w:tcPr>
            <w:tcW w:w="558" w:type="pct"/>
            <w:tcBorders>
              <w:tl2br w:val="nil"/>
              <w:tr2bl w:val="nil"/>
            </w:tcBorders>
            <w:vAlign w:val="center"/>
          </w:tcPr>
          <w:p w14:paraId="49E08765">
            <w:pPr>
              <w:spacing w:line="280" w:lineRule="exact"/>
              <w:jc w:val="center"/>
              <w:rPr>
                <w:rFonts w:ascii="Times New Roman" w:hAnsi="Times New Roman" w:eastAsia="宋体"/>
                <w:sz w:val="21"/>
              </w:rPr>
            </w:pPr>
            <w:r>
              <w:rPr>
                <w:rFonts w:hint="eastAsia" w:ascii="Times New Roman" w:hAnsi="Times New Roman" w:eastAsia="宋体"/>
                <w:sz w:val="21"/>
              </w:rPr>
              <w:t>60</w:t>
            </w:r>
          </w:p>
        </w:tc>
        <w:tc>
          <w:tcPr>
            <w:tcW w:w="355" w:type="pct"/>
            <w:tcBorders>
              <w:tl2br w:val="nil"/>
              <w:tr2bl w:val="nil"/>
            </w:tcBorders>
            <w:vAlign w:val="center"/>
          </w:tcPr>
          <w:p w14:paraId="3F9690BD">
            <w:pPr>
              <w:spacing w:line="280" w:lineRule="exact"/>
              <w:jc w:val="center"/>
              <w:rPr>
                <w:rFonts w:ascii="Times New Roman" w:hAnsi="Times New Roman" w:eastAsia="宋体"/>
                <w:sz w:val="21"/>
              </w:rPr>
            </w:pPr>
            <w:r>
              <w:rPr>
                <w:rFonts w:hint="eastAsia" w:ascii="Times New Roman" w:hAnsi="Times New Roman" w:eastAsia="宋体"/>
                <w:sz w:val="21"/>
              </w:rPr>
              <w:t>西北</w:t>
            </w:r>
          </w:p>
        </w:tc>
        <w:tc>
          <w:tcPr>
            <w:tcW w:w="975" w:type="pct"/>
            <w:vMerge w:val="restart"/>
            <w:tcBorders>
              <w:tl2br w:val="nil"/>
              <w:tr2bl w:val="nil"/>
            </w:tcBorders>
            <w:vAlign w:val="center"/>
          </w:tcPr>
          <w:p w14:paraId="3E93480D">
            <w:pPr>
              <w:spacing w:line="280" w:lineRule="exact"/>
              <w:jc w:val="center"/>
              <w:rPr>
                <w:rFonts w:ascii="Times New Roman" w:hAnsi="Times New Roman" w:eastAsia="宋体"/>
                <w:sz w:val="21"/>
              </w:rPr>
            </w:pPr>
            <w:r>
              <w:rPr>
                <w:rFonts w:hint="eastAsia" w:ascii="Times New Roman" w:hAnsi="Times New Roman" w:eastAsia="宋体"/>
                <w:sz w:val="21"/>
              </w:rPr>
              <w:t>《声环境质量标准》（GB3096-2008）中1类标准</w:t>
            </w:r>
          </w:p>
        </w:tc>
        <w:tc>
          <w:tcPr>
            <w:tcW w:w="1233" w:type="pct"/>
            <w:vMerge w:val="restart"/>
            <w:tcBorders>
              <w:tl2br w:val="nil"/>
              <w:tr2bl w:val="nil"/>
            </w:tcBorders>
            <w:vAlign w:val="center"/>
          </w:tcPr>
          <w:p w14:paraId="05A660AC">
            <w:pPr>
              <w:spacing w:line="280" w:lineRule="exact"/>
              <w:jc w:val="center"/>
              <w:rPr>
                <w:rFonts w:ascii="Times New Roman" w:hAnsi="Times New Roman" w:eastAsia="宋体"/>
                <w:sz w:val="21"/>
              </w:rPr>
            </w:pPr>
            <w:r>
              <w:rPr>
                <w:rFonts w:hint="eastAsia" w:ascii="Times New Roman" w:hAnsi="Times New Roman" w:eastAsia="宋体"/>
                <w:sz w:val="21"/>
              </w:rPr>
              <w:t>均为</w:t>
            </w:r>
            <w:r>
              <w:rPr>
                <w:rFonts w:ascii="Times New Roman" w:hAnsi="Times New Roman" w:eastAsia="宋体"/>
                <w:sz w:val="21"/>
              </w:rPr>
              <w:t>农村</w:t>
            </w:r>
            <w:r>
              <w:rPr>
                <w:rFonts w:hint="eastAsia" w:ascii="Times New Roman" w:hAnsi="Times New Roman" w:eastAsia="宋体"/>
                <w:sz w:val="21"/>
              </w:rPr>
              <w:t>砖</w:t>
            </w:r>
            <w:r>
              <w:rPr>
                <w:rFonts w:ascii="Times New Roman" w:hAnsi="Times New Roman" w:eastAsia="宋体"/>
                <w:sz w:val="21"/>
              </w:rPr>
              <w:t>瓦房</w:t>
            </w:r>
            <w:r>
              <w:rPr>
                <w:rFonts w:hint="eastAsia" w:ascii="Times New Roman" w:hAnsi="Times New Roman" w:eastAsia="宋体"/>
                <w:sz w:val="21"/>
              </w:rPr>
              <w:t>，南北朝向，一层或两层，周围</w:t>
            </w:r>
            <w:r>
              <w:rPr>
                <w:rFonts w:ascii="Times New Roman" w:hAnsi="Times New Roman" w:eastAsia="宋体"/>
                <w:sz w:val="21"/>
              </w:rPr>
              <w:t>均为农田与空地</w:t>
            </w:r>
          </w:p>
        </w:tc>
      </w:tr>
      <w:tr w14:paraId="5199FA59">
        <w:tblPrEx>
          <w:tblBorders>
            <w:top w:val="single" w:color="auto" w:sz="6" w:space="0"/>
            <w:left w:val="none" w:color="auto" w:sz="0" w:space="0"/>
            <w:bottom w:val="single" w:color="auto" w:sz="6"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97" w:hRule="atLeast"/>
        </w:trPr>
        <w:tc>
          <w:tcPr>
            <w:tcW w:w="251" w:type="pct"/>
            <w:tcBorders>
              <w:tl2br w:val="nil"/>
              <w:tr2bl w:val="nil"/>
            </w:tcBorders>
            <w:vAlign w:val="center"/>
          </w:tcPr>
          <w:p w14:paraId="31693025">
            <w:pPr>
              <w:spacing w:line="280" w:lineRule="exact"/>
              <w:jc w:val="center"/>
              <w:rPr>
                <w:rFonts w:ascii="Times New Roman" w:hAnsi="Times New Roman" w:eastAsia="宋体"/>
                <w:sz w:val="21"/>
              </w:rPr>
            </w:pPr>
            <w:r>
              <w:rPr>
                <w:rFonts w:hint="eastAsia" w:ascii="Times New Roman" w:hAnsi="Times New Roman" w:eastAsia="宋体"/>
                <w:sz w:val="21"/>
              </w:rPr>
              <w:t>2</w:t>
            </w:r>
          </w:p>
        </w:tc>
        <w:tc>
          <w:tcPr>
            <w:tcW w:w="558" w:type="pct"/>
            <w:tcBorders>
              <w:tl2br w:val="nil"/>
              <w:tr2bl w:val="nil"/>
            </w:tcBorders>
            <w:vAlign w:val="center"/>
          </w:tcPr>
          <w:p w14:paraId="25E11DCE">
            <w:pPr>
              <w:spacing w:line="280" w:lineRule="exact"/>
              <w:jc w:val="center"/>
              <w:rPr>
                <w:rFonts w:ascii="Times New Roman" w:hAnsi="Times New Roman" w:eastAsia="宋体"/>
                <w:sz w:val="21"/>
              </w:rPr>
            </w:pPr>
            <w:r>
              <w:rPr>
                <w:rFonts w:hint="eastAsia" w:ascii="Times New Roman" w:hAnsi="Times New Roman" w:eastAsia="宋体"/>
                <w:sz w:val="21"/>
              </w:rPr>
              <w:t>油坊庄</w:t>
            </w:r>
          </w:p>
        </w:tc>
        <w:tc>
          <w:tcPr>
            <w:tcW w:w="355" w:type="pct"/>
            <w:tcBorders>
              <w:tl2br w:val="nil"/>
              <w:tr2bl w:val="nil"/>
            </w:tcBorders>
            <w:vAlign w:val="center"/>
          </w:tcPr>
          <w:p w14:paraId="5136053D">
            <w:pPr>
              <w:spacing w:line="280" w:lineRule="exact"/>
              <w:jc w:val="center"/>
              <w:rPr>
                <w:rFonts w:ascii="Times New Roman" w:hAnsi="Times New Roman" w:eastAsia="宋体"/>
                <w:sz w:val="21"/>
              </w:rPr>
            </w:pPr>
            <w:r>
              <w:rPr>
                <w:rFonts w:hint="eastAsia" w:ascii="Times New Roman" w:hAnsi="Times New Roman" w:eastAsia="宋体"/>
                <w:sz w:val="21"/>
              </w:rPr>
              <w:t>-25</w:t>
            </w:r>
          </w:p>
        </w:tc>
        <w:tc>
          <w:tcPr>
            <w:tcW w:w="355" w:type="pct"/>
            <w:tcBorders>
              <w:tl2br w:val="nil"/>
              <w:tr2bl w:val="nil"/>
            </w:tcBorders>
            <w:vAlign w:val="center"/>
          </w:tcPr>
          <w:p w14:paraId="249E9CF6">
            <w:pPr>
              <w:spacing w:line="280" w:lineRule="exact"/>
              <w:jc w:val="center"/>
              <w:rPr>
                <w:rFonts w:ascii="Times New Roman" w:hAnsi="Times New Roman" w:eastAsia="宋体"/>
                <w:sz w:val="21"/>
              </w:rPr>
            </w:pPr>
            <w:r>
              <w:rPr>
                <w:rFonts w:hint="eastAsia" w:ascii="Times New Roman" w:hAnsi="Times New Roman" w:eastAsia="宋体"/>
                <w:sz w:val="21"/>
              </w:rPr>
              <w:t>-180</w:t>
            </w:r>
          </w:p>
        </w:tc>
        <w:tc>
          <w:tcPr>
            <w:tcW w:w="357" w:type="pct"/>
            <w:tcBorders>
              <w:tl2br w:val="nil"/>
              <w:tr2bl w:val="nil"/>
            </w:tcBorders>
            <w:vAlign w:val="center"/>
          </w:tcPr>
          <w:p w14:paraId="5A39DE4A">
            <w:pPr>
              <w:spacing w:line="280" w:lineRule="exact"/>
              <w:jc w:val="center"/>
              <w:rPr>
                <w:rFonts w:ascii="Times New Roman" w:hAnsi="Times New Roman" w:eastAsia="宋体"/>
                <w:sz w:val="21"/>
              </w:rPr>
            </w:pPr>
            <w:r>
              <w:rPr>
                <w:rFonts w:hint="eastAsia" w:ascii="Times New Roman" w:hAnsi="Times New Roman" w:eastAsia="宋体"/>
                <w:sz w:val="21"/>
              </w:rPr>
              <w:t>2.5</w:t>
            </w:r>
          </w:p>
        </w:tc>
        <w:tc>
          <w:tcPr>
            <w:tcW w:w="558" w:type="pct"/>
            <w:tcBorders>
              <w:tl2br w:val="nil"/>
              <w:tr2bl w:val="nil"/>
            </w:tcBorders>
            <w:vAlign w:val="center"/>
          </w:tcPr>
          <w:p w14:paraId="79B6FA55">
            <w:pPr>
              <w:spacing w:line="280" w:lineRule="exact"/>
              <w:jc w:val="center"/>
              <w:rPr>
                <w:rFonts w:ascii="Times New Roman" w:hAnsi="Times New Roman" w:eastAsia="宋体"/>
                <w:sz w:val="21"/>
              </w:rPr>
            </w:pPr>
            <w:r>
              <w:rPr>
                <w:rFonts w:hint="eastAsia" w:ascii="Times New Roman" w:hAnsi="Times New Roman" w:eastAsia="宋体"/>
                <w:sz w:val="21"/>
              </w:rPr>
              <w:t>190</w:t>
            </w:r>
          </w:p>
        </w:tc>
        <w:tc>
          <w:tcPr>
            <w:tcW w:w="355" w:type="pct"/>
            <w:tcBorders>
              <w:tl2br w:val="nil"/>
              <w:tr2bl w:val="nil"/>
            </w:tcBorders>
            <w:vAlign w:val="center"/>
          </w:tcPr>
          <w:p w14:paraId="62F27396">
            <w:pPr>
              <w:spacing w:line="280" w:lineRule="exact"/>
              <w:jc w:val="center"/>
              <w:rPr>
                <w:rFonts w:ascii="Times New Roman" w:hAnsi="Times New Roman" w:eastAsia="宋体"/>
                <w:sz w:val="21"/>
              </w:rPr>
            </w:pPr>
            <w:r>
              <w:rPr>
                <w:rFonts w:hint="eastAsia" w:ascii="Times New Roman" w:hAnsi="Times New Roman" w:eastAsia="宋体"/>
                <w:sz w:val="21"/>
              </w:rPr>
              <w:t>西南</w:t>
            </w:r>
          </w:p>
        </w:tc>
        <w:tc>
          <w:tcPr>
            <w:tcW w:w="975" w:type="pct"/>
            <w:vMerge w:val="continue"/>
            <w:tcBorders>
              <w:tl2br w:val="nil"/>
              <w:tr2bl w:val="nil"/>
            </w:tcBorders>
            <w:vAlign w:val="center"/>
          </w:tcPr>
          <w:p w14:paraId="32BD568E">
            <w:pPr>
              <w:spacing w:line="280" w:lineRule="exact"/>
              <w:jc w:val="center"/>
              <w:rPr>
                <w:rFonts w:ascii="Times New Roman" w:hAnsi="Times New Roman" w:eastAsia="宋体"/>
                <w:sz w:val="21"/>
              </w:rPr>
            </w:pPr>
          </w:p>
        </w:tc>
        <w:tc>
          <w:tcPr>
            <w:tcW w:w="1233" w:type="pct"/>
            <w:vMerge w:val="continue"/>
            <w:tcBorders>
              <w:tl2br w:val="nil"/>
              <w:tr2bl w:val="nil"/>
            </w:tcBorders>
            <w:vAlign w:val="center"/>
          </w:tcPr>
          <w:p w14:paraId="7814984B">
            <w:pPr>
              <w:spacing w:line="280" w:lineRule="exact"/>
              <w:jc w:val="center"/>
              <w:rPr>
                <w:rFonts w:ascii="Times New Roman" w:hAnsi="Times New Roman" w:eastAsia="宋体"/>
                <w:sz w:val="21"/>
              </w:rPr>
            </w:pPr>
          </w:p>
        </w:tc>
      </w:tr>
    </w:tbl>
    <w:p w14:paraId="4DDC3D13">
      <w:pPr>
        <w:jc w:val="center"/>
      </w:pPr>
    </w:p>
    <w:p w14:paraId="05E6D4D6">
      <w:pPr>
        <w:sectPr>
          <w:pgSz w:w="16838" w:h="11906" w:orient="landscape"/>
          <w:pgMar w:top="1701" w:right="1440" w:bottom="1701" w:left="1440" w:header="1021" w:footer="1134" w:gutter="0"/>
          <w:pgNumType w:fmt="decimal"/>
          <w:cols w:space="425" w:num="1"/>
          <w:docGrid w:type="lines" w:linePitch="326" w:charSpace="0"/>
        </w:sectPr>
      </w:pPr>
    </w:p>
    <w:p w14:paraId="51048018">
      <w:pPr>
        <w:pStyle w:val="7"/>
        <w:spacing w:line="480" w:lineRule="exact"/>
      </w:pPr>
      <w:r>
        <w:rPr>
          <w:rFonts w:hint="eastAsia"/>
        </w:rPr>
        <w:t>5.4.4 预测模式</w:t>
      </w:r>
    </w:p>
    <w:p w14:paraId="368CAC16">
      <w:pPr>
        <w:widowControl/>
        <w:spacing w:line="480" w:lineRule="exact"/>
        <w:ind w:firstLine="480" w:firstLineChars="200"/>
      </w:pPr>
      <w:r>
        <w:rPr>
          <w:rFonts w:hint="eastAsia"/>
        </w:rPr>
        <w:t>根据拟建项目噪声源位置和场界外环境，本评价噪声影响预测范围确定为场界。按主要声源的特征和所在位置，考虑在建项目噪声影响预测，应用相应的预测模式计算各声源对厂界产生的影响值，叠加现状值和在建项目影响预测值后，作为本项目建成后的声环境影响预测结果。</w:t>
      </w:r>
    </w:p>
    <w:p w14:paraId="094B6347">
      <w:pPr>
        <w:widowControl/>
        <w:spacing w:line="480" w:lineRule="exact"/>
        <w:ind w:firstLine="480" w:firstLineChars="200"/>
      </w:pPr>
      <w:r>
        <w:rPr>
          <w:rFonts w:hint="eastAsia"/>
        </w:rPr>
        <w:t>拟建项目噪声源主要为室内声源，预测中按《环境影响评价技术导则 声环境》（HJ2.4-20</w:t>
      </w:r>
      <w:r>
        <w:t>21</w:t>
      </w:r>
      <w:r>
        <w:rPr>
          <w:rFonts w:hint="eastAsia"/>
        </w:rPr>
        <w:t>）规定，选用相应预测模式，并根据具体情况作必要简化。</w:t>
      </w:r>
    </w:p>
    <w:p w14:paraId="41AB533B">
      <w:pPr>
        <w:widowControl/>
        <w:spacing w:line="480" w:lineRule="exact"/>
        <w:ind w:firstLine="480" w:firstLineChars="200"/>
      </w:pPr>
      <w:r>
        <w:rPr>
          <w:rFonts w:hint="eastAsia"/>
        </w:rPr>
        <w:t>预测中应用的主要计算公式有：</w:t>
      </w:r>
    </w:p>
    <w:p w14:paraId="5D0DF52D">
      <w:pPr>
        <w:widowControl/>
        <w:spacing w:line="480" w:lineRule="exact"/>
        <w:ind w:firstLine="480"/>
      </w:pPr>
      <w:r>
        <w:rPr>
          <w:rFonts w:hint="eastAsia"/>
        </w:rPr>
        <w:t>①单个室外点声源在预测点的声级计算公式</w:t>
      </w:r>
    </w:p>
    <w:p w14:paraId="2ABAE93B">
      <w:pPr>
        <w:tabs>
          <w:tab w:val="left" w:pos="180"/>
        </w:tabs>
        <w:adjustRightInd w:val="0"/>
        <w:snapToGrid w:val="0"/>
        <w:spacing w:line="480" w:lineRule="exact"/>
        <w:ind w:firstLine="480" w:firstLineChars="200"/>
        <w:rPr>
          <w:rFonts w:ascii="Times New Roman" w:hAnsi="Times New Roman" w:eastAsia="宋体" w:cs="Times New Roman"/>
          <w:color w:val="000000"/>
          <w:szCs w:val="24"/>
        </w:rPr>
      </w:pPr>
      <w:r>
        <w:rPr>
          <w:rFonts w:ascii="Times New Roman" w:hAnsi="Times New Roman" w:eastAsia="宋体" w:cs="Times New Roman"/>
          <w:color w:val="000000"/>
          <w:szCs w:val="24"/>
        </w:rPr>
        <w:t>已知声源的倍频带声功率级（从63Hz到8KHz标称频带中心频率的8个倍频带），预测点位置的倍频带声压级L</w:t>
      </w:r>
      <w:r>
        <w:rPr>
          <w:rFonts w:ascii="Times New Roman" w:hAnsi="Times New Roman" w:eastAsia="宋体" w:cs="Times New Roman"/>
          <w:color w:val="000000"/>
          <w:szCs w:val="24"/>
          <w:vertAlign w:val="subscript"/>
        </w:rPr>
        <w:t>p</w:t>
      </w:r>
      <w:r>
        <w:rPr>
          <w:rFonts w:ascii="Times New Roman" w:hAnsi="Times New Roman" w:eastAsia="宋体" w:cs="Times New Roman"/>
          <w:color w:val="000000"/>
          <w:szCs w:val="24"/>
        </w:rPr>
        <w:t>(r)可按公式（1）计算：</w:t>
      </w:r>
    </w:p>
    <w:p w14:paraId="1387F001">
      <w:pPr>
        <w:tabs>
          <w:tab w:val="left" w:pos="180"/>
        </w:tabs>
        <w:adjustRightInd w:val="0"/>
        <w:snapToGrid w:val="0"/>
        <w:spacing w:line="480" w:lineRule="exact"/>
        <w:ind w:firstLine="480"/>
        <w:rPr>
          <w:rFonts w:ascii="Times New Roman" w:hAnsi="Times New Roman" w:eastAsia="宋体" w:cs="Times New Roman"/>
          <w:color w:val="000000"/>
          <w:szCs w:val="24"/>
        </w:rPr>
      </w:pPr>
      <w:r>
        <w:rPr>
          <w:rFonts w:ascii="Times New Roman" w:hAnsi="Times New Roman" w:eastAsia="宋体" w:cs="Times New Roman"/>
          <w:color w:val="000000"/>
          <w:position w:val="-14"/>
          <w:szCs w:val="24"/>
        </w:rPr>
        <w:object>
          <v:shape id="_x0000_i1037" o:spt="75" type="#_x0000_t75" style="height:22pt;width:102pt;" o:ole="t" filled="f" o:preferrelative="t" stroked="f" coordsize="21600,21600">
            <v:path/>
            <v:fill on="f" focussize="0,0"/>
            <v:stroke on="f" joinstyle="miter"/>
            <v:imagedata r:id="rId45" o:title=""/>
            <o:lock v:ext="edit" aspectratio="t"/>
            <w10:wrap type="none"/>
            <w10:anchorlock/>
          </v:shape>
          <o:OLEObject Type="Embed" ProgID="Equation.3" ShapeID="_x0000_i1037" DrawAspect="Content" ObjectID="_1468075738" r:id="rId44">
            <o:LockedField>false</o:LockedField>
          </o:OLEObject>
        </w:object>
      </w:r>
      <w:r>
        <w:rPr>
          <w:rFonts w:ascii="Times New Roman" w:hAnsi="Times New Roman" w:eastAsia="宋体" w:cs="Times New Roman"/>
          <w:color w:val="000000"/>
          <w:szCs w:val="24"/>
        </w:rPr>
        <w:t>（1）</w:t>
      </w:r>
    </w:p>
    <w:p w14:paraId="3308745F">
      <w:pPr>
        <w:tabs>
          <w:tab w:val="left" w:pos="180"/>
        </w:tabs>
        <w:adjustRightInd w:val="0"/>
        <w:snapToGrid w:val="0"/>
        <w:spacing w:line="480" w:lineRule="exact"/>
        <w:ind w:firstLine="480"/>
        <w:rPr>
          <w:rFonts w:ascii="Times New Roman" w:hAnsi="Times New Roman" w:eastAsia="宋体" w:cs="Times New Roman"/>
          <w:color w:val="000000"/>
          <w:szCs w:val="24"/>
        </w:rPr>
      </w:pPr>
      <w:r>
        <w:rPr>
          <w:rFonts w:ascii="Times New Roman" w:hAnsi="Times New Roman" w:eastAsia="宋体" w:cs="Times New Roman"/>
          <w:color w:val="000000"/>
          <w:position w:val="-14"/>
          <w:szCs w:val="24"/>
        </w:rPr>
        <w:object>
          <v:shape id="_x0000_i1038" o:spt="75" type="#_x0000_t75" style="height:22pt;width:170pt;" o:ole="t" filled="f" o:preferrelative="t" stroked="f" coordsize="21600,21600">
            <v:path/>
            <v:fill on="f" focussize="0,0"/>
            <v:stroke on="f" joinstyle="miter"/>
            <v:imagedata r:id="rId47" o:title=""/>
            <o:lock v:ext="edit" aspectratio="t"/>
            <w10:wrap type="none"/>
            <w10:anchorlock/>
          </v:shape>
          <o:OLEObject Type="Embed" ProgID="Equation.3" ShapeID="_x0000_i1038" DrawAspect="Content" ObjectID="_1468075739" r:id="rId46">
            <o:LockedField>false</o:LockedField>
          </o:OLEObject>
        </w:object>
      </w:r>
    </w:p>
    <w:p w14:paraId="6F2C6CB2">
      <w:pPr>
        <w:tabs>
          <w:tab w:val="left" w:pos="180"/>
        </w:tabs>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式中：L</w:t>
      </w:r>
      <w:r>
        <w:rPr>
          <w:rFonts w:ascii="Times New Roman" w:hAnsi="Times New Roman" w:eastAsia="宋体" w:cs="Times New Roman"/>
          <w:color w:val="000000"/>
          <w:szCs w:val="24"/>
          <w:vertAlign w:val="subscript"/>
        </w:rPr>
        <w:t>w</w:t>
      </w:r>
      <w:r>
        <w:rPr>
          <w:rFonts w:ascii="Times New Roman" w:hAnsi="Times New Roman" w:eastAsia="宋体" w:cs="Times New Roman"/>
          <w:color w:val="000000"/>
          <w:szCs w:val="24"/>
        </w:rPr>
        <w:t>—倍频带声功率级，dB；</w:t>
      </w:r>
    </w:p>
    <w:p w14:paraId="770E1366">
      <w:pPr>
        <w:tabs>
          <w:tab w:val="left" w:pos="180"/>
        </w:tabs>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 xml:space="preserve">      D</w:t>
      </w:r>
      <w:r>
        <w:rPr>
          <w:rFonts w:ascii="Times New Roman" w:hAnsi="Times New Roman" w:eastAsia="宋体" w:cs="Times New Roman"/>
          <w:color w:val="000000"/>
          <w:szCs w:val="24"/>
          <w:vertAlign w:val="subscript"/>
        </w:rPr>
        <w:t>c</w:t>
      </w:r>
      <w:r>
        <w:rPr>
          <w:rFonts w:ascii="Times New Roman" w:hAnsi="Times New Roman" w:eastAsia="宋体" w:cs="Times New Roman"/>
          <w:color w:val="000000"/>
          <w:szCs w:val="24"/>
        </w:rPr>
        <w:t>—指向性校正，dB；对辐射到自由空间的全向点声源，D</w:t>
      </w:r>
      <w:r>
        <w:rPr>
          <w:rFonts w:ascii="Times New Roman" w:hAnsi="Times New Roman" w:eastAsia="宋体" w:cs="Times New Roman"/>
          <w:color w:val="000000"/>
          <w:szCs w:val="24"/>
          <w:vertAlign w:val="subscript"/>
        </w:rPr>
        <w:t>c</w:t>
      </w:r>
      <w:r>
        <w:rPr>
          <w:rFonts w:ascii="Times New Roman" w:hAnsi="Times New Roman" w:eastAsia="宋体" w:cs="Times New Roman"/>
          <w:color w:val="000000"/>
          <w:szCs w:val="24"/>
        </w:rPr>
        <w:t>=0dB。</w:t>
      </w:r>
    </w:p>
    <w:p w14:paraId="489383EC">
      <w:pPr>
        <w:tabs>
          <w:tab w:val="left" w:pos="180"/>
        </w:tabs>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 xml:space="preserve">      A—倍频带衰减，dB；</w:t>
      </w:r>
    </w:p>
    <w:p w14:paraId="538BF26E">
      <w:pPr>
        <w:tabs>
          <w:tab w:val="left" w:pos="180"/>
        </w:tabs>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 xml:space="preserve">      A</w:t>
      </w:r>
      <w:r>
        <w:rPr>
          <w:rFonts w:ascii="Times New Roman" w:hAnsi="Times New Roman" w:eastAsia="宋体" w:cs="Times New Roman"/>
          <w:color w:val="000000"/>
          <w:szCs w:val="24"/>
          <w:vertAlign w:val="subscript"/>
        </w:rPr>
        <w:t>div</w:t>
      </w:r>
      <w:r>
        <w:rPr>
          <w:rFonts w:ascii="Times New Roman" w:hAnsi="Times New Roman" w:eastAsia="宋体" w:cs="Times New Roman"/>
          <w:color w:val="000000"/>
          <w:szCs w:val="24"/>
        </w:rPr>
        <w:t>—几何发散引起的倍频带衰减，dB；</w:t>
      </w:r>
    </w:p>
    <w:p w14:paraId="65D6847B">
      <w:pPr>
        <w:tabs>
          <w:tab w:val="left" w:pos="180"/>
        </w:tabs>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 xml:space="preserve">      A</w:t>
      </w:r>
      <w:r>
        <w:rPr>
          <w:rFonts w:ascii="Times New Roman" w:hAnsi="Times New Roman" w:eastAsia="宋体" w:cs="Times New Roman"/>
          <w:color w:val="000000"/>
          <w:szCs w:val="24"/>
          <w:vertAlign w:val="subscript"/>
        </w:rPr>
        <w:t>atm</w:t>
      </w:r>
      <w:r>
        <w:rPr>
          <w:rFonts w:ascii="Times New Roman" w:hAnsi="Times New Roman" w:eastAsia="宋体" w:cs="Times New Roman"/>
          <w:color w:val="000000"/>
          <w:szCs w:val="24"/>
        </w:rPr>
        <w:t>—大气吸收引起的倍频带衰减，dB；</w:t>
      </w:r>
    </w:p>
    <w:p w14:paraId="1B37859B">
      <w:pPr>
        <w:tabs>
          <w:tab w:val="left" w:pos="180"/>
        </w:tabs>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 xml:space="preserve">      A</w:t>
      </w:r>
      <w:r>
        <w:rPr>
          <w:rFonts w:ascii="Times New Roman" w:hAnsi="Times New Roman" w:eastAsia="宋体" w:cs="Times New Roman"/>
          <w:color w:val="000000"/>
          <w:szCs w:val="24"/>
          <w:vertAlign w:val="subscript"/>
        </w:rPr>
        <w:t>gr</w:t>
      </w:r>
      <w:r>
        <w:rPr>
          <w:rFonts w:ascii="Times New Roman" w:hAnsi="Times New Roman" w:eastAsia="宋体" w:cs="Times New Roman"/>
          <w:color w:val="000000"/>
          <w:szCs w:val="24"/>
        </w:rPr>
        <w:t>—地面效应引起的倍频带衰减，dB；</w:t>
      </w:r>
    </w:p>
    <w:p w14:paraId="7A6B44B1">
      <w:pPr>
        <w:tabs>
          <w:tab w:val="left" w:pos="180"/>
        </w:tabs>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 xml:space="preserve">      A</w:t>
      </w:r>
      <w:r>
        <w:rPr>
          <w:rFonts w:ascii="Times New Roman" w:hAnsi="Times New Roman" w:eastAsia="宋体" w:cs="Times New Roman"/>
          <w:color w:val="000000"/>
          <w:szCs w:val="24"/>
          <w:vertAlign w:val="subscript"/>
        </w:rPr>
        <w:t>bar</w:t>
      </w:r>
      <w:r>
        <w:rPr>
          <w:rFonts w:ascii="Times New Roman" w:hAnsi="Times New Roman" w:eastAsia="宋体" w:cs="Times New Roman"/>
          <w:color w:val="000000"/>
          <w:szCs w:val="24"/>
        </w:rPr>
        <w:t>—声屏障引起的倍频带衰减，dB；</w:t>
      </w:r>
    </w:p>
    <w:p w14:paraId="23823339">
      <w:pPr>
        <w:tabs>
          <w:tab w:val="left" w:pos="180"/>
        </w:tabs>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 xml:space="preserve">      A</w:t>
      </w:r>
      <w:r>
        <w:rPr>
          <w:rFonts w:ascii="Times New Roman" w:hAnsi="Times New Roman" w:eastAsia="宋体" w:cs="Times New Roman"/>
          <w:color w:val="000000"/>
          <w:szCs w:val="24"/>
          <w:vertAlign w:val="subscript"/>
        </w:rPr>
        <w:t>misc</w:t>
      </w:r>
      <w:r>
        <w:rPr>
          <w:rFonts w:ascii="Times New Roman" w:hAnsi="Times New Roman" w:eastAsia="宋体" w:cs="Times New Roman"/>
          <w:color w:val="000000"/>
          <w:szCs w:val="24"/>
        </w:rPr>
        <w:t>—其他多方面效应引起的倍频带衰减，dB。</w:t>
      </w:r>
    </w:p>
    <w:p w14:paraId="023DA24A">
      <w:pPr>
        <w:tabs>
          <w:tab w:val="left" w:pos="180"/>
        </w:tabs>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已知靠近声源处某点的倍频带声压级L</w:t>
      </w:r>
      <w:r>
        <w:rPr>
          <w:rFonts w:ascii="Times New Roman" w:hAnsi="Times New Roman" w:eastAsia="宋体" w:cs="Times New Roman"/>
          <w:color w:val="000000"/>
          <w:szCs w:val="24"/>
          <w:vertAlign w:val="subscript"/>
        </w:rPr>
        <w:t>p</w:t>
      </w:r>
      <w:r>
        <w:rPr>
          <w:rFonts w:ascii="Times New Roman" w:hAnsi="Times New Roman" w:eastAsia="宋体" w:cs="Times New Roman"/>
          <w:color w:val="000000"/>
          <w:szCs w:val="24"/>
        </w:rPr>
        <w:t>(r</w:t>
      </w:r>
      <w:r>
        <w:rPr>
          <w:rFonts w:ascii="Times New Roman" w:hAnsi="Times New Roman" w:eastAsia="宋体" w:cs="Times New Roman"/>
          <w:color w:val="000000"/>
          <w:szCs w:val="24"/>
          <w:vertAlign w:val="subscript"/>
        </w:rPr>
        <w:t>0</w:t>
      </w:r>
      <w:r>
        <w:rPr>
          <w:rFonts w:ascii="Times New Roman" w:hAnsi="Times New Roman" w:eastAsia="宋体" w:cs="Times New Roman"/>
          <w:color w:val="000000"/>
          <w:szCs w:val="24"/>
        </w:rPr>
        <w:t>)时，相同方向预测点位置的倍频带声压级L</w:t>
      </w:r>
      <w:r>
        <w:rPr>
          <w:rFonts w:ascii="Times New Roman" w:hAnsi="Times New Roman" w:eastAsia="宋体" w:cs="Times New Roman"/>
          <w:color w:val="000000"/>
          <w:szCs w:val="24"/>
          <w:vertAlign w:val="subscript"/>
        </w:rPr>
        <w:t>p</w:t>
      </w:r>
      <w:r>
        <w:rPr>
          <w:rFonts w:ascii="Times New Roman" w:hAnsi="Times New Roman" w:eastAsia="宋体" w:cs="Times New Roman"/>
          <w:color w:val="000000"/>
          <w:szCs w:val="24"/>
        </w:rPr>
        <w:t>(r)可按公式（2）计算：</w:t>
      </w:r>
    </w:p>
    <w:p w14:paraId="11B4BF4C">
      <w:pPr>
        <w:tabs>
          <w:tab w:val="left" w:pos="180"/>
        </w:tabs>
        <w:adjustRightInd w:val="0"/>
        <w:snapToGrid w:val="0"/>
        <w:spacing w:line="240" w:lineRule="auto"/>
        <w:ind w:firstLine="482"/>
        <w:rPr>
          <w:rFonts w:ascii="Times New Roman" w:hAnsi="Times New Roman" w:eastAsia="宋体" w:cs="Times New Roman"/>
          <w:color w:val="000000"/>
          <w:szCs w:val="24"/>
        </w:rPr>
      </w:pPr>
      <w:r>
        <w:rPr>
          <w:rFonts w:ascii="Times New Roman" w:hAnsi="Times New Roman" w:eastAsia="宋体" w:cs="Times New Roman"/>
          <w:color w:val="000000"/>
          <w:position w:val="-14"/>
          <w:szCs w:val="24"/>
        </w:rPr>
        <w:object>
          <v:shape id="_x0000_i1039" o:spt="75" type="#_x0000_t75" style="height:22pt;width:88pt;" o:ole="t" filled="f" o:preferrelative="t" stroked="f" coordsize="21600,21600">
            <v:path/>
            <v:fill on="f" focussize="0,0"/>
            <v:stroke on="f" joinstyle="miter"/>
            <v:imagedata r:id="rId49" o:title=""/>
            <o:lock v:ext="edit" aspectratio="t"/>
            <w10:wrap type="none"/>
            <w10:anchorlock/>
          </v:shape>
          <o:OLEObject Type="Embed" ProgID="Equation.3" ShapeID="_x0000_i1039" DrawAspect="Content" ObjectID="_1468075740" r:id="rId48">
            <o:LockedField>false</o:LockedField>
          </o:OLEObject>
        </w:object>
      </w:r>
      <w:r>
        <w:rPr>
          <w:rFonts w:ascii="Times New Roman" w:hAnsi="Times New Roman" w:eastAsia="宋体" w:cs="Times New Roman"/>
          <w:color w:val="000000"/>
          <w:szCs w:val="24"/>
        </w:rPr>
        <w:t>（2）</w:t>
      </w:r>
    </w:p>
    <w:p w14:paraId="04535E0E">
      <w:pPr>
        <w:tabs>
          <w:tab w:val="left" w:pos="180"/>
        </w:tabs>
        <w:adjustRightInd w:val="0"/>
        <w:snapToGrid w:val="0"/>
        <w:spacing w:line="480" w:lineRule="exact"/>
        <w:ind w:firstLine="480"/>
        <w:rPr>
          <w:rFonts w:ascii="Times New Roman" w:hAnsi="Times New Roman" w:eastAsia="宋体" w:cs="Times New Roman"/>
          <w:color w:val="000000"/>
          <w:szCs w:val="24"/>
        </w:rPr>
      </w:pPr>
      <w:r>
        <w:rPr>
          <w:rFonts w:ascii="Times New Roman" w:hAnsi="Times New Roman" w:eastAsia="宋体" w:cs="Times New Roman"/>
          <w:color w:val="000000"/>
          <w:szCs w:val="24"/>
        </w:rPr>
        <w:t>预测点的A声级L</w:t>
      </w:r>
      <w:r>
        <w:rPr>
          <w:rFonts w:ascii="Times New Roman" w:hAnsi="Times New Roman" w:eastAsia="宋体" w:cs="Times New Roman"/>
          <w:color w:val="000000"/>
          <w:szCs w:val="24"/>
          <w:vertAlign w:val="subscript"/>
        </w:rPr>
        <w:t>A</w:t>
      </w:r>
      <w:r>
        <w:rPr>
          <w:rFonts w:ascii="Times New Roman" w:hAnsi="Times New Roman" w:eastAsia="宋体" w:cs="Times New Roman"/>
          <w:color w:val="000000"/>
          <w:szCs w:val="24"/>
        </w:rPr>
        <w:t>(r)，可利用8个倍频带的声压级按公式（3）计算：</w:t>
      </w:r>
    </w:p>
    <w:p w14:paraId="0CF260B5">
      <w:pPr>
        <w:tabs>
          <w:tab w:val="left" w:pos="180"/>
        </w:tabs>
        <w:adjustRightInd w:val="0"/>
        <w:snapToGrid w:val="0"/>
        <w:spacing w:line="240" w:lineRule="auto"/>
        <w:ind w:firstLine="482"/>
        <w:rPr>
          <w:rFonts w:ascii="Times New Roman" w:hAnsi="Times New Roman" w:eastAsia="宋体" w:cs="Times New Roman"/>
          <w:color w:val="000000"/>
          <w:szCs w:val="24"/>
        </w:rPr>
      </w:pPr>
      <w:r>
        <w:rPr>
          <w:rFonts w:ascii="Times New Roman" w:hAnsi="Times New Roman" w:eastAsia="宋体" w:cs="Times New Roman"/>
          <w:color w:val="000000"/>
          <w:position w:val="-28"/>
          <w:szCs w:val="24"/>
        </w:rPr>
        <w:object>
          <v:shape id="_x0000_i1040" o:spt="75" type="#_x0000_t75" style="height:34pt;width:148pt;" o:ole="t" filled="f" o:preferrelative="t" stroked="f" coordsize="21600,21600">
            <v:path/>
            <v:fill on="f" focussize="0,0"/>
            <v:stroke on="f" joinstyle="miter"/>
            <v:imagedata r:id="rId51" o:title=""/>
            <o:lock v:ext="edit" aspectratio="t"/>
            <w10:wrap type="none"/>
            <w10:anchorlock/>
          </v:shape>
          <o:OLEObject Type="Embed" ProgID="Equation.3" ShapeID="_x0000_i1040" DrawAspect="Content" ObjectID="_1468075741" r:id="rId50">
            <o:LockedField>false</o:LockedField>
          </o:OLEObject>
        </w:object>
      </w:r>
      <w:r>
        <w:rPr>
          <w:rFonts w:ascii="Times New Roman" w:hAnsi="Times New Roman" w:eastAsia="宋体" w:cs="Times New Roman"/>
          <w:color w:val="000000"/>
          <w:szCs w:val="24"/>
        </w:rPr>
        <w:t>（3）</w:t>
      </w:r>
    </w:p>
    <w:p w14:paraId="3F1DA059">
      <w:pPr>
        <w:tabs>
          <w:tab w:val="left" w:pos="180"/>
        </w:tabs>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式中：L</w:t>
      </w:r>
      <w:r>
        <w:rPr>
          <w:rFonts w:ascii="Times New Roman" w:hAnsi="Times New Roman" w:eastAsia="宋体" w:cs="Times New Roman"/>
          <w:color w:val="000000"/>
          <w:szCs w:val="24"/>
          <w:vertAlign w:val="subscript"/>
        </w:rPr>
        <w:t>pi</w:t>
      </w:r>
      <w:r>
        <w:rPr>
          <w:rFonts w:ascii="Times New Roman" w:hAnsi="Times New Roman" w:eastAsia="宋体" w:cs="Times New Roman"/>
          <w:color w:val="000000"/>
          <w:szCs w:val="24"/>
        </w:rPr>
        <w:t>(r)—预测点（r）处，第i倍频带声压级，dB；</w:t>
      </w:r>
    </w:p>
    <w:p w14:paraId="120910AE">
      <w:pPr>
        <w:tabs>
          <w:tab w:val="left" w:pos="180"/>
        </w:tabs>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position w:val="-12"/>
          <w:szCs w:val="24"/>
        </w:rPr>
        <w:object>
          <v:shape id="_x0000_i1041" o:spt="75" type="#_x0000_t75" style="height:15.35pt;width:22pt;" o:ole="t" filled="f" o:preferrelative="t" stroked="f" coordsize="21600,21600">
            <v:path/>
            <v:fill on="f" focussize="0,0"/>
            <v:stroke on="f" joinstyle="miter"/>
            <v:imagedata r:id="rId53" o:title=""/>
            <o:lock v:ext="edit" aspectratio="t"/>
            <w10:wrap type="none"/>
            <w10:anchorlock/>
          </v:shape>
          <o:OLEObject Type="Embed" ProgID="Equation.3" ShapeID="_x0000_i1041" DrawAspect="Content" ObjectID="_1468075742" r:id="rId52">
            <o:LockedField>false</o:LockedField>
          </o:OLEObject>
        </w:object>
      </w:r>
      <w:r>
        <w:rPr>
          <w:rFonts w:ascii="Times New Roman" w:hAnsi="Times New Roman" w:eastAsia="宋体" w:cs="Times New Roman"/>
          <w:color w:val="000000"/>
          <w:szCs w:val="24"/>
        </w:rPr>
        <w:t>—i倍频带A计权网络修正值，dB。</w:t>
      </w:r>
    </w:p>
    <w:p w14:paraId="600A2AC1">
      <w:pPr>
        <w:tabs>
          <w:tab w:val="left" w:pos="180"/>
        </w:tabs>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在不能取得声源倍频带声功率级或倍频带声压级，只能获得A声功率级或某点的A声级时，可按公式（4）和（5）作近似计算：</w:t>
      </w:r>
    </w:p>
    <w:p w14:paraId="60D11F0E">
      <w:pPr>
        <w:tabs>
          <w:tab w:val="left" w:pos="180"/>
        </w:tabs>
        <w:adjustRightInd w:val="0"/>
        <w:snapToGrid w:val="0"/>
        <w:spacing w:line="480" w:lineRule="exact"/>
        <w:ind w:firstLine="480"/>
        <w:rPr>
          <w:rFonts w:ascii="Times New Roman" w:hAnsi="Times New Roman" w:eastAsia="宋体" w:cs="Times New Roman"/>
          <w:color w:val="000000"/>
          <w:szCs w:val="24"/>
        </w:rPr>
      </w:pPr>
      <w:r>
        <w:rPr>
          <w:rFonts w:ascii="Times New Roman" w:hAnsi="Times New Roman" w:eastAsia="宋体" w:cs="Times New Roman"/>
          <w:color w:val="000000"/>
          <w:position w:val="-12"/>
          <w:szCs w:val="24"/>
        </w:rPr>
        <w:object>
          <v:shape id="_x0000_i1042" o:spt="75" type="#_x0000_t75" style="height:22pt;width:102.65pt;" o:ole="t" filled="f" o:preferrelative="t" stroked="f" coordsize="21600,21600">
            <v:path/>
            <v:fill on="f" focussize="0,0"/>
            <v:stroke on="f" joinstyle="miter"/>
            <v:imagedata r:id="rId55" o:title=""/>
            <o:lock v:ext="edit" aspectratio="t"/>
            <w10:wrap type="none"/>
            <w10:anchorlock/>
          </v:shape>
          <o:OLEObject Type="Embed" ProgID="Equation.3" ShapeID="_x0000_i1042" DrawAspect="Content" ObjectID="_1468075743" r:id="rId54">
            <o:LockedField>false</o:LockedField>
          </o:OLEObject>
        </w:object>
      </w:r>
      <w:r>
        <w:rPr>
          <w:rFonts w:ascii="Times New Roman" w:hAnsi="Times New Roman" w:eastAsia="宋体" w:cs="Times New Roman"/>
          <w:color w:val="000000"/>
          <w:szCs w:val="24"/>
        </w:rPr>
        <w:t>（4）</w:t>
      </w:r>
    </w:p>
    <w:p w14:paraId="111F9F8C">
      <w:pPr>
        <w:tabs>
          <w:tab w:val="left" w:pos="180"/>
        </w:tabs>
        <w:adjustRightInd w:val="0"/>
        <w:snapToGrid w:val="0"/>
        <w:spacing w:line="480" w:lineRule="exact"/>
        <w:ind w:firstLine="480"/>
        <w:rPr>
          <w:rFonts w:ascii="Times New Roman" w:hAnsi="Times New Roman" w:eastAsia="宋体" w:cs="Times New Roman"/>
          <w:color w:val="000000"/>
          <w:szCs w:val="24"/>
        </w:rPr>
      </w:pPr>
      <w:r>
        <w:rPr>
          <w:rFonts w:ascii="Times New Roman" w:hAnsi="Times New Roman" w:eastAsia="宋体" w:cs="Times New Roman"/>
          <w:color w:val="000000"/>
          <w:szCs w:val="24"/>
        </w:rPr>
        <w:t>或</w:t>
      </w:r>
      <w:r>
        <w:rPr>
          <w:rFonts w:ascii="Times New Roman" w:hAnsi="Times New Roman" w:eastAsia="宋体" w:cs="Times New Roman"/>
          <w:color w:val="000000"/>
          <w:position w:val="-12"/>
          <w:szCs w:val="24"/>
        </w:rPr>
        <w:object>
          <v:shape id="_x0000_i1043" o:spt="75" type="#_x0000_t75" style="height:22pt;width:94pt;" o:ole="t" filled="f" o:preferrelative="t" stroked="f" coordsize="21600,21600">
            <v:path/>
            <v:fill on="f" focussize="0,0"/>
            <v:stroke on="f" joinstyle="miter"/>
            <v:imagedata r:id="rId57" o:title=""/>
            <o:lock v:ext="edit" aspectratio="t"/>
            <w10:wrap type="none"/>
            <w10:anchorlock/>
          </v:shape>
          <o:OLEObject Type="Embed" ProgID="Equation.3" ShapeID="_x0000_i1043" DrawAspect="Content" ObjectID="_1468075744" r:id="rId56">
            <o:LockedField>false</o:LockedField>
          </o:OLEObject>
        </w:object>
      </w:r>
      <w:r>
        <w:rPr>
          <w:rFonts w:ascii="Times New Roman" w:hAnsi="Times New Roman" w:eastAsia="宋体" w:cs="Times New Roman"/>
          <w:color w:val="000000"/>
          <w:szCs w:val="24"/>
        </w:rPr>
        <w:t>（5）</w:t>
      </w:r>
    </w:p>
    <w:p w14:paraId="2B2E6FB1">
      <w:pPr>
        <w:tabs>
          <w:tab w:val="left" w:pos="180"/>
        </w:tabs>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 xml:space="preserve"> A可选择对A声级影响最大的倍频带计算，一般可选中心频率为500Hz的倍频带作估算。</w:t>
      </w:r>
    </w:p>
    <w:p w14:paraId="40C0C8C5">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②室内声源等效室外声源声功率级计算方法</w:t>
      </w:r>
    </w:p>
    <w:p w14:paraId="587F89A7">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设靠近开口处（或窗户）室内、室外某倍频带的声压级分别为L</w:t>
      </w:r>
      <w:r>
        <w:rPr>
          <w:rFonts w:ascii="Times New Roman" w:hAnsi="Times New Roman" w:eastAsia="宋体" w:cs="Times New Roman"/>
          <w:color w:val="000000"/>
          <w:szCs w:val="24"/>
          <w:vertAlign w:val="subscript"/>
        </w:rPr>
        <w:t>p1</w:t>
      </w:r>
      <w:r>
        <w:rPr>
          <w:rFonts w:ascii="Times New Roman" w:hAnsi="Times New Roman" w:eastAsia="宋体" w:cs="Times New Roman"/>
          <w:color w:val="000000"/>
          <w:szCs w:val="24"/>
        </w:rPr>
        <w:t>和L</w:t>
      </w:r>
      <w:r>
        <w:rPr>
          <w:rFonts w:ascii="Times New Roman" w:hAnsi="Times New Roman" w:eastAsia="宋体" w:cs="Times New Roman"/>
          <w:color w:val="000000"/>
          <w:szCs w:val="24"/>
          <w:vertAlign w:val="subscript"/>
        </w:rPr>
        <w:t>p2</w:t>
      </w:r>
      <w:r>
        <w:rPr>
          <w:rFonts w:ascii="Times New Roman" w:hAnsi="Times New Roman" w:eastAsia="宋体" w:cs="Times New Roman"/>
          <w:color w:val="000000"/>
          <w:szCs w:val="24"/>
        </w:rPr>
        <w:t>。若声源所在室内声场为近似扩散声场，则室外的倍频带声压级可按公式（6）近似求出：</w:t>
      </w:r>
    </w:p>
    <w:p w14:paraId="792B6B9B">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position w:val="-14"/>
          <w:szCs w:val="24"/>
        </w:rPr>
        <w:object>
          <v:shape id="_x0000_i1044" o:spt="75" type="#_x0000_t75" style="height:22pt;width:98pt;" o:ole="t" filled="f" o:preferrelative="t" stroked="f" coordsize="21600,21600">
            <v:path/>
            <v:fill on="f" focussize="0,0"/>
            <v:stroke on="f" joinstyle="miter"/>
            <v:imagedata r:id="rId59" o:title=""/>
            <o:lock v:ext="edit" aspectratio="t"/>
            <w10:wrap type="none"/>
            <w10:anchorlock/>
          </v:shape>
          <o:OLEObject Type="Embed" ProgID="Equation.3" ShapeID="_x0000_i1044" DrawAspect="Content" ObjectID="_1468075745" r:id="rId58">
            <o:LockedField>false</o:LockedField>
          </o:OLEObject>
        </w:object>
      </w:r>
      <w:r>
        <w:rPr>
          <w:rFonts w:ascii="Times New Roman" w:hAnsi="Times New Roman" w:eastAsia="宋体" w:cs="Times New Roman"/>
          <w:color w:val="000000"/>
          <w:szCs w:val="24"/>
        </w:rPr>
        <w:t>（6）</w:t>
      </w:r>
    </w:p>
    <w:p w14:paraId="3A77C369">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式中：TL－隔墙（或窗户）倍频带的隔声量，dB。</w:t>
      </w:r>
    </w:p>
    <w:p w14:paraId="0D6F2300">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也可按公式（7）计算某一室内声源靠近围护结构处产生的倍频带声压级：</w:t>
      </w:r>
    </w:p>
    <w:p w14:paraId="65517682">
      <w:pPr>
        <w:adjustRightInd w:val="0"/>
        <w:snapToGrid w:val="0"/>
        <w:spacing w:line="240" w:lineRule="auto"/>
        <w:ind w:firstLine="482"/>
        <w:rPr>
          <w:rFonts w:ascii="Times New Roman" w:hAnsi="Times New Roman" w:eastAsia="宋体" w:cs="Times New Roman"/>
          <w:color w:val="000000"/>
          <w:szCs w:val="24"/>
        </w:rPr>
      </w:pPr>
      <w:r>
        <w:rPr>
          <w:rFonts w:ascii="Times New Roman" w:hAnsi="Times New Roman" w:eastAsia="宋体" w:cs="Times New Roman"/>
          <w:color w:val="000000"/>
          <w:position w:val="-24"/>
          <w:szCs w:val="24"/>
        </w:rPr>
        <w:object>
          <v:shape id="_x0000_i1045" o:spt="75" type="#_x0000_t75" style="height:30.65pt;width:132.65pt;" o:ole="t" filled="f" o:preferrelative="t" stroked="f" coordsize="21600,21600">
            <v:path/>
            <v:fill on="f" focussize="0,0"/>
            <v:stroke on="f" joinstyle="miter"/>
            <v:imagedata r:id="rId61" o:title=""/>
            <o:lock v:ext="edit" aspectratio="t"/>
            <w10:wrap type="none"/>
            <w10:anchorlock/>
          </v:shape>
          <o:OLEObject Type="Embed" ProgID="Equation.3" ShapeID="_x0000_i1045" DrawAspect="Content" ObjectID="_1468075746" r:id="rId60">
            <o:LockedField>false</o:LockedField>
          </o:OLEObject>
        </w:object>
      </w:r>
      <w:r>
        <w:rPr>
          <w:rFonts w:ascii="Times New Roman" w:hAnsi="Times New Roman" w:eastAsia="宋体" w:cs="Times New Roman"/>
          <w:color w:val="000000"/>
          <w:szCs w:val="24"/>
        </w:rPr>
        <w:t>（7）</w:t>
      </w:r>
    </w:p>
    <w:p w14:paraId="199D677D">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式中：Q—指向性因数；通常对无指向性声源，当声源放在房间中心式，Q=1；当放在一面墙的中心时，Q=2；当放在两面墙夹角处时，Q=4；当放在三面墙夹角处时，Q=8。</w:t>
      </w:r>
    </w:p>
    <w:p w14:paraId="6CF4823E">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 xml:space="preserve">     R—房间常数；</w:t>
      </w:r>
      <w:r>
        <w:rPr>
          <w:rFonts w:ascii="Times New Roman" w:hAnsi="Times New Roman" w:eastAsia="宋体" w:cs="Times New Roman"/>
          <w:color w:val="000000"/>
          <w:position w:val="-10"/>
          <w:szCs w:val="24"/>
        </w:rPr>
        <w:object>
          <v:shape id="_x0000_i1046" o:spt="75" type="#_x0000_t75" style="height:15.35pt;width:78.65pt;" o:ole="t" filled="f" o:preferrelative="t" stroked="f" coordsize="21600,21600">
            <v:path/>
            <v:fill on="f" focussize="0,0"/>
            <v:stroke on="f" joinstyle="miter"/>
            <v:imagedata r:id="rId63" o:title=""/>
            <o:lock v:ext="edit" aspectratio="t"/>
            <w10:wrap type="none"/>
            <w10:anchorlock/>
          </v:shape>
          <o:OLEObject Type="Embed" ProgID="Equation.3" ShapeID="_x0000_i1046" DrawAspect="Content" ObjectID="_1468075747" r:id="rId62">
            <o:LockedField>false</o:LockedField>
          </o:OLEObject>
        </w:object>
      </w:r>
      <w:r>
        <w:rPr>
          <w:rFonts w:ascii="Times New Roman" w:hAnsi="Times New Roman" w:eastAsia="宋体" w:cs="Times New Roman"/>
          <w:color w:val="000000"/>
          <w:szCs w:val="24"/>
        </w:rPr>
        <w:t>，S为房间内表面面积，m</w:t>
      </w:r>
      <w:r>
        <w:rPr>
          <w:rFonts w:ascii="Times New Roman" w:hAnsi="Times New Roman" w:eastAsia="宋体" w:cs="Times New Roman"/>
          <w:color w:val="000000"/>
          <w:szCs w:val="24"/>
          <w:vertAlign w:val="superscript"/>
        </w:rPr>
        <w:t>2</w:t>
      </w:r>
      <w:r>
        <w:rPr>
          <w:rFonts w:ascii="Times New Roman" w:hAnsi="Times New Roman" w:eastAsia="宋体" w:cs="Times New Roman"/>
          <w:color w:val="000000"/>
          <w:szCs w:val="24"/>
        </w:rPr>
        <w:t>；</w:t>
      </w:r>
      <w:r>
        <w:rPr>
          <w:rFonts w:ascii="Times New Roman" w:hAnsi="Times New Roman" w:eastAsia="宋体" w:cs="Times New Roman"/>
          <w:color w:val="000000"/>
          <w:position w:val="-6"/>
          <w:szCs w:val="24"/>
        </w:rPr>
        <w:object>
          <v:shape id="_x0000_i1047" o:spt="75" type="#_x0000_t75" style="height:11.35pt;width:15.35pt;" o:ole="t" filled="f" o:preferrelative="t" stroked="f" coordsize="21600,21600">
            <v:path/>
            <v:fill on="f" focussize="0,0"/>
            <v:stroke on="f" joinstyle="miter"/>
            <v:imagedata r:id="rId65" o:title=""/>
            <o:lock v:ext="edit" aspectratio="t"/>
            <w10:wrap type="none"/>
            <w10:anchorlock/>
          </v:shape>
          <o:OLEObject Type="Embed" ProgID="Equation.3" ShapeID="_x0000_i1047" DrawAspect="Content" ObjectID="_1468075748" r:id="rId64">
            <o:LockedField>false</o:LockedField>
          </o:OLEObject>
        </w:object>
      </w:r>
      <w:r>
        <w:rPr>
          <w:rFonts w:ascii="Times New Roman" w:hAnsi="Times New Roman" w:eastAsia="宋体" w:cs="Times New Roman"/>
          <w:color w:val="000000"/>
          <w:szCs w:val="24"/>
        </w:rPr>
        <w:t>为平均吸声系数。</w:t>
      </w:r>
    </w:p>
    <w:p w14:paraId="67546665">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 xml:space="preserve">     r—声源到靠近围护结构某点处的距离，m。</w:t>
      </w:r>
    </w:p>
    <w:p w14:paraId="3F9D07A9">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然后按公式（8）计算出所有室内声源在围护结构处产生的i倍频带声压级：</w:t>
      </w:r>
    </w:p>
    <w:p w14:paraId="72E7DDB9">
      <w:pPr>
        <w:adjustRightInd w:val="0"/>
        <w:snapToGrid w:val="0"/>
        <w:spacing w:line="240" w:lineRule="auto"/>
        <w:ind w:firstLine="480"/>
        <w:rPr>
          <w:rFonts w:ascii="Times New Roman" w:hAnsi="Times New Roman" w:eastAsia="宋体" w:cs="Times New Roman"/>
          <w:color w:val="000000"/>
          <w:szCs w:val="24"/>
        </w:rPr>
      </w:pPr>
      <w:r>
        <w:rPr>
          <w:rFonts w:ascii="Times New Roman" w:hAnsi="Times New Roman" w:eastAsia="宋体" w:cs="Times New Roman"/>
          <w:color w:val="000000"/>
          <w:position w:val="-30"/>
          <w:szCs w:val="24"/>
        </w:rPr>
        <w:object>
          <v:shape id="_x0000_i1048" o:spt="75" type="#_x0000_t75" style="height:30.65pt;width:128pt;" o:ole="t" filled="f" o:preferrelative="t" stroked="f" coordsize="21600,21600">
            <v:path/>
            <v:fill on="f" focussize="0,0"/>
            <v:stroke on="f" joinstyle="miter"/>
            <v:imagedata r:id="rId67" o:title=""/>
            <o:lock v:ext="edit" aspectratio="t"/>
            <w10:wrap type="none"/>
            <w10:anchorlock/>
          </v:shape>
          <o:OLEObject Type="Embed" ProgID="Equation.3" ShapeID="_x0000_i1048" DrawAspect="Content" ObjectID="_1468075749" r:id="rId66">
            <o:LockedField>false</o:LockedField>
          </o:OLEObject>
        </w:object>
      </w:r>
      <w:r>
        <w:rPr>
          <w:rFonts w:ascii="Times New Roman" w:hAnsi="Times New Roman" w:eastAsia="宋体" w:cs="Times New Roman"/>
          <w:color w:val="000000"/>
          <w:szCs w:val="24"/>
        </w:rPr>
        <w:t>（8）</w:t>
      </w:r>
    </w:p>
    <w:p w14:paraId="23D2CC4A">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式中：L</w:t>
      </w:r>
      <w:r>
        <w:rPr>
          <w:rFonts w:ascii="Times New Roman" w:hAnsi="Times New Roman" w:eastAsia="宋体" w:cs="Times New Roman"/>
          <w:color w:val="000000"/>
          <w:szCs w:val="24"/>
          <w:vertAlign w:val="subscript"/>
        </w:rPr>
        <w:t>P1i</w:t>
      </w:r>
      <w:r>
        <w:rPr>
          <w:rFonts w:ascii="Times New Roman" w:hAnsi="Times New Roman" w:eastAsia="宋体" w:cs="Times New Roman"/>
          <w:color w:val="000000"/>
          <w:szCs w:val="24"/>
        </w:rPr>
        <w:t>(T)—靠近围护结构处室内N个声源i倍频带的叠加声压级，dB；</w:t>
      </w:r>
    </w:p>
    <w:p w14:paraId="68956997">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 xml:space="preserve">      L</w:t>
      </w:r>
      <w:r>
        <w:rPr>
          <w:rFonts w:ascii="Times New Roman" w:hAnsi="Times New Roman" w:eastAsia="宋体" w:cs="Times New Roman"/>
          <w:color w:val="000000"/>
          <w:szCs w:val="24"/>
          <w:vertAlign w:val="subscript"/>
        </w:rPr>
        <w:t>P1ij</w:t>
      </w:r>
      <w:r>
        <w:rPr>
          <w:rFonts w:ascii="Times New Roman" w:hAnsi="Times New Roman" w:eastAsia="宋体" w:cs="Times New Roman"/>
          <w:color w:val="000000"/>
          <w:szCs w:val="24"/>
        </w:rPr>
        <w:t>—室内j声源i倍频带的声压级，dB；</w:t>
      </w:r>
    </w:p>
    <w:p w14:paraId="299C0A8F">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 xml:space="preserve">      N—室内声源总数。</w:t>
      </w:r>
    </w:p>
    <w:p w14:paraId="1AB00540">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在室内近似为扩散声场时，按公式（9）计算出靠近室外围护结构处的声压级：</w:t>
      </w:r>
    </w:p>
    <w:p w14:paraId="7B8E2D80">
      <w:pPr>
        <w:adjustRightInd w:val="0"/>
        <w:snapToGrid w:val="0"/>
        <w:spacing w:line="240" w:lineRule="auto"/>
        <w:ind w:firstLine="482"/>
        <w:rPr>
          <w:rFonts w:ascii="Times New Roman" w:hAnsi="Times New Roman" w:eastAsia="宋体" w:cs="Times New Roman"/>
          <w:color w:val="000000"/>
          <w:szCs w:val="24"/>
        </w:rPr>
      </w:pPr>
      <w:r>
        <w:rPr>
          <w:rFonts w:ascii="Times New Roman" w:hAnsi="Times New Roman" w:eastAsia="宋体" w:cs="Times New Roman"/>
          <w:color w:val="000000"/>
          <w:position w:val="-12"/>
          <w:szCs w:val="24"/>
        </w:rPr>
        <w:object>
          <v:shape id="_x0000_i1049" o:spt="75" type="#_x0000_t75" style="height:22pt;width:143.35pt;" o:ole="t" filled="f" o:preferrelative="t" stroked="f" coordsize="21600,21600">
            <v:path/>
            <v:fill on="f" focussize="0,0"/>
            <v:stroke on="f" joinstyle="miter"/>
            <v:imagedata r:id="rId69" o:title=""/>
            <o:lock v:ext="edit" aspectratio="t"/>
            <w10:wrap type="none"/>
            <w10:anchorlock/>
          </v:shape>
          <o:OLEObject Type="Embed" ProgID="Equation.3" ShapeID="_x0000_i1049" DrawAspect="Content" ObjectID="_1468075750" r:id="rId68">
            <o:LockedField>false</o:LockedField>
          </o:OLEObject>
        </w:object>
      </w:r>
      <w:r>
        <w:rPr>
          <w:rFonts w:ascii="Times New Roman" w:hAnsi="Times New Roman" w:eastAsia="宋体" w:cs="Times New Roman"/>
          <w:color w:val="000000"/>
          <w:szCs w:val="24"/>
        </w:rPr>
        <w:t>（9）</w:t>
      </w:r>
    </w:p>
    <w:p w14:paraId="7B274B95">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式中：L</w:t>
      </w:r>
      <w:r>
        <w:rPr>
          <w:rFonts w:ascii="Times New Roman" w:hAnsi="Times New Roman" w:eastAsia="宋体" w:cs="Times New Roman"/>
          <w:color w:val="000000"/>
          <w:szCs w:val="24"/>
          <w:vertAlign w:val="subscript"/>
        </w:rPr>
        <w:t>P2i</w:t>
      </w:r>
      <w:r>
        <w:rPr>
          <w:rFonts w:ascii="Times New Roman" w:hAnsi="Times New Roman" w:eastAsia="宋体" w:cs="Times New Roman"/>
          <w:color w:val="000000"/>
          <w:szCs w:val="24"/>
        </w:rPr>
        <w:t>(T)—靠近围护结构处室外N个声源i倍频带的叠加声压级，dB；</w:t>
      </w:r>
    </w:p>
    <w:p w14:paraId="6B1532BE">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 xml:space="preserve">      TL</w:t>
      </w:r>
      <w:r>
        <w:rPr>
          <w:rFonts w:ascii="Times New Roman" w:hAnsi="Times New Roman" w:eastAsia="宋体" w:cs="Times New Roman"/>
          <w:color w:val="000000"/>
          <w:szCs w:val="24"/>
          <w:vertAlign w:val="subscript"/>
        </w:rPr>
        <w:t>i</w:t>
      </w:r>
      <w:r>
        <w:rPr>
          <w:rFonts w:ascii="Times New Roman" w:hAnsi="Times New Roman" w:eastAsia="宋体" w:cs="Times New Roman"/>
          <w:color w:val="000000"/>
          <w:szCs w:val="24"/>
        </w:rPr>
        <w:t>—围护结构i倍频带的隔声量，dB。</w:t>
      </w:r>
    </w:p>
    <w:p w14:paraId="710F55C1">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然后按公式（10）将室外声源的声压级和透过面积换算成等效的室外声源，计算出中心位置位于透声面积（S）处的等效声源的倍频带声功率级。</w:t>
      </w:r>
    </w:p>
    <w:p w14:paraId="6AA493F2">
      <w:pPr>
        <w:adjustRightInd w:val="0"/>
        <w:snapToGrid w:val="0"/>
        <w:spacing w:line="240" w:lineRule="auto"/>
        <w:ind w:firstLine="482"/>
        <w:rPr>
          <w:rFonts w:ascii="Times New Roman" w:hAnsi="Times New Roman" w:eastAsia="宋体" w:cs="Times New Roman"/>
          <w:color w:val="000000"/>
          <w:szCs w:val="24"/>
        </w:rPr>
      </w:pPr>
      <w:r>
        <w:rPr>
          <w:rFonts w:ascii="Times New Roman" w:hAnsi="Times New Roman" w:eastAsia="宋体" w:cs="Times New Roman"/>
          <w:color w:val="000000"/>
          <w:position w:val="-12"/>
          <w:szCs w:val="24"/>
        </w:rPr>
        <w:object>
          <v:shape id="_x0000_i1050" o:spt="75" type="#_x0000_t75" style="height:22pt;width:106pt;" o:ole="t" filled="f" o:preferrelative="t" stroked="f" coordsize="21600,21600">
            <v:path/>
            <v:fill on="f" focussize="0,0"/>
            <v:stroke on="f" joinstyle="miter"/>
            <v:imagedata r:id="rId71" o:title=""/>
            <o:lock v:ext="edit" aspectratio="t"/>
            <w10:wrap type="none"/>
            <w10:anchorlock/>
          </v:shape>
          <o:OLEObject Type="Embed" ProgID="Equation.3" ShapeID="_x0000_i1050" DrawAspect="Content" ObjectID="_1468075751" r:id="rId70">
            <o:LockedField>false</o:LockedField>
          </o:OLEObject>
        </w:object>
      </w:r>
      <w:r>
        <w:rPr>
          <w:rFonts w:ascii="Times New Roman" w:hAnsi="Times New Roman" w:eastAsia="宋体" w:cs="Times New Roman"/>
          <w:color w:val="000000"/>
          <w:szCs w:val="24"/>
        </w:rPr>
        <w:t>（10）</w:t>
      </w:r>
    </w:p>
    <w:p w14:paraId="39B532DD">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然后按室外声源预测方法计算预测点处的A声级。</w:t>
      </w:r>
    </w:p>
    <w:p w14:paraId="3297FD62">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fldChar w:fldCharType="begin"/>
      </w:r>
      <w:r>
        <w:rPr>
          <w:rFonts w:ascii="Times New Roman" w:hAnsi="Times New Roman" w:eastAsia="宋体" w:cs="Times New Roman"/>
          <w:color w:val="000000"/>
          <w:szCs w:val="24"/>
        </w:rPr>
        <w:instrText xml:space="preserve"> = 3 \* GB3 </w:instrText>
      </w:r>
      <w:r>
        <w:rPr>
          <w:rFonts w:ascii="Times New Roman" w:hAnsi="Times New Roman" w:eastAsia="宋体" w:cs="Times New Roman"/>
          <w:color w:val="000000"/>
          <w:szCs w:val="24"/>
        </w:rPr>
        <w:fldChar w:fldCharType="separate"/>
      </w:r>
      <w:r>
        <w:rPr>
          <w:rFonts w:ascii="Times New Roman" w:hAnsi="Times New Roman" w:eastAsia="宋体" w:cs="Times New Roman"/>
          <w:color w:val="000000"/>
          <w:szCs w:val="24"/>
        </w:rPr>
        <w:t>③</w:t>
      </w:r>
      <w:r>
        <w:rPr>
          <w:rFonts w:ascii="Times New Roman" w:hAnsi="Times New Roman" w:eastAsia="宋体" w:cs="Times New Roman"/>
          <w:color w:val="000000"/>
          <w:szCs w:val="24"/>
        </w:rPr>
        <w:fldChar w:fldCharType="end"/>
      </w:r>
      <w:r>
        <w:rPr>
          <w:rFonts w:ascii="Times New Roman" w:hAnsi="Times New Roman" w:eastAsia="宋体" w:cs="Times New Roman"/>
          <w:color w:val="000000"/>
          <w:szCs w:val="24"/>
        </w:rPr>
        <w:t>噪声贡献值计算</w:t>
      </w:r>
    </w:p>
    <w:p w14:paraId="67B1F0C8">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设第i个室外声源在预测点产生的A声级为L</w:t>
      </w:r>
      <w:r>
        <w:rPr>
          <w:rFonts w:ascii="Times New Roman" w:hAnsi="Times New Roman" w:eastAsia="宋体" w:cs="Times New Roman"/>
          <w:color w:val="000000"/>
          <w:szCs w:val="24"/>
          <w:vertAlign w:val="subscript"/>
        </w:rPr>
        <w:t>Ai</w:t>
      </w:r>
      <w:r>
        <w:rPr>
          <w:rFonts w:ascii="Times New Roman" w:hAnsi="Times New Roman" w:eastAsia="宋体" w:cs="Times New Roman"/>
          <w:color w:val="000000"/>
          <w:szCs w:val="24"/>
        </w:rPr>
        <w:t>，在T时间内该声源工作时间为t</w:t>
      </w:r>
      <w:r>
        <w:rPr>
          <w:rFonts w:ascii="Times New Roman" w:hAnsi="Times New Roman" w:eastAsia="宋体" w:cs="Times New Roman"/>
          <w:color w:val="000000"/>
          <w:szCs w:val="24"/>
          <w:vertAlign w:val="subscript"/>
        </w:rPr>
        <w:t>i</w:t>
      </w:r>
      <w:r>
        <w:rPr>
          <w:rFonts w:ascii="Times New Roman" w:hAnsi="Times New Roman" w:eastAsia="宋体" w:cs="Times New Roman"/>
          <w:color w:val="000000"/>
          <w:szCs w:val="24"/>
        </w:rPr>
        <w:t>；第j个等效室外声源在预测点产生的A声级为L</w:t>
      </w:r>
      <w:r>
        <w:rPr>
          <w:rFonts w:ascii="Times New Roman" w:hAnsi="Times New Roman" w:eastAsia="宋体" w:cs="Times New Roman"/>
          <w:color w:val="000000"/>
          <w:szCs w:val="24"/>
          <w:vertAlign w:val="subscript"/>
        </w:rPr>
        <w:t>Aj</w:t>
      </w:r>
      <w:r>
        <w:rPr>
          <w:rFonts w:ascii="Times New Roman" w:hAnsi="Times New Roman" w:eastAsia="宋体" w:cs="Times New Roman"/>
          <w:color w:val="000000"/>
          <w:szCs w:val="24"/>
        </w:rPr>
        <w:t>，在T时间内该声源工作时间为t</w:t>
      </w:r>
      <w:r>
        <w:rPr>
          <w:rFonts w:ascii="Times New Roman" w:hAnsi="Times New Roman" w:eastAsia="宋体" w:cs="Times New Roman"/>
          <w:color w:val="000000"/>
          <w:szCs w:val="24"/>
          <w:vertAlign w:val="subscript"/>
        </w:rPr>
        <w:t>j</w:t>
      </w:r>
      <w:r>
        <w:rPr>
          <w:rFonts w:ascii="Times New Roman" w:hAnsi="Times New Roman" w:eastAsia="宋体" w:cs="Times New Roman"/>
          <w:color w:val="000000"/>
          <w:szCs w:val="24"/>
        </w:rPr>
        <w:t>，则拟建工程声源对预测点产生的贡献值（L</w:t>
      </w:r>
      <w:r>
        <w:rPr>
          <w:rFonts w:ascii="Times New Roman" w:hAnsi="Times New Roman" w:eastAsia="宋体" w:cs="Times New Roman"/>
          <w:color w:val="000000"/>
          <w:szCs w:val="24"/>
          <w:vertAlign w:val="subscript"/>
        </w:rPr>
        <w:t>eqg</w:t>
      </w:r>
      <w:r>
        <w:rPr>
          <w:rFonts w:ascii="Times New Roman" w:hAnsi="Times New Roman" w:eastAsia="宋体" w:cs="Times New Roman"/>
          <w:color w:val="000000"/>
          <w:szCs w:val="24"/>
        </w:rPr>
        <w:t>）为：</w:t>
      </w:r>
    </w:p>
    <w:p w14:paraId="77BACECE">
      <w:pPr>
        <w:adjustRightInd w:val="0"/>
        <w:snapToGrid w:val="0"/>
        <w:spacing w:line="240" w:lineRule="auto"/>
        <w:ind w:firstLine="480"/>
        <w:rPr>
          <w:rFonts w:ascii="Times New Roman" w:hAnsi="Times New Roman" w:eastAsia="宋体" w:cs="Times New Roman"/>
          <w:color w:val="000000"/>
          <w:szCs w:val="24"/>
        </w:rPr>
      </w:pPr>
      <w:r>
        <w:rPr>
          <w:rFonts w:ascii="Times New Roman" w:hAnsi="Times New Roman" w:eastAsia="宋体" w:cs="Times New Roman"/>
          <w:color w:val="000000"/>
          <w:position w:val="-30"/>
          <w:szCs w:val="24"/>
        </w:rPr>
        <w:object>
          <v:shape id="_x0000_i1051" o:spt="75" type="#_x0000_t75" style="height:30.65pt;width:208pt;" o:ole="t" filled="f" o:preferrelative="t" stroked="f" coordsize="21600,21600">
            <v:path/>
            <v:fill on="f" focussize="0,0"/>
            <v:stroke on="f" joinstyle="miter"/>
            <v:imagedata r:id="rId73" o:title=""/>
            <o:lock v:ext="edit" aspectratio="t"/>
            <w10:wrap type="none"/>
            <w10:anchorlock/>
          </v:shape>
          <o:OLEObject Type="Embed" ProgID="Equation.3" ShapeID="_x0000_i1051" DrawAspect="Content" ObjectID="_1468075752" r:id="rId72">
            <o:LockedField>false</o:LockedField>
          </o:OLEObject>
        </w:object>
      </w:r>
      <w:r>
        <w:rPr>
          <w:rFonts w:ascii="Times New Roman" w:hAnsi="Times New Roman" w:eastAsia="宋体" w:cs="Times New Roman"/>
          <w:color w:val="000000"/>
          <w:szCs w:val="24"/>
        </w:rPr>
        <w:t>（11）</w:t>
      </w:r>
    </w:p>
    <w:p w14:paraId="0D717083">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式中：t</w:t>
      </w:r>
      <w:r>
        <w:rPr>
          <w:rFonts w:ascii="Times New Roman" w:hAnsi="Times New Roman" w:eastAsia="宋体" w:cs="Times New Roman"/>
          <w:color w:val="000000"/>
          <w:szCs w:val="24"/>
          <w:vertAlign w:val="subscript"/>
        </w:rPr>
        <w:t>j</w:t>
      </w:r>
      <w:r>
        <w:rPr>
          <w:rFonts w:ascii="Times New Roman" w:hAnsi="Times New Roman" w:eastAsia="宋体" w:cs="Times New Roman"/>
          <w:color w:val="000000"/>
          <w:szCs w:val="24"/>
        </w:rPr>
        <w:t>—在T时间内j声源工作时间，s；</w:t>
      </w:r>
    </w:p>
    <w:p w14:paraId="32E6DC26">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 xml:space="preserve">      t</w:t>
      </w:r>
      <w:r>
        <w:rPr>
          <w:rFonts w:ascii="Times New Roman" w:hAnsi="Times New Roman" w:eastAsia="宋体" w:cs="Times New Roman"/>
          <w:color w:val="000000"/>
          <w:szCs w:val="24"/>
          <w:vertAlign w:val="subscript"/>
        </w:rPr>
        <w:t>i</w:t>
      </w:r>
      <w:r>
        <w:rPr>
          <w:rFonts w:ascii="Times New Roman" w:hAnsi="Times New Roman" w:eastAsia="宋体" w:cs="Times New Roman"/>
          <w:color w:val="000000"/>
          <w:szCs w:val="24"/>
        </w:rPr>
        <w:t>—在T时间内i声源工作时间，s；</w:t>
      </w:r>
    </w:p>
    <w:p w14:paraId="316205A9">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 xml:space="preserve">      T—用于计算等效声级的时间，s；</w:t>
      </w:r>
    </w:p>
    <w:p w14:paraId="59E83F0D">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 xml:space="preserve">      N—室外声源个数；</w:t>
      </w:r>
    </w:p>
    <w:p w14:paraId="41C4D1D2">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 xml:space="preserve">      M—等效室外声源个数。</w:t>
      </w:r>
    </w:p>
    <w:p w14:paraId="2C962861">
      <w:pPr>
        <w:adjustRightInd w:val="0"/>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④预测点预测值计算</w:t>
      </w:r>
    </w:p>
    <w:p w14:paraId="6054CC67">
      <w:pPr>
        <w:adjustRightInd w:val="0"/>
        <w:snapToGrid w:val="0"/>
        <w:spacing w:line="240" w:lineRule="auto"/>
        <w:ind w:firstLine="482"/>
        <w:rPr>
          <w:rFonts w:ascii="Times New Roman" w:hAnsi="Times New Roman" w:eastAsia="宋体" w:cs="Times New Roman"/>
          <w:color w:val="000000"/>
          <w:szCs w:val="24"/>
        </w:rPr>
      </w:pPr>
      <w:r>
        <w:rPr>
          <w:rFonts w:ascii="Times New Roman" w:hAnsi="Times New Roman" w:eastAsia="宋体" w:cs="Times New Roman"/>
          <w:color w:val="000000"/>
          <w:position w:val="-14"/>
          <w:szCs w:val="24"/>
        </w:rPr>
        <w:object>
          <v:shape id="_x0000_i1052" o:spt="75" type="#_x0000_t75" style="height:22pt;width:135.35pt;" o:ole="t" filled="f" o:preferrelative="t" stroked="f" coordsize="21600,21600">
            <v:path/>
            <v:fill on="f" focussize="0,0"/>
            <v:stroke on="f" joinstyle="miter"/>
            <v:imagedata r:id="rId75" o:title=""/>
            <o:lock v:ext="edit" aspectratio="t"/>
            <w10:wrap type="none"/>
            <w10:anchorlock/>
          </v:shape>
          <o:OLEObject Type="Embed" ProgID="Equation.3" ShapeID="_x0000_i1052" DrawAspect="Content" ObjectID="_1468075753" r:id="rId74">
            <o:LockedField>false</o:LockedField>
          </o:OLEObject>
        </w:object>
      </w:r>
      <w:r>
        <w:rPr>
          <w:rFonts w:ascii="Times New Roman" w:hAnsi="Times New Roman" w:eastAsia="宋体" w:cs="Times New Roman"/>
          <w:color w:val="000000"/>
          <w:szCs w:val="24"/>
        </w:rPr>
        <w:t>（12）</w:t>
      </w:r>
    </w:p>
    <w:p w14:paraId="23392228">
      <w:pPr>
        <w:adjustRightInd w:val="0"/>
        <w:snapToGrid w:val="0"/>
        <w:spacing w:line="480" w:lineRule="exact"/>
        <w:ind w:firstLine="480"/>
        <w:rPr>
          <w:rFonts w:ascii="Times New Roman" w:hAnsi="Times New Roman" w:eastAsia="宋体" w:cs="Times New Roman"/>
          <w:color w:val="000000"/>
          <w:szCs w:val="24"/>
        </w:rPr>
      </w:pPr>
      <w:r>
        <w:rPr>
          <w:rFonts w:ascii="Times New Roman" w:hAnsi="Times New Roman" w:eastAsia="宋体" w:cs="Times New Roman"/>
          <w:color w:val="000000"/>
          <w:szCs w:val="24"/>
        </w:rPr>
        <w:t>式中：L</w:t>
      </w:r>
      <w:r>
        <w:rPr>
          <w:rFonts w:ascii="Times New Roman" w:hAnsi="Times New Roman" w:eastAsia="宋体" w:cs="Times New Roman"/>
          <w:color w:val="000000"/>
          <w:position w:val="-5"/>
          <w:szCs w:val="24"/>
          <w:vertAlign w:val="subscript"/>
        </w:rPr>
        <w:t>eqg</w:t>
      </w:r>
      <w:r>
        <w:rPr>
          <w:rFonts w:ascii="Times New Roman" w:hAnsi="Times New Roman" w:eastAsia="宋体" w:cs="Times New Roman"/>
          <w:color w:val="000000"/>
          <w:szCs w:val="24"/>
        </w:rPr>
        <w:t>—建设项目声源在预测点的等效声级贡献值，dB(A)；</w:t>
      </w:r>
    </w:p>
    <w:p w14:paraId="0B0E8794">
      <w:pPr>
        <w:adjustRightInd w:val="0"/>
        <w:snapToGrid w:val="0"/>
        <w:spacing w:line="480" w:lineRule="exact"/>
        <w:ind w:firstLine="480" w:firstLineChars="200"/>
        <w:rPr>
          <w:rFonts w:ascii="Times New Roman" w:hAnsi="Times New Roman" w:eastAsia="宋体" w:cs="Times New Roman"/>
          <w:color w:val="000000"/>
          <w:szCs w:val="24"/>
        </w:rPr>
      </w:pPr>
      <w:r>
        <w:rPr>
          <w:rFonts w:ascii="Times New Roman" w:hAnsi="Times New Roman" w:eastAsia="宋体" w:cs="Times New Roman"/>
          <w:color w:val="000000"/>
          <w:szCs w:val="24"/>
        </w:rPr>
        <w:t xml:space="preserve">          L</w:t>
      </w:r>
      <w:r>
        <w:rPr>
          <w:rFonts w:ascii="Times New Roman" w:hAnsi="Times New Roman" w:eastAsia="宋体" w:cs="Times New Roman"/>
          <w:color w:val="000000"/>
          <w:szCs w:val="24"/>
          <w:vertAlign w:val="subscript"/>
        </w:rPr>
        <w:t>eqb</w:t>
      </w:r>
      <w:r>
        <w:rPr>
          <w:rFonts w:ascii="Times New Roman" w:hAnsi="Times New Roman" w:eastAsia="宋体" w:cs="Times New Roman"/>
          <w:color w:val="000000"/>
          <w:szCs w:val="24"/>
        </w:rPr>
        <w:t>—预测点的背景值，dB(A)。</w:t>
      </w:r>
    </w:p>
    <w:p w14:paraId="61E013E5">
      <w:pPr>
        <w:pStyle w:val="7"/>
        <w:spacing w:line="480" w:lineRule="exact"/>
      </w:pPr>
      <w:r>
        <w:rPr>
          <w:rFonts w:hint="eastAsia"/>
        </w:rPr>
        <w:t>5</w:t>
      </w:r>
      <w:r>
        <w:t>.</w:t>
      </w:r>
      <w:r>
        <w:rPr>
          <w:rFonts w:hint="eastAsia"/>
        </w:rPr>
        <w:t>4.5</w:t>
      </w:r>
      <w:r>
        <w:t xml:space="preserve"> </w:t>
      </w:r>
      <w:r>
        <w:rPr>
          <w:rFonts w:hint="eastAsia"/>
        </w:rPr>
        <w:t>预测步骤</w:t>
      </w:r>
    </w:p>
    <w:p w14:paraId="420D7CD5">
      <w:pPr>
        <w:adjustRightInd w:val="0"/>
        <w:spacing w:line="500" w:lineRule="exact"/>
        <w:ind w:firstLine="480" w:firstLineChars="200"/>
        <w:rPr>
          <w:rFonts w:ascii="Times New Roman"/>
          <w:color w:val="000000"/>
          <w:szCs w:val="24"/>
        </w:rPr>
      </w:pPr>
      <w:r>
        <w:rPr>
          <w:rFonts w:ascii="Times New Roman"/>
          <w:color w:val="000000"/>
          <w:szCs w:val="24"/>
        </w:rPr>
        <w:t>预测点噪声级预测计算基本步骤如下：</w:t>
      </w:r>
    </w:p>
    <w:p w14:paraId="0A6B541B">
      <w:pPr>
        <w:adjustRightInd w:val="0"/>
        <w:spacing w:line="500" w:lineRule="exact"/>
        <w:ind w:firstLine="480" w:firstLineChars="200"/>
        <w:rPr>
          <w:rFonts w:ascii="Times New Roman"/>
          <w:color w:val="000000"/>
          <w:szCs w:val="24"/>
        </w:rPr>
      </w:pPr>
      <w:r>
        <w:rPr>
          <w:rFonts w:ascii="Times New Roman"/>
          <w:color w:val="000000"/>
          <w:szCs w:val="24"/>
        </w:rPr>
        <w:t>1.统计各装置的主要噪声源名称、数量、声级值；</w:t>
      </w:r>
    </w:p>
    <w:p w14:paraId="47C13085">
      <w:pPr>
        <w:adjustRightInd w:val="0"/>
        <w:spacing w:line="500" w:lineRule="exact"/>
        <w:ind w:firstLine="480" w:firstLineChars="200"/>
        <w:rPr>
          <w:rFonts w:ascii="Times New Roman"/>
          <w:color w:val="000000"/>
          <w:szCs w:val="24"/>
        </w:rPr>
      </w:pPr>
      <w:r>
        <w:rPr>
          <w:rFonts w:ascii="Times New Roman"/>
          <w:color w:val="000000"/>
          <w:szCs w:val="24"/>
        </w:rPr>
        <w:t>2.按设计平面布置图的坐标系，确定各噪声源位置和各计算点位置；</w:t>
      </w:r>
    </w:p>
    <w:p w14:paraId="7B38CA63">
      <w:pPr>
        <w:adjustRightInd w:val="0"/>
        <w:spacing w:line="500" w:lineRule="exact"/>
        <w:ind w:firstLine="480" w:firstLineChars="200"/>
        <w:rPr>
          <w:rFonts w:ascii="Times New Roman"/>
          <w:color w:val="000000"/>
          <w:szCs w:val="24"/>
        </w:rPr>
      </w:pPr>
      <w:r>
        <w:rPr>
          <w:rFonts w:ascii="Times New Roman"/>
          <w:color w:val="000000"/>
          <w:szCs w:val="24"/>
        </w:rPr>
        <w:t>3.根据噪声源情况、传播条件、声源与计算点的距离将声源简化成点声源或线声源。</w:t>
      </w:r>
    </w:p>
    <w:p w14:paraId="7D930FF8">
      <w:pPr>
        <w:adjustRightInd w:val="0"/>
        <w:spacing w:line="500" w:lineRule="exact"/>
        <w:ind w:firstLine="480" w:firstLineChars="200"/>
        <w:rPr>
          <w:rFonts w:ascii="Times New Roman"/>
          <w:color w:val="000000"/>
          <w:szCs w:val="24"/>
        </w:rPr>
      </w:pPr>
      <w:r>
        <w:rPr>
          <w:rFonts w:ascii="Times New Roman"/>
          <w:color w:val="000000"/>
          <w:szCs w:val="24"/>
        </w:rPr>
        <w:t>4.根据已获得的声波参数和声源到预测点的传播条件，计算出各声源单独作用在预测点时产生的A声级L</w:t>
      </w:r>
      <w:r>
        <w:rPr>
          <w:rFonts w:ascii="Times New Roman"/>
          <w:color w:val="000000"/>
          <w:szCs w:val="24"/>
          <w:vertAlign w:val="subscript"/>
        </w:rPr>
        <w:t>i</w:t>
      </w:r>
      <w:r>
        <w:rPr>
          <w:rFonts w:ascii="Times New Roman"/>
          <w:color w:val="000000"/>
          <w:szCs w:val="24"/>
        </w:rPr>
        <w:t>；</w:t>
      </w:r>
    </w:p>
    <w:p w14:paraId="439B3E63">
      <w:pPr>
        <w:adjustRightInd w:val="0"/>
        <w:spacing w:line="480" w:lineRule="exact"/>
        <w:ind w:firstLine="480" w:firstLineChars="200"/>
        <w:rPr>
          <w:rFonts w:ascii="Times New Roman"/>
          <w:color w:val="000000"/>
          <w:szCs w:val="24"/>
        </w:rPr>
      </w:pPr>
      <w:r>
        <w:rPr>
          <w:rFonts w:ascii="Times New Roman"/>
          <w:color w:val="000000"/>
          <w:szCs w:val="24"/>
        </w:rPr>
        <w:t>5.把各声源单独对某预测点产生的声级值按下式叠加，得工程对预测点的声级贡献值L</w:t>
      </w:r>
      <w:r>
        <w:rPr>
          <w:rFonts w:ascii="Times New Roman"/>
          <w:color w:val="000000"/>
          <w:szCs w:val="24"/>
          <w:vertAlign w:val="subscript"/>
        </w:rPr>
        <w:t>A</w:t>
      </w:r>
      <w:r>
        <w:rPr>
          <w:rFonts w:ascii="Times New Roman"/>
          <w:color w:val="000000"/>
          <w:szCs w:val="24"/>
        </w:rPr>
        <w:t>：</w:t>
      </w:r>
    </w:p>
    <w:p w14:paraId="061E8AA6">
      <w:pPr>
        <w:adjustRightInd w:val="0"/>
        <w:snapToGrid w:val="0"/>
        <w:spacing w:line="240" w:lineRule="auto"/>
        <w:jc w:val="center"/>
        <w:rPr>
          <w:rFonts w:ascii="Times New Roman"/>
          <w:color w:val="000000"/>
        </w:rPr>
      </w:pPr>
      <w:r>
        <w:rPr>
          <w:rFonts w:ascii="Times New Roman"/>
          <w:color w:val="000000"/>
        </w:rPr>
        <w:drawing>
          <wp:inline distT="0" distB="0" distL="114300" distR="114300">
            <wp:extent cx="2023110" cy="753745"/>
            <wp:effectExtent l="0" t="0" r="15240" b="8255"/>
            <wp:docPr id="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pic:cNvPicPr>
                      <a:picLocks noChangeAspect="1"/>
                    </pic:cNvPicPr>
                  </pic:nvPicPr>
                  <pic:blipFill>
                    <a:blip r:embed="rId76"/>
                    <a:stretch>
                      <a:fillRect/>
                    </a:stretch>
                  </pic:blipFill>
                  <pic:spPr>
                    <a:xfrm>
                      <a:off x="0" y="0"/>
                      <a:ext cx="2023110" cy="753745"/>
                    </a:xfrm>
                    <a:prstGeom prst="rect">
                      <a:avLst/>
                    </a:prstGeom>
                    <a:noFill/>
                    <a:ln>
                      <a:noFill/>
                    </a:ln>
                  </pic:spPr>
                </pic:pic>
              </a:graphicData>
            </a:graphic>
          </wp:inline>
        </w:drawing>
      </w:r>
    </w:p>
    <w:p w14:paraId="454935AD">
      <w:pPr>
        <w:pStyle w:val="7"/>
        <w:spacing w:line="480" w:lineRule="exact"/>
      </w:pPr>
      <w:r>
        <w:rPr>
          <w:rFonts w:hint="eastAsia"/>
        </w:rPr>
        <w:t>5</w:t>
      </w:r>
      <w:r>
        <w:t>.</w:t>
      </w:r>
      <w:r>
        <w:rPr>
          <w:rFonts w:hint="eastAsia"/>
        </w:rPr>
        <w:t>4.6</w:t>
      </w:r>
      <w:r>
        <w:t xml:space="preserve"> </w:t>
      </w:r>
      <w:r>
        <w:rPr>
          <w:rFonts w:hint="eastAsia"/>
        </w:rPr>
        <w:t>预测结果与评价</w:t>
      </w:r>
    </w:p>
    <w:p w14:paraId="10F12A75">
      <w:pPr>
        <w:adjustRightInd w:val="0"/>
        <w:snapToGrid w:val="0"/>
        <w:spacing w:line="480" w:lineRule="exact"/>
        <w:ind w:firstLine="480"/>
        <w:rPr>
          <w:rFonts w:ascii="Times New Roman"/>
          <w:color w:val="000000"/>
          <w:szCs w:val="24"/>
        </w:rPr>
      </w:pPr>
      <w:r>
        <w:rPr>
          <w:rFonts w:ascii="Times New Roman"/>
          <w:color w:val="000000"/>
          <w:szCs w:val="24"/>
        </w:rPr>
        <w:t>1、厂界噪声预测</w:t>
      </w:r>
    </w:p>
    <w:p w14:paraId="2196BCCC">
      <w:pPr>
        <w:adjustRightInd w:val="0"/>
        <w:snapToGrid w:val="0"/>
        <w:spacing w:line="480" w:lineRule="exact"/>
        <w:ind w:firstLine="480"/>
        <w:rPr>
          <w:rFonts w:ascii="Times New Roman"/>
          <w:color w:val="000000"/>
          <w:szCs w:val="24"/>
        </w:rPr>
      </w:pPr>
      <w:r>
        <w:rPr>
          <w:rFonts w:ascii="Times New Roman"/>
          <w:color w:val="000000"/>
          <w:szCs w:val="24"/>
        </w:rPr>
        <w:t>使用以上预测模式，预测本项目厂界噪声结果见表</w:t>
      </w:r>
      <w:r>
        <w:rPr>
          <w:rFonts w:hint="eastAsia" w:ascii="Times New Roman"/>
          <w:color w:val="000000"/>
          <w:szCs w:val="24"/>
        </w:rPr>
        <w:t>5</w:t>
      </w:r>
      <w:r>
        <w:rPr>
          <w:rFonts w:ascii="Times New Roman"/>
          <w:color w:val="000000"/>
          <w:szCs w:val="24"/>
        </w:rPr>
        <w:t>.</w:t>
      </w:r>
      <w:r>
        <w:rPr>
          <w:rFonts w:hint="eastAsia" w:ascii="Times New Roman"/>
          <w:color w:val="000000"/>
          <w:szCs w:val="24"/>
        </w:rPr>
        <w:t>4-4</w:t>
      </w:r>
      <w:r>
        <w:rPr>
          <w:rFonts w:ascii="Times New Roman"/>
          <w:color w:val="000000"/>
          <w:szCs w:val="24"/>
        </w:rPr>
        <w:t>。</w:t>
      </w:r>
    </w:p>
    <w:p w14:paraId="7805FB69">
      <w:pPr>
        <w:adjustRightInd w:val="0"/>
        <w:snapToGrid w:val="0"/>
        <w:spacing w:line="480" w:lineRule="exact"/>
        <w:jc w:val="center"/>
        <w:rPr>
          <w:rFonts w:ascii="Times New Roman"/>
          <w:b/>
          <w:color w:val="000000"/>
          <w:szCs w:val="24"/>
        </w:rPr>
      </w:pPr>
      <w:r>
        <w:rPr>
          <w:rFonts w:ascii="Times New Roman"/>
          <w:b/>
          <w:color w:val="000000"/>
          <w:szCs w:val="24"/>
        </w:rPr>
        <w:t>表</w:t>
      </w:r>
      <w:r>
        <w:rPr>
          <w:rFonts w:hint="eastAsia" w:ascii="Times New Roman"/>
          <w:b/>
          <w:color w:val="000000"/>
          <w:szCs w:val="24"/>
        </w:rPr>
        <w:t>5</w:t>
      </w:r>
      <w:r>
        <w:rPr>
          <w:rFonts w:ascii="Times New Roman"/>
          <w:b/>
          <w:color w:val="000000"/>
          <w:szCs w:val="24"/>
        </w:rPr>
        <w:t>.</w:t>
      </w:r>
      <w:r>
        <w:rPr>
          <w:rFonts w:hint="eastAsia" w:ascii="Times New Roman"/>
          <w:b/>
          <w:color w:val="000000"/>
          <w:szCs w:val="24"/>
        </w:rPr>
        <w:t>4-4</w:t>
      </w:r>
      <w:r>
        <w:rPr>
          <w:rFonts w:ascii="Times New Roman"/>
          <w:b/>
          <w:color w:val="000000"/>
          <w:szCs w:val="24"/>
        </w:rPr>
        <w:t xml:space="preserve"> 厂界噪声预测评价结果 单位：dB(A) </w:t>
      </w:r>
    </w:p>
    <w:tbl>
      <w:tblPr>
        <w:tblStyle w:val="41"/>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875"/>
        <w:gridCol w:w="876"/>
        <w:gridCol w:w="876"/>
        <w:gridCol w:w="1160"/>
        <w:gridCol w:w="876"/>
        <w:gridCol w:w="876"/>
        <w:gridCol w:w="876"/>
        <w:gridCol w:w="1162"/>
      </w:tblGrid>
      <w:tr w14:paraId="3C8828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56" w:type="pct"/>
            <w:vMerge w:val="restart"/>
            <w:vAlign w:val="center"/>
          </w:tcPr>
          <w:p w14:paraId="5756CD1A">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厂界序号</w:t>
            </w:r>
          </w:p>
        </w:tc>
        <w:tc>
          <w:tcPr>
            <w:tcW w:w="2170" w:type="pct"/>
            <w:gridSpan w:val="4"/>
            <w:vAlign w:val="center"/>
          </w:tcPr>
          <w:p w14:paraId="6E55B1EE">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昼间</w:t>
            </w:r>
          </w:p>
        </w:tc>
        <w:tc>
          <w:tcPr>
            <w:tcW w:w="2172" w:type="pct"/>
            <w:gridSpan w:val="4"/>
            <w:vAlign w:val="center"/>
          </w:tcPr>
          <w:p w14:paraId="4219099A">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夜间</w:t>
            </w:r>
          </w:p>
        </w:tc>
      </w:tr>
      <w:tr w14:paraId="1105E0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56" w:type="pct"/>
            <w:vMerge w:val="continue"/>
            <w:vAlign w:val="center"/>
          </w:tcPr>
          <w:p w14:paraId="16EAD7DA">
            <w:pPr>
              <w:pStyle w:val="89"/>
              <w:rPr>
                <w:rFonts w:ascii="Times New Roman" w:hAnsi="Times New Roman" w:eastAsia="宋体" w:cs="Times New Roman"/>
                <w:color w:val="000000"/>
                <w:sz w:val="21"/>
                <w:szCs w:val="21"/>
              </w:rPr>
            </w:pPr>
          </w:p>
        </w:tc>
        <w:tc>
          <w:tcPr>
            <w:tcW w:w="502" w:type="pct"/>
            <w:vAlign w:val="center"/>
          </w:tcPr>
          <w:p w14:paraId="1433F846">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背景值</w:t>
            </w:r>
          </w:p>
        </w:tc>
        <w:tc>
          <w:tcPr>
            <w:tcW w:w="502" w:type="pct"/>
            <w:vAlign w:val="center"/>
          </w:tcPr>
          <w:p w14:paraId="7B672F91">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贡献值</w:t>
            </w:r>
          </w:p>
        </w:tc>
        <w:tc>
          <w:tcPr>
            <w:tcW w:w="502" w:type="pct"/>
            <w:vAlign w:val="center"/>
          </w:tcPr>
          <w:p w14:paraId="6E56BC24">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预测值</w:t>
            </w:r>
          </w:p>
        </w:tc>
        <w:tc>
          <w:tcPr>
            <w:tcW w:w="663" w:type="pct"/>
            <w:vAlign w:val="center"/>
          </w:tcPr>
          <w:p w14:paraId="20FDFAA1">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评价结果</w:t>
            </w:r>
          </w:p>
        </w:tc>
        <w:tc>
          <w:tcPr>
            <w:tcW w:w="502" w:type="pct"/>
            <w:vAlign w:val="center"/>
          </w:tcPr>
          <w:p w14:paraId="3FB2063A">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背景值</w:t>
            </w:r>
          </w:p>
        </w:tc>
        <w:tc>
          <w:tcPr>
            <w:tcW w:w="502" w:type="pct"/>
            <w:vAlign w:val="center"/>
          </w:tcPr>
          <w:p w14:paraId="21BC8909">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贡献值</w:t>
            </w:r>
          </w:p>
        </w:tc>
        <w:tc>
          <w:tcPr>
            <w:tcW w:w="502" w:type="pct"/>
            <w:vAlign w:val="center"/>
          </w:tcPr>
          <w:p w14:paraId="5C81230B">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预测值</w:t>
            </w:r>
          </w:p>
        </w:tc>
        <w:tc>
          <w:tcPr>
            <w:tcW w:w="665" w:type="pct"/>
            <w:vAlign w:val="center"/>
          </w:tcPr>
          <w:p w14:paraId="6034FD4A">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评价结果</w:t>
            </w:r>
          </w:p>
        </w:tc>
      </w:tr>
      <w:tr w14:paraId="2E31BE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56" w:type="pct"/>
            <w:vAlign w:val="center"/>
          </w:tcPr>
          <w:p w14:paraId="1CA70066">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东</w:t>
            </w:r>
          </w:p>
        </w:tc>
        <w:tc>
          <w:tcPr>
            <w:tcW w:w="502" w:type="pct"/>
            <w:vAlign w:val="center"/>
          </w:tcPr>
          <w:p w14:paraId="391E957C">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49.5</w:t>
            </w:r>
          </w:p>
        </w:tc>
        <w:tc>
          <w:tcPr>
            <w:tcW w:w="502" w:type="pct"/>
            <w:vAlign w:val="center"/>
          </w:tcPr>
          <w:p w14:paraId="36F3DA48">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40.</w:t>
            </w:r>
            <w:r>
              <w:rPr>
                <w:rFonts w:ascii="Times New Roman" w:hAnsi="Times New Roman" w:eastAsia="宋体" w:cs="Times New Roman"/>
                <w:color w:val="000000" w:themeColor="text1"/>
                <w:sz w:val="21"/>
                <w:szCs w:val="21"/>
                <w14:textFill>
                  <w14:solidFill>
                    <w14:schemeClr w14:val="tx1"/>
                  </w14:solidFill>
                </w14:textFill>
              </w:rPr>
              <w:t>23</w:t>
            </w:r>
          </w:p>
        </w:tc>
        <w:tc>
          <w:tcPr>
            <w:tcW w:w="502" w:type="pct"/>
            <w:vAlign w:val="center"/>
          </w:tcPr>
          <w:p w14:paraId="5703E5D1">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50</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9</w:t>
            </w:r>
            <w:r>
              <w:rPr>
                <w:rFonts w:ascii="Times New Roman" w:hAnsi="Times New Roman" w:eastAsia="宋体" w:cs="Times New Roman"/>
                <w:color w:val="000000" w:themeColor="text1"/>
                <w:sz w:val="21"/>
                <w:szCs w:val="21"/>
                <w14:textFill>
                  <w14:solidFill>
                    <w14:schemeClr w14:val="tx1"/>
                  </w14:solidFill>
                </w14:textFill>
              </w:rPr>
              <w:t>5</w:t>
            </w:r>
          </w:p>
        </w:tc>
        <w:tc>
          <w:tcPr>
            <w:tcW w:w="663" w:type="pct"/>
            <w:vAlign w:val="center"/>
          </w:tcPr>
          <w:p w14:paraId="4AA3F163">
            <w:pPr>
              <w:pStyle w:val="89"/>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c>
          <w:tcPr>
            <w:tcW w:w="502" w:type="pct"/>
            <w:vAlign w:val="center"/>
          </w:tcPr>
          <w:p w14:paraId="464F57C8">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43.5</w:t>
            </w:r>
          </w:p>
        </w:tc>
        <w:tc>
          <w:tcPr>
            <w:tcW w:w="502" w:type="pct"/>
            <w:vAlign w:val="center"/>
          </w:tcPr>
          <w:p w14:paraId="294022C0">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40</w:t>
            </w:r>
            <w:r>
              <w:rPr>
                <w:rFonts w:ascii="Times New Roman" w:hAnsi="Times New Roman" w:eastAsia="宋体" w:cs="Times New Roman"/>
                <w:color w:val="000000" w:themeColor="text1"/>
                <w:sz w:val="21"/>
                <w:szCs w:val="21"/>
                <w14:textFill>
                  <w14:solidFill>
                    <w14:schemeClr w14:val="tx1"/>
                  </w14:solidFill>
                </w14:textFill>
              </w:rPr>
              <w:t>.23</w:t>
            </w:r>
          </w:p>
        </w:tc>
        <w:tc>
          <w:tcPr>
            <w:tcW w:w="502" w:type="pct"/>
            <w:vAlign w:val="center"/>
          </w:tcPr>
          <w:p w14:paraId="4C192A30">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44.82</w:t>
            </w:r>
          </w:p>
        </w:tc>
        <w:tc>
          <w:tcPr>
            <w:tcW w:w="665" w:type="pct"/>
            <w:vAlign w:val="center"/>
          </w:tcPr>
          <w:p w14:paraId="1D352247">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达标</w:t>
            </w:r>
          </w:p>
        </w:tc>
      </w:tr>
      <w:tr w14:paraId="7E2260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56" w:type="pct"/>
            <w:vAlign w:val="center"/>
          </w:tcPr>
          <w:p w14:paraId="6F349E89">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南</w:t>
            </w:r>
          </w:p>
        </w:tc>
        <w:tc>
          <w:tcPr>
            <w:tcW w:w="502" w:type="pct"/>
            <w:vAlign w:val="center"/>
          </w:tcPr>
          <w:p w14:paraId="33744271">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49.0</w:t>
            </w:r>
          </w:p>
        </w:tc>
        <w:tc>
          <w:tcPr>
            <w:tcW w:w="502" w:type="pct"/>
            <w:vAlign w:val="center"/>
          </w:tcPr>
          <w:p w14:paraId="7E15EB09">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36.</w:t>
            </w:r>
            <w:r>
              <w:rPr>
                <w:rFonts w:ascii="Times New Roman" w:hAnsi="Times New Roman" w:eastAsia="宋体" w:cs="Times New Roman"/>
                <w:color w:val="000000" w:themeColor="text1"/>
                <w:sz w:val="21"/>
                <w:szCs w:val="21"/>
                <w14:textFill>
                  <w14:solidFill>
                    <w14:schemeClr w14:val="tx1"/>
                  </w14:solidFill>
                </w14:textFill>
              </w:rPr>
              <w:t>57</w:t>
            </w:r>
          </w:p>
        </w:tc>
        <w:tc>
          <w:tcPr>
            <w:tcW w:w="502" w:type="pct"/>
            <w:vAlign w:val="center"/>
          </w:tcPr>
          <w:p w14:paraId="0D341F71">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50</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01</w:t>
            </w:r>
          </w:p>
        </w:tc>
        <w:tc>
          <w:tcPr>
            <w:tcW w:w="663" w:type="pct"/>
            <w:vAlign w:val="center"/>
          </w:tcPr>
          <w:p w14:paraId="614A1A07">
            <w:pPr>
              <w:pStyle w:val="89"/>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c>
          <w:tcPr>
            <w:tcW w:w="502" w:type="pct"/>
            <w:vAlign w:val="center"/>
          </w:tcPr>
          <w:p w14:paraId="38BAA309">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41.5</w:t>
            </w:r>
          </w:p>
        </w:tc>
        <w:tc>
          <w:tcPr>
            <w:tcW w:w="502" w:type="pct"/>
            <w:vAlign w:val="center"/>
          </w:tcPr>
          <w:p w14:paraId="78083417">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36.</w:t>
            </w:r>
            <w:r>
              <w:rPr>
                <w:rFonts w:ascii="Times New Roman" w:hAnsi="Times New Roman" w:eastAsia="宋体" w:cs="Times New Roman"/>
                <w:color w:val="000000" w:themeColor="text1"/>
                <w:sz w:val="21"/>
                <w:szCs w:val="21"/>
                <w14:textFill>
                  <w14:solidFill>
                    <w14:schemeClr w14:val="tx1"/>
                  </w14:solidFill>
                </w14:textFill>
              </w:rPr>
              <w:t>57</w:t>
            </w:r>
          </w:p>
        </w:tc>
        <w:tc>
          <w:tcPr>
            <w:tcW w:w="502" w:type="pct"/>
            <w:vAlign w:val="center"/>
          </w:tcPr>
          <w:p w14:paraId="656887F3">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42.44</w:t>
            </w:r>
          </w:p>
        </w:tc>
        <w:tc>
          <w:tcPr>
            <w:tcW w:w="665" w:type="pct"/>
            <w:vAlign w:val="center"/>
          </w:tcPr>
          <w:p w14:paraId="41719DA4">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达标</w:t>
            </w:r>
          </w:p>
        </w:tc>
      </w:tr>
      <w:tr w14:paraId="4E11DA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56" w:type="pct"/>
            <w:vAlign w:val="center"/>
          </w:tcPr>
          <w:p w14:paraId="30C0C8DB">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西</w:t>
            </w:r>
          </w:p>
        </w:tc>
        <w:tc>
          <w:tcPr>
            <w:tcW w:w="502" w:type="pct"/>
            <w:vAlign w:val="center"/>
          </w:tcPr>
          <w:p w14:paraId="3D0BD483">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51.5</w:t>
            </w:r>
          </w:p>
        </w:tc>
        <w:tc>
          <w:tcPr>
            <w:tcW w:w="502" w:type="pct"/>
            <w:vAlign w:val="center"/>
          </w:tcPr>
          <w:p w14:paraId="77620A7C">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28</w:t>
            </w:r>
            <w:r>
              <w:rPr>
                <w:rFonts w:ascii="Times New Roman" w:hAnsi="Times New Roman" w:eastAsia="宋体" w:cs="Times New Roman"/>
                <w:color w:val="000000" w:themeColor="text1"/>
                <w:sz w:val="21"/>
                <w:szCs w:val="21"/>
                <w14:textFill>
                  <w14:solidFill>
                    <w14:schemeClr w14:val="tx1"/>
                  </w14:solidFill>
                </w14:textFill>
              </w:rPr>
              <w:t>.23</w:t>
            </w:r>
          </w:p>
        </w:tc>
        <w:tc>
          <w:tcPr>
            <w:tcW w:w="502" w:type="pct"/>
            <w:vAlign w:val="center"/>
          </w:tcPr>
          <w:p w14:paraId="62D0ADD1">
            <w:pPr>
              <w:pStyle w:val="89"/>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w:t>
            </w:r>
            <w:r>
              <w:rPr>
                <w:rFonts w:hint="eastAsia" w:ascii="Times New Roman" w:hAnsi="Times New Roman" w:eastAsia="宋体" w:cs="Times New Roman"/>
                <w:color w:val="000000" w:themeColor="text1"/>
                <w:sz w:val="21"/>
                <w:szCs w:val="21"/>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73</w:t>
            </w:r>
          </w:p>
        </w:tc>
        <w:tc>
          <w:tcPr>
            <w:tcW w:w="663" w:type="pct"/>
            <w:vAlign w:val="center"/>
          </w:tcPr>
          <w:p w14:paraId="0C2ABF7D">
            <w:pPr>
              <w:pStyle w:val="89"/>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c>
          <w:tcPr>
            <w:tcW w:w="502" w:type="pct"/>
            <w:vAlign w:val="center"/>
          </w:tcPr>
          <w:p w14:paraId="29CEE086">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42.0</w:t>
            </w:r>
          </w:p>
        </w:tc>
        <w:tc>
          <w:tcPr>
            <w:tcW w:w="502" w:type="pct"/>
            <w:vAlign w:val="center"/>
          </w:tcPr>
          <w:p w14:paraId="5A496783">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28</w:t>
            </w:r>
            <w:r>
              <w:rPr>
                <w:rFonts w:ascii="Times New Roman" w:hAnsi="Times New Roman" w:eastAsia="宋体" w:cs="Times New Roman"/>
                <w:color w:val="000000" w:themeColor="text1"/>
                <w:sz w:val="21"/>
                <w:szCs w:val="21"/>
                <w14:textFill>
                  <w14:solidFill>
                    <w14:schemeClr w14:val="tx1"/>
                  </w14:solidFill>
                </w14:textFill>
              </w:rPr>
              <w:t>.23</w:t>
            </w:r>
          </w:p>
        </w:tc>
        <w:tc>
          <w:tcPr>
            <w:tcW w:w="502" w:type="pct"/>
            <w:vAlign w:val="center"/>
          </w:tcPr>
          <w:p w14:paraId="14B66979">
            <w:pPr>
              <w:pStyle w:val="89"/>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w:t>
            </w:r>
            <w:r>
              <w:rPr>
                <w:rFonts w:hint="eastAsia" w:ascii="Times New Roman" w:hAnsi="Times New Roman" w:eastAsia="宋体" w:cs="Times New Roman"/>
                <w:color w:val="000000" w:themeColor="text1"/>
                <w:sz w:val="21"/>
                <w:szCs w:val="21"/>
                <w14:textFill>
                  <w14:solidFill>
                    <w14:schemeClr w14:val="tx1"/>
                  </w14:solidFill>
                </w14:textFill>
              </w:rPr>
              <w:t>2.21</w:t>
            </w:r>
          </w:p>
        </w:tc>
        <w:tc>
          <w:tcPr>
            <w:tcW w:w="665" w:type="pct"/>
            <w:vAlign w:val="center"/>
          </w:tcPr>
          <w:p w14:paraId="45E82852">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达标</w:t>
            </w:r>
          </w:p>
        </w:tc>
      </w:tr>
      <w:tr w14:paraId="6C7DC1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56" w:type="pct"/>
            <w:vAlign w:val="center"/>
          </w:tcPr>
          <w:p w14:paraId="53A7FBE3">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北</w:t>
            </w:r>
          </w:p>
        </w:tc>
        <w:tc>
          <w:tcPr>
            <w:tcW w:w="502" w:type="pct"/>
            <w:vAlign w:val="center"/>
          </w:tcPr>
          <w:p w14:paraId="6FC6FA71">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49.5</w:t>
            </w:r>
          </w:p>
        </w:tc>
        <w:tc>
          <w:tcPr>
            <w:tcW w:w="502" w:type="pct"/>
            <w:vAlign w:val="center"/>
          </w:tcPr>
          <w:p w14:paraId="505C0977">
            <w:pPr>
              <w:pStyle w:val="89"/>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38.51</w:t>
            </w:r>
          </w:p>
        </w:tc>
        <w:tc>
          <w:tcPr>
            <w:tcW w:w="502" w:type="pct"/>
            <w:vAlign w:val="center"/>
          </w:tcPr>
          <w:p w14:paraId="6668BA13">
            <w:pPr>
              <w:pStyle w:val="89"/>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w:t>
            </w:r>
            <w:r>
              <w:rPr>
                <w:rFonts w:hint="eastAsia" w:ascii="Times New Roman" w:hAnsi="Times New Roman" w:eastAsia="宋体" w:cs="Times New Roman"/>
                <w:color w:val="000000" w:themeColor="text1"/>
                <w:sz w:val="21"/>
                <w:szCs w:val="21"/>
                <w14:textFill>
                  <w14:solidFill>
                    <w14:schemeClr w14:val="tx1"/>
                  </w14:solidFill>
                </w14:textFill>
              </w:rPr>
              <w:t>0</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65</w:t>
            </w:r>
          </w:p>
        </w:tc>
        <w:tc>
          <w:tcPr>
            <w:tcW w:w="663" w:type="pct"/>
            <w:vAlign w:val="center"/>
          </w:tcPr>
          <w:p w14:paraId="7A7A4BDE">
            <w:pPr>
              <w:pStyle w:val="89"/>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c>
          <w:tcPr>
            <w:tcW w:w="502" w:type="pct"/>
            <w:vAlign w:val="center"/>
          </w:tcPr>
          <w:p w14:paraId="444427DE">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39.5</w:t>
            </w:r>
          </w:p>
        </w:tc>
        <w:tc>
          <w:tcPr>
            <w:tcW w:w="502" w:type="pct"/>
            <w:vAlign w:val="center"/>
          </w:tcPr>
          <w:p w14:paraId="0005062F">
            <w:pPr>
              <w:pStyle w:val="89"/>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38.51</w:t>
            </w:r>
          </w:p>
        </w:tc>
        <w:tc>
          <w:tcPr>
            <w:tcW w:w="502" w:type="pct"/>
            <w:vAlign w:val="center"/>
          </w:tcPr>
          <w:p w14:paraId="0142B730">
            <w:pPr>
              <w:pStyle w:val="89"/>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40.58</w:t>
            </w:r>
          </w:p>
        </w:tc>
        <w:tc>
          <w:tcPr>
            <w:tcW w:w="665" w:type="pct"/>
            <w:vAlign w:val="center"/>
          </w:tcPr>
          <w:p w14:paraId="6E7FB1AF">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达标</w:t>
            </w:r>
          </w:p>
        </w:tc>
      </w:tr>
      <w:tr w14:paraId="4F75BF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827" w:type="pct"/>
            <w:gridSpan w:val="5"/>
            <w:vAlign w:val="center"/>
          </w:tcPr>
          <w:p w14:paraId="38330214">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昼间标准</w:t>
            </w:r>
            <w:r>
              <w:rPr>
                <w:rFonts w:hint="eastAsia" w:ascii="Times New Roman" w:hAnsi="Times New Roman" w:eastAsia="宋体" w:cs="Times New Roman"/>
                <w:color w:val="000000"/>
                <w:sz w:val="21"/>
                <w:szCs w:val="21"/>
              </w:rPr>
              <w:t>55</w:t>
            </w:r>
          </w:p>
        </w:tc>
        <w:tc>
          <w:tcPr>
            <w:tcW w:w="2172" w:type="pct"/>
            <w:gridSpan w:val="4"/>
            <w:vAlign w:val="center"/>
          </w:tcPr>
          <w:p w14:paraId="6CF46C1F">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夜间标准</w:t>
            </w:r>
            <w:r>
              <w:rPr>
                <w:rFonts w:hint="eastAsia" w:ascii="Times New Roman" w:hAnsi="Times New Roman" w:eastAsia="宋体" w:cs="Times New Roman"/>
                <w:color w:val="000000"/>
                <w:sz w:val="21"/>
                <w:szCs w:val="21"/>
              </w:rPr>
              <w:t>45</w:t>
            </w:r>
          </w:p>
        </w:tc>
      </w:tr>
    </w:tbl>
    <w:p w14:paraId="1F0C2924">
      <w:pPr>
        <w:adjustRightInd w:val="0"/>
        <w:snapToGrid w:val="0"/>
        <w:spacing w:line="480" w:lineRule="exact"/>
        <w:ind w:firstLine="480"/>
        <w:rPr>
          <w:rFonts w:ascii="Times New Roman"/>
          <w:color w:val="000000"/>
          <w:szCs w:val="24"/>
        </w:rPr>
      </w:pPr>
      <w:r>
        <w:rPr>
          <w:rFonts w:ascii="Times New Roman"/>
          <w:color w:val="000000"/>
          <w:szCs w:val="24"/>
        </w:rPr>
        <w:t>根据上表预测</w:t>
      </w:r>
      <w:r>
        <w:rPr>
          <w:rFonts w:ascii="Times New Roman"/>
          <w:color w:val="000000" w:themeColor="text1"/>
          <w:szCs w:val="24"/>
          <w14:textFill>
            <w14:solidFill>
              <w14:schemeClr w14:val="tx1"/>
            </w14:solidFill>
          </w14:textFill>
        </w:rPr>
        <w:t>结果表明，厂界各测点昼间噪声值在</w:t>
      </w:r>
      <w:r>
        <w:rPr>
          <w:rFonts w:hint="eastAsia" w:ascii="Times New Roman"/>
          <w:color w:val="000000" w:themeColor="text1"/>
          <w:szCs w:val="24"/>
          <w14:textFill>
            <w14:solidFill>
              <w14:schemeClr w14:val="tx1"/>
            </w14:solidFill>
          </w14:textFill>
        </w:rPr>
        <w:t>50.01</w:t>
      </w:r>
      <w:r>
        <w:rPr>
          <w:rFonts w:ascii="Times New Roman"/>
          <w:color w:val="000000" w:themeColor="text1"/>
          <w:szCs w:val="24"/>
          <w14:textFill>
            <w14:solidFill>
              <w14:schemeClr w14:val="tx1"/>
            </w14:solidFill>
          </w14:textFill>
        </w:rPr>
        <w:t>~</w:t>
      </w:r>
      <w:r>
        <w:rPr>
          <w:rFonts w:hint="eastAsia" w:ascii="Times New Roman"/>
          <w:color w:val="000000" w:themeColor="text1"/>
          <w:szCs w:val="24"/>
          <w14:textFill>
            <w14:solidFill>
              <w14:schemeClr w14:val="tx1"/>
            </w14:solidFill>
          </w14:textFill>
        </w:rPr>
        <w:t>51.73</w:t>
      </w:r>
      <w:r>
        <w:rPr>
          <w:rFonts w:ascii="Times New Roman"/>
          <w:color w:val="000000" w:themeColor="text1"/>
          <w:szCs w:val="24"/>
          <w14:textFill>
            <w14:solidFill>
              <w14:schemeClr w14:val="tx1"/>
            </w14:solidFill>
          </w14:textFill>
        </w:rPr>
        <w:t>dB</w:t>
      </w:r>
      <w:r>
        <w:rPr>
          <w:rFonts w:hint="eastAsia" w:ascii="Times New Roman"/>
          <w:color w:val="000000" w:themeColor="text1"/>
          <w:szCs w:val="24"/>
          <w14:textFill>
            <w14:solidFill>
              <w14:schemeClr w14:val="tx1"/>
            </w14:solidFill>
          </w14:textFill>
        </w:rPr>
        <w:t>（</w:t>
      </w:r>
      <w:r>
        <w:rPr>
          <w:rFonts w:ascii="Times New Roman"/>
          <w:color w:val="000000" w:themeColor="text1"/>
          <w:szCs w:val="24"/>
          <w14:textFill>
            <w14:solidFill>
              <w14:schemeClr w14:val="tx1"/>
            </w14:solidFill>
          </w14:textFill>
        </w:rPr>
        <w:t>A</w:t>
      </w:r>
      <w:r>
        <w:rPr>
          <w:rFonts w:hint="eastAsia" w:ascii="Times New Roman"/>
          <w:color w:val="000000" w:themeColor="text1"/>
          <w:szCs w:val="24"/>
          <w14:textFill>
            <w14:solidFill>
              <w14:schemeClr w14:val="tx1"/>
            </w14:solidFill>
          </w14:textFill>
        </w:rPr>
        <w:t>）</w:t>
      </w:r>
      <w:r>
        <w:rPr>
          <w:rFonts w:ascii="Times New Roman"/>
          <w:color w:val="000000" w:themeColor="text1"/>
          <w:szCs w:val="24"/>
          <w14:textFill>
            <w14:solidFill>
              <w14:schemeClr w14:val="tx1"/>
            </w14:solidFill>
          </w14:textFill>
        </w:rPr>
        <w:t>之间，夜间噪声值在</w:t>
      </w:r>
      <w:r>
        <w:rPr>
          <w:rFonts w:hint="eastAsia" w:ascii="Times New Roman"/>
          <w:color w:val="000000" w:themeColor="text1"/>
          <w:szCs w:val="24"/>
          <w14:textFill>
            <w14:solidFill>
              <w14:schemeClr w14:val="tx1"/>
            </w14:solidFill>
          </w14:textFill>
        </w:rPr>
        <w:t>40.58</w:t>
      </w:r>
      <w:r>
        <w:rPr>
          <w:rFonts w:ascii="Times New Roman"/>
          <w:color w:val="000000" w:themeColor="text1"/>
          <w:szCs w:val="24"/>
          <w14:textFill>
            <w14:solidFill>
              <w14:schemeClr w14:val="tx1"/>
            </w14:solidFill>
          </w14:textFill>
        </w:rPr>
        <w:t>~</w:t>
      </w:r>
      <w:r>
        <w:rPr>
          <w:rFonts w:hint="eastAsia" w:ascii="Times New Roman"/>
          <w:color w:val="000000" w:themeColor="text1"/>
          <w:szCs w:val="24"/>
          <w14:textFill>
            <w14:solidFill>
              <w14:schemeClr w14:val="tx1"/>
            </w14:solidFill>
          </w14:textFill>
        </w:rPr>
        <w:t>44.82</w:t>
      </w:r>
      <w:r>
        <w:rPr>
          <w:rFonts w:ascii="Times New Roman"/>
          <w:color w:val="000000" w:themeColor="text1"/>
          <w:szCs w:val="24"/>
          <w14:textFill>
            <w14:solidFill>
              <w14:schemeClr w14:val="tx1"/>
            </w14:solidFill>
          </w14:textFill>
        </w:rPr>
        <w:t>dB</w:t>
      </w:r>
      <w:r>
        <w:rPr>
          <w:rFonts w:hint="eastAsia" w:ascii="Times New Roman"/>
          <w:color w:val="000000" w:themeColor="text1"/>
          <w:szCs w:val="24"/>
          <w14:textFill>
            <w14:solidFill>
              <w14:schemeClr w14:val="tx1"/>
            </w14:solidFill>
          </w14:textFill>
        </w:rPr>
        <w:t>（</w:t>
      </w:r>
      <w:r>
        <w:rPr>
          <w:rFonts w:ascii="Times New Roman"/>
          <w:color w:val="000000" w:themeColor="text1"/>
          <w:szCs w:val="24"/>
          <w14:textFill>
            <w14:solidFill>
              <w14:schemeClr w14:val="tx1"/>
            </w14:solidFill>
          </w14:textFill>
        </w:rPr>
        <w:t>A</w:t>
      </w:r>
      <w:r>
        <w:rPr>
          <w:rFonts w:hint="eastAsia" w:ascii="Times New Roman"/>
          <w:color w:val="000000" w:themeColor="text1"/>
          <w:szCs w:val="24"/>
          <w14:textFill>
            <w14:solidFill>
              <w14:schemeClr w14:val="tx1"/>
            </w14:solidFill>
          </w14:textFill>
        </w:rPr>
        <w:t>）</w:t>
      </w:r>
      <w:r>
        <w:rPr>
          <w:rFonts w:ascii="Times New Roman"/>
          <w:color w:val="000000" w:themeColor="text1"/>
          <w:szCs w:val="24"/>
          <w14:textFill>
            <w14:solidFill>
              <w14:schemeClr w14:val="tx1"/>
            </w14:solidFill>
          </w14:textFill>
        </w:rPr>
        <w:t>之间</w:t>
      </w:r>
      <w:r>
        <w:rPr>
          <w:rFonts w:hint="eastAsia" w:ascii="Times New Roman"/>
          <w:color w:val="000000" w:themeColor="text1"/>
          <w:szCs w:val="24"/>
          <w14:textFill>
            <w14:solidFill>
              <w14:schemeClr w14:val="tx1"/>
            </w14:solidFill>
          </w14:textFill>
        </w:rPr>
        <w:t>，</w:t>
      </w:r>
      <w:r>
        <w:rPr>
          <w:rFonts w:ascii="Times New Roman"/>
          <w:color w:val="000000" w:themeColor="text1"/>
          <w:szCs w:val="24"/>
          <w14:textFill>
            <w14:solidFill>
              <w14:schemeClr w14:val="tx1"/>
            </w14:solidFill>
          </w14:textFill>
        </w:rPr>
        <w:t>均符合《工业企业厂界噪声排放标准》</w:t>
      </w:r>
      <w:r>
        <w:rPr>
          <w:rFonts w:hint="eastAsia" w:ascii="Times New Roman"/>
          <w:color w:val="000000" w:themeColor="text1"/>
          <w:szCs w:val="24"/>
          <w14:textFill>
            <w14:solidFill>
              <w14:schemeClr w14:val="tx1"/>
            </w14:solidFill>
          </w14:textFill>
        </w:rPr>
        <w:t>1</w:t>
      </w:r>
      <w:r>
        <w:rPr>
          <w:rFonts w:ascii="Times New Roman"/>
          <w:color w:val="000000" w:themeColor="text1"/>
          <w:szCs w:val="24"/>
          <w14:textFill>
            <w14:solidFill>
              <w14:schemeClr w14:val="tx1"/>
            </w14:solidFill>
          </w14:textFill>
        </w:rPr>
        <w:t>类标准限值要求。</w:t>
      </w:r>
    </w:p>
    <w:p w14:paraId="35B78E64">
      <w:pPr>
        <w:numPr>
          <w:ilvl w:val="0"/>
          <w:numId w:val="10"/>
        </w:numPr>
        <w:adjustRightInd w:val="0"/>
        <w:snapToGrid w:val="0"/>
        <w:spacing w:line="480" w:lineRule="exact"/>
        <w:ind w:firstLine="480" w:firstLineChars="200"/>
        <w:rPr>
          <w:rFonts w:ascii="Times New Roman"/>
          <w:color w:val="000000"/>
          <w:szCs w:val="24"/>
        </w:rPr>
      </w:pPr>
      <w:r>
        <w:rPr>
          <w:rFonts w:ascii="Times New Roman"/>
          <w:color w:val="000000"/>
          <w:szCs w:val="24"/>
        </w:rPr>
        <w:t>敏感点噪声预测</w:t>
      </w:r>
    </w:p>
    <w:p w14:paraId="2BA8074B">
      <w:pPr>
        <w:adjustRightInd w:val="0"/>
        <w:snapToGrid w:val="0"/>
        <w:spacing w:line="480" w:lineRule="exact"/>
        <w:ind w:firstLine="480" w:firstLineChars="200"/>
        <w:rPr>
          <w:rFonts w:ascii="Times New Roman"/>
          <w:color w:val="000000"/>
          <w:szCs w:val="24"/>
        </w:rPr>
      </w:pPr>
      <w:r>
        <w:rPr>
          <w:rFonts w:ascii="Times New Roman"/>
          <w:color w:val="000000"/>
          <w:szCs w:val="24"/>
        </w:rPr>
        <w:t>项目西</w:t>
      </w:r>
      <w:r>
        <w:rPr>
          <w:rFonts w:hint="eastAsia" w:ascii="Times New Roman"/>
          <w:color w:val="000000"/>
          <w:szCs w:val="24"/>
        </w:rPr>
        <w:t>北</w:t>
      </w:r>
      <w:r>
        <w:rPr>
          <w:rFonts w:ascii="Times New Roman"/>
          <w:color w:val="000000"/>
          <w:szCs w:val="24"/>
        </w:rPr>
        <w:t>侧厂界较近的敏感目标为</w:t>
      </w:r>
      <w:r>
        <w:rPr>
          <w:rFonts w:hint="eastAsia" w:ascii="Times New Roman"/>
          <w:color w:val="000000"/>
          <w:szCs w:val="24"/>
        </w:rPr>
        <w:t>戴庄，西南侧</w:t>
      </w:r>
      <w:r>
        <w:rPr>
          <w:rFonts w:ascii="Times New Roman"/>
          <w:color w:val="000000"/>
          <w:szCs w:val="24"/>
        </w:rPr>
        <w:t>厂界较近的敏感目标为</w:t>
      </w:r>
      <w:r>
        <w:rPr>
          <w:rFonts w:hint="eastAsia" w:ascii="Times New Roman"/>
          <w:color w:val="000000"/>
          <w:szCs w:val="24"/>
        </w:rPr>
        <w:t>油坊庄</w:t>
      </w:r>
      <w:r>
        <w:rPr>
          <w:rFonts w:ascii="Times New Roman"/>
          <w:color w:val="000000"/>
          <w:szCs w:val="24"/>
        </w:rPr>
        <w:t>，其声敏感点处的声环境质量预测结果如表</w:t>
      </w:r>
      <w:r>
        <w:rPr>
          <w:rFonts w:hint="eastAsia" w:ascii="Times New Roman"/>
          <w:color w:val="000000"/>
          <w:szCs w:val="24"/>
        </w:rPr>
        <w:t>5</w:t>
      </w:r>
      <w:r>
        <w:rPr>
          <w:rFonts w:ascii="Times New Roman"/>
          <w:color w:val="000000"/>
          <w:szCs w:val="24"/>
        </w:rPr>
        <w:t>.</w:t>
      </w:r>
      <w:r>
        <w:rPr>
          <w:rFonts w:hint="eastAsia" w:ascii="Times New Roman"/>
          <w:color w:val="000000"/>
          <w:szCs w:val="24"/>
        </w:rPr>
        <w:t>4</w:t>
      </w:r>
      <w:r>
        <w:rPr>
          <w:rFonts w:ascii="Times New Roman"/>
          <w:color w:val="000000"/>
          <w:szCs w:val="24"/>
        </w:rPr>
        <w:t>-</w:t>
      </w:r>
      <w:r>
        <w:rPr>
          <w:rFonts w:hint="eastAsia" w:ascii="Times New Roman"/>
          <w:color w:val="000000"/>
          <w:szCs w:val="24"/>
        </w:rPr>
        <w:t>5</w:t>
      </w:r>
      <w:r>
        <w:rPr>
          <w:rFonts w:ascii="Times New Roman"/>
          <w:color w:val="000000"/>
          <w:szCs w:val="24"/>
        </w:rPr>
        <w:t>所示。根据预测结果，在考虑采取厂界修建围墙、距离衰减等降噪措施后，敏感点昼、夜间声级均达标。</w:t>
      </w:r>
    </w:p>
    <w:p w14:paraId="7B8D84B2">
      <w:pPr>
        <w:pStyle w:val="11"/>
        <w:snapToGrid w:val="0"/>
        <w:spacing w:line="480" w:lineRule="exact"/>
        <w:ind w:firstLine="482"/>
        <w:jc w:val="center"/>
        <w:rPr>
          <w:color w:val="000000"/>
          <w:sz w:val="24"/>
          <w:szCs w:val="24"/>
        </w:rPr>
      </w:pPr>
      <w:r>
        <w:rPr>
          <w:b/>
          <w:color w:val="000000"/>
          <w:sz w:val="24"/>
          <w:szCs w:val="24"/>
        </w:rPr>
        <w:t>表</w:t>
      </w:r>
      <w:r>
        <w:rPr>
          <w:rFonts w:hint="eastAsia"/>
          <w:b/>
          <w:color w:val="000000"/>
          <w:sz w:val="24"/>
          <w:szCs w:val="24"/>
        </w:rPr>
        <w:t>5</w:t>
      </w:r>
      <w:r>
        <w:rPr>
          <w:b/>
          <w:color w:val="000000"/>
          <w:sz w:val="24"/>
          <w:szCs w:val="24"/>
        </w:rPr>
        <w:t>.</w:t>
      </w:r>
      <w:r>
        <w:rPr>
          <w:rFonts w:hint="eastAsia"/>
          <w:b/>
          <w:color w:val="000000"/>
          <w:sz w:val="24"/>
          <w:szCs w:val="24"/>
        </w:rPr>
        <w:t>4</w:t>
      </w:r>
      <w:r>
        <w:rPr>
          <w:b/>
          <w:color w:val="000000"/>
          <w:sz w:val="24"/>
          <w:szCs w:val="24"/>
        </w:rPr>
        <w:t>-</w:t>
      </w:r>
      <w:r>
        <w:rPr>
          <w:rFonts w:hint="eastAsia"/>
          <w:b/>
          <w:color w:val="000000"/>
          <w:sz w:val="24"/>
          <w:szCs w:val="24"/>
        </w:rPr>
        <w:t>5</w:t>
      </w:r>
      <w:r>
        <w:rPr>
          <w:b/>
          <w:color w:val="000000"/>
          <w:sz w:val="24"/>
          <w:szCs w:val="24"/>
        </w:rPr>
        <w:t xml:space="preserve">  敏感点声环境质量预测结果单位：dB(A)</w:t>
      </w:r>
    </w:p>
    <w:tbl>
      <w:tblPr>
        <w:tblStyle w:val="41"/>
        <w:tblW w:w="4997"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28" w:type="dxa"/>
          <w:left w:w="28" w:type="dxa"/>
          <w:bottom w:w="28" w:type="dxa"/>
          <w:right w:w="28" w:type="dxa"/>
        </w:tblCellMar>
      </w:tblPr>
      <w:tblGrid>
        <w:gridCol w:w="1324"/>
        <w:gridCol w:w="1507"/>
        <w:gridCol w:w="1075"/>
        <w:gridCol w:w="1104"/>
        <w:gridCol w:w="822"/>
        <w:gridCol w:w="822"/>
        <w:gridCol w:w="822"/>
        <w:gridCol w:w="1079"/>
      </w:tblGrid>
      <w:tr w14:paraId="5C2D9E9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28" w:type="dxa"/>
            <w:left w:w="28" w:type="dxa"/>
            <w:bottom w:w="28" w:type="dxa"/>
            <w:right w:w="28" w:type="dxa"/>
          </w:tblCellMar>
        </w:tblPrEx>
        <w:trPr>
          <w:cantSplit/>
          <w:trHeight w:val="369" w:hRule="atLeast"/>
          <w:jc w:val="center"/>
        </w:trPr>
        <w:tc>
          <w:tcPr>
            <w:tcW w:w="773" w:type="pct"/>
            <w:vAlign w:val="center"/>
          </w:tcPr>
          <w:p w14:paraId="6A21879F">
            <w:pPr>
              <w:adjustRightInd w:val="0"/>
              <w:snapToGrid w:val="0"/>
              <w:spacing w:line="300" w:lineRule="exact"/>
              <w:jc w:val="center"/>
              <w:rPr>
                <w:rFonts w:ascii="Times New Roman"/>
                <w:color w:val="000000"/>
                <w:sz w:val="21"/>
                <w:szCs w:val="21"/>
              </w:rPr>
            </w:pPr>
            <w:r>
              <w:rPr>
                <w:rFonts w:ascii="Times New Roman"/>
                <w:color w:val="000000"/>
                <w:sz w:val="21"/>
                <w:szCs w:val="21"/>
              </w:rPr>
              <w:t>敏感点名称</w:t>
            </w:r>
          </w:p>
        </w:tc>
        <w:tc>
          <w:tcPr>
            <w:tcW w:w="880" w:type="pct"/>
            <w:vAlign w:val="center"/>
          </w:tcPr>
          <w:p w14:paraId="03F59EEF">
            <w:pPr>
              <w:adjustRightInd w:val="0"/>
              <w:snapToGrid w:val="0"/>
              <w:spacing w:line="300" w:lineRule="exact"/>
              <w:jc w:val="center"/>
              <w:rPr>
                <w:rFonts w:ascii="Times New Roman"/>
                <w:color w:val="000000"/>
                <w:sz w:val="21"/>
                <w:szCs w:val="21"/>
              </w:rPr>
            </w:pPr>
            <w:r>
              <w:rPr>
                <w:rFonts w:ascii="Times New Roman"/>
                <w:color w:val="000000"/>
                <w:sz w:val="21"/>
                <w:szCs w:val="21"/>
              </w:rPr>
              <w:t>距离厂界（m）</w:t>
            </w:r>
          </w:p>
        </w:tc>
        <w:tc>
          <w:tcPr>
            <w:tcW w:w="628" w:type="pct"/>
            <w:vAlign w:val="center"/>
          </w:tcPr>
          <w:p w14:paraId="74702FB1">
            <w:pPr>
              <w:adjustRightInd w:val="0"/>
              <w:snapToGrid w:val="0"/>
              <w:spacing w:line="300" w:lineRule="exact"/>
              <w:jc w:val="center"/>
              <w:rPr>
                <w:rFonts w:ascii="Times New Roman"/>
                <w:color w:val="000000"/>
                <w:sz w:val="21"/>
                <w:szCs w:val="21"/>
              </w:rPr>
            </w:pPr>
            <w:r>
              <w:rPr>
                <w:rFonts w:ascii="Times New Roman"/>
                <w:color w:val="000000"/>
                <w:sz w:val="21"/>
                <w:szCs w:val="21"/>
              </w:rPr>
              <w:t>预测时段</w:t>
            </w:r>
          </w:p>
        </w:tc>
        <w:tc>
          <w:tcPr>
            <w:tcW w:w="645" w:type="pct"/>
            <w:vAlign w:val="center"/>
          </w:tcPr>
          <w:p w14:paraId="7DF0D2A4">
            <w:pPr>
              <w:adjustRightInd w:val="0"/>
              <w:snapToGrid w:val="0"/>
              <w:spacing w:line="300" w:lineRule="exact"/>
              <w:jc w:val="center"/>
              <w:rPr>
                <w:rFonts w:ascii="Times New Roman"/>
                <w:color w:val="000000"/>
                <w:sz w:val="21"/>
                <w:szCs w:val="21"/>
              </w:rPr>
            </w:pPr>
            <w:r>
              <w:rPr>
                <w:rFonts w:ascii="Times New Roman"/>
                <w:color w:val="000000"/>
                <w:sz w:val="21"/>
                <w:szCs w:val="21"/>
              </w:rPr>
              <w:t>现状最大值</w:t>
            </w:r>
          </w:p>
        </w:tc>
        <w:tc>
          <w:tcPr>
            <w:tcW w:w="480" w:type="pct"/>
            <w:vAlign w:val="center"/>
          </w:tcPr>
          <w:p w14:paraId="37F5EE2F">
            <w:pPr>
              <w:adjustRightInd w:val="0"/>
              <w:snapToGrid w:val="0"/>
              <w:spacing w:line="300" w:lineRule="exact"/>
              <w:jc w:val="center"/>
              <w:rPr>
                <w:rFonts w:ascii="Times New Roman"/>
                <w:color w:val="000000"/>
                <w:sz w:val="21"/>
                <w:szCs w:val="21"/>
              </w:rPr>
            </w:pPr>
            <w:r>
              <w:rPr>
                <w:rFonts w:ascii="Times New Roman"/>
                <w:color w:val="000000"/>
                <w:sz w:val="21"/>
                <w:szCs w:val="21"/>
              </w:rPr>
              <w:t>贡献值</w:t>
            </w:r>
          </w:p>
        </w:tc>
        <w:tc>
          <w:tcPr>
            <w:tcW w:w="480" w:type="pct"/>
            <w:vAlign w:val="center"/>
          </w:tcPr>
          <w:p w14:paraId="152BBB5E">
            <w:pPr>
              <w:adjustRightInd w:val="0"/>
              <w:snapToGrid w:val="0"/>
              <w:spacing w:line="300" w:lineRule="exact"/>
              <w:jc w:val="center"/>
              <w:rPr>
                <w:rFonts w:ascii="Times New Roman"/>
                <w:color w:val="000000"/>
                <w:sz w:val="21"/>
                <w:szCs w:val="21"/>
              </w:rPr>
            </w:pPr>
            <w:r>
              <w:rPr>
                <w:rFonts w:ascii="Times New Roman"/>
                <w:color w:val="000000"/>
                <w:sz w:val="21"/>
                <w:szCs w:val="21"/>
              </w:rPr>
              <w:t>叠加值</w:t>
            </w:r>
          </w:p>
        </w:tc>
        <w:tc>
          <w:tcPr>
            <w:tcW w:w="480" w:type="pct"/>
            <w:vAlign w:val="center"/>
          </w:tcPr>
          <w:p w14:paraId="500ACC0C">
            <w:pPr>
              <w:adjustRightInd w:val="0"/>
              <w:snapToGrid w:val="0"/>
              <w:spacing w:line="300" w:lineRule="exact"/>
              <w:jc w:val="center"/>
              <w:rPr>
                <w:rFonts w:ascii="Times New Roman"/>
                <w:color w:val="000000"/>
                <w:sz w:val="21"/>
                <w:szCs w:val="21"/>
              </w:rPr>
            </w:pPr>
            <w:r>
              <w:rPr>
                <w:rFonts w:ascii="Times New Roman"/>
                <w:color w:val="000000"/>
                <w:sz w:val="21"/>
                <w:szCs w:val="21"/>
              </w:rPr>
              <w:t>标准值</w:t>
            </w:r>
          </w:p>
        </w:tc>
        <w:tc>
          <w:tcPr>
            <w:tcW w:w="630" w:type="pct"/>
            <w:vAlign w:val="center"/>
          </w:tcPr>
          <w:p w14:paraId="28BABA54">
            <w:pPr>
              <w:adjustRightInd w:val="0"/>
              <w:snapToGrid w:val="0"/>
              <w:spacing w:line="300" w:lineRule="exact"/>
              <w:jc w:val="center"/>
              <w:rPr>
                <w:rFonts w:ascii="Times New Roman"/>
                <w:color w:val="000000"/>
                <w:sz w:val="21"/>
                <w:szCs w:val="21"/>
              </w:rPr>
            </w:pPr>
            <w:r>
              <w:rPr>
                <w:rFonts w:ascii="Times New Roman"/>
                <w:color w:val="000000"/>
                <w:sz w:val="21"/>
                <w:szCs w:val="21"/>
              </w:rPr>
              <w:t>达标情况</w:t>
            </w:r>
          </w:p>
        </w:tc>
      </w:tr>
      <w:tr w14:paraId="068AD18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28" w:type="dxa"/>
            <w:left w:w="28" w:type="dxa"/>
            <w:bottom w:w="28" w:type="dxa"/>
            <w:right w:w="28" w:type="dxa"/>
          </w:tblCellMar>
        </w:tblPrEx>
        <w:trPr>
          <w:cantSplit/>
          <w:trHeight w:val="369" w:hRule="atLeast"/>
          <w:jc w:val="center"/>
        </w:trPr>
        <w:tc>
          <w:tcPr>
            <w:tcW w:w="773" w:type="pct"/>
            <w:vMerge w:val="restart"/>
            <w:vAlign w:val="center"/>
          </w:tcPr>
          <w:p w14:paraId="5F2E9BCB">
            <w:pPr>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戴庄</w:t>
            </w:r>
          </w:p>
        </w:tc>
        <w:tc>
          <w:tcPr>
            <w:tcW w:w="880" w:type="pct"/>
            <w:vMerge w:val="restart"/>
            <w:vAlign w:val="center"/>
          </w:tcPr>
          <w:p w14:paraId="09AD28E7">
            <w:pPr>
              <w:pStyle w:val="32"/>
              <w:adjustRightInd w:val="0"/>
              <w:snapToGrid w:val="0"/>
              <w:spacing w:line="300" w:lineRule="exact"/>
              <w:ind w:left="400" w:hanging="400"/>
              <w:jc w:val="center"/>
              <w:rPr>
                <w:rFonts w:ascii="Times New Roman" w:hAnsi="Times New Roman" w:eastAsia="宋体"/>
                <w:color w:val="000000"/>
                <w:spacing w:val="-10"/>
                <w:sz w:val="21"/>
                <w:szCs w:val="21"/>
              </w:rPr>
            </w:pPr>
            <w:r>
              <w:rPr>
                <w:rFonts w:hint="eastAsia" w:ascii="Times New Roman" w:hAnsi="Times New Roman" w:eastAsia="宋体"/>
                <w:color w:val="000000"/>
                <w:spacing w:val="-10"/>
                <w:sz w:val="21"/>
                <w:szCs w:val="21"/>
              </w:rPr>
              <w:t>60</w:t>
            </w:r>
          </w:p>
        </w:tc>
        <w:tc>
          <w:tcPr>
            <w:tcW w:w="628" w:type="pct"/>
            <w:vAlign w:val="center"/>
          </w:tcPr>
          <w:p w14:paraId="6CB8BA2F">
            <w:pPr>
              <w:adjustRightInd w:val="0"/>
              <w:snapToGrid w:val="0"/>
              <w:spacing w:line="300" w:lineRule="exact"/>
              <w:jc w:val="center"/>
              <w:rPr>
                <w:rFonts w:ascii="Times New Roman"/>
                <w:color w:val="000000"/>
                <w:sz w:val="21"/>
                <w:szCs w:val="21"/>
              </w:rPr>
            </w:pPr>
            <w:r>
              <w:rPr>
                <w:rFonts w:ascii="Times New Roman"/>
                <w:color w:val="000000"/>
                <w:sz w:val="21"/>
                <w:szCs w:val="21"/>
              </w:rPr>
              <w:t>昼间</w:t>
            </w:r>
          </w:p>
        </w:tc>
        <w:tc>
          <w:tcPr>
            <w:tcW w:w="645" w:type="pct"/>
            <w:vAlign w:val="center"/>
          </w:tcPr>
          <w:p w14:paraId="52B6E039">
            <w:pPr>
              <w:adjustRightInd w:val="0"/>
              <w:snapToGri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52.0</w:t>
            </w:r>
          </w:p>
        </w:tc>
        <w:tc>
          <w:tcPr>
            <w:tcW w:w="480" w:type="pct"/>
            <w:vAlign w:val="center"/>
          </w:tcPr>
          <w:p w14:paraId="00E27F33">
            <w:pPr>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25.1</w:t>
            </w:r>
          </w:p>
        </w:tc>
        <w:tc>
          <w:tcPr>
            <w:tcW w:w="480" w:type="pct"/>
            <w:vAlign w:val="center"/>
          </w:tcPr>
          <w:p w14:paraId="4AED642F">
            <w:pPr>
              <w:adjustRightInd w:val="0"/>
              <w:snapToGri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52.19</w:t>
            </w:r>
          </w:p>
        </w:tc>
        <w:tc>
          <w:tcPr>
            <w:tcW w:w="480" w:type="pct"/>
            <w:vAlign w:val="center"/>
          </w:tcPr>
          <w:p w14:paraId="3592B550">
            <w:pPr>
              <w:adjustRightInd w:val="0"/>
              <w:snapToGrid w:val="0"/>
              <w:spacing w:line="300" w:lineRule="exact"/>
              <w:jc w:val="center"/>
              <w:rPr>
                <w:rFonts w:ascii="Times New Roman"/>
                <w:color w:val="000000"/>
                <w:sz w:val="21"/>
                <w:szCs w:val="21"/>
              </w:rPr>
            </w:pPr>
            <w:r>
              <w:rPr>
                <w:rFonts w:hint="eastAsia" w:ascii="Times New Roman"/>
                <w:color w:val="000000"/>
                <w:sz w:val="21"/>
                <w:szCs w:val="21"/>
              </w:rPr>
              <w:t>55</w:t>
            </w:r>
          </w:p>
        </w:tc>
        <w:tc>
          <w:tcPr>
            <w:tcW w:w="630" w:type="pct"/>
            <w:vAlign w:val="center"/>
          </w:tcPr>
          <w:p w14:paraId="71DE3C92">
            <w:pPr>
              <w:adjustRightInd w:val="0"/>
              <w:snapToGrid w:val="0"/>
              <w:spacing w:line="300" w:lineRule="exact"/>
              <w:jc w:val="center"/>
              <w:rPr>
                <w:rFonts w:ascii="Times New Roman"/>
                <w:color w:val="000000"/>
                <w:sz w:val="21"/>
                <w:szCs w:val="21"/>
              </w:rPr>
            </w:pPr>
            <w:r>
              <w:rPr>
                <w:rFonts w:ascii="Times New Roman"/>
                <w:color w:val="000000"/>
                <w:sz w:val="21"/>
                <w:szCs w:val="21"/>
              </w:rPr>
              <w:t>达标</w:t>
            </w:r>
          </w:p>
        </w:tc>
      </w:tr>
      <w:tr w14:paraId="41DEC27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28" w:type="dxa"/>
            <w:left w:w="28" w:type="dxa"/>
            <w:bottom w:w="28" w:type="dxa"/>
            <w:right w:w="28" w:type="dxa"/>
          </w:tblCellMar>
        </w:tblPrEx>
        <w:trPr>
          <w:cantSplit/>
          <w:trHeight w:val="369" w:hRule="atLeast"/>
          <w:jc w:val="center"/>
        </w:trPr>
        <w:tc>
          <w:tcPr>
            <w:tcW w:w="773" w:type="pct"/>
            <w:vMerge w:val="continue"/>
            <w:vAlign w:val="center"/>
          </w:tcPr>
          <w:p w14:paraId="26C56CFE">
            <w:pPr>
              <w:adjustRightInd w:val="0"/>
              <w:snapToGrid w:val="0"/>
              <w:spacing w:line="300" w:lineRule="exact"/>
              <w:jc w:val="center"/>
              <w:rPr>
                <w:rFonts w:ascii="Times New Roman"/>
                <w:color w:val="000000"/>
                <w:sz w:val="21"/>
                <w:szCs w:val="21"/>
              </w:rPr>
            </w:pPr>
          </w:p>
        </w:tc>
        <w:tc>
          <w:tcPr>
            <w:tcW w:w="880" w:type="pct"/>
            <w:vMerge w:val="continue"/>
            <w:vAlign w:val="center"/>
          </w:tcPr>
          <w:p w14:paraId="25E0A8C0">
            <w:pPr>
              <w:adjustRightInd w:val="0"/>
              <w:snapToGrid w:val="0"/>
              <w:spacing w:line="300" w:lineRule="exact"/>
              <w:jc w:val="center"/>
              <w:rPr>
                <w:rFonts w:ascii="Times New Roman"/>
                <w:color w:val="000000"/>
                <w:sz w:val="21"/>
                <w:szCs w:val="21"/>
              </w:rPr>
            </w:pPr>
          </w:p>
        </w:tc>
        <w:tc>
          <w:tcPr>
            <w:tcW w:w="628" w:type="pct"/>
            <w:vAlign w:val="center"/>
          </w:tcPr>
          <w:p w14:paraId="6983D9FE">
            <w:pPr>
              <w:adjustRightInd w:val="0"/>
              <w:snapToGrid w:val="0"/>
              <w:spacing w:line="300" w:lineRule="exact"/>
              <w:jc w:val="center"/>
              <w:rPr>
                <w:rFonts w:ascii="Times New Roman"/>
                <w:color w:val="000000"/>
                <w:sz w:val="21"/>
                <w:szCs w:val="21"/>
              </w:rPr>
            </w:pPr>
            <w:r>
              <w:rPr>
                <w:rFonts w:ascii="Times New Roman"/>
                <w:color w:val="000000"/>
                <w:sz w:val="21"/>
                <w:szCs w:val="21"/>
              </w:rPr>
              <w:t>夜间</w:t>
            </w:r>
          </w:p>
        </w:tc>
        <w:tc>
          <w:tcPr>
            <w:tcW w:w="645" w:type="pct"/>
            <w:vAlign w:val="center"/>
          </w:tcPr>
          <w:p w14:paraId="06CD9949">
            <w:pPr>
              <w:adjustRightInd w:val="0"/>
              <w:snapToGri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41.0</w:t>
            </w:r>
          </w:p>
        </w:tc>
        <w:tc>
          <w:tcPr>
            <w:tcW w:w="480" w:type="pct"/>
            <w:vAlign w:val="center"/>
          </w:tcPr>
          <w:p w14:paraId="32ED99E5">
            <w:pPr>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25.1</w:t>
            </w:r>
          </w:p>
        </w:tc>
        <w:tc>
          <w:tcPr>
            <w:tcW w:w="480" w:type="pct"/>
            <w:vAlign w:val="center"/>
          </w:tcPr>
          <w:p w14:paraId="6D6D1B20">
            <w:pPr>
              <w:adjustRightInd w:val="0"/>
              <w:snapToGri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41.18</w:t>
            </w:r>
          </w:p>
        </w:tc>
        <w:tc>
          <w:tcPr>
            <w:tcW w:w="480" w:type="pct"/>
            <w:vAlign w:val="center"/>
          </w:tcPr>
          <w:p w14:paraId="67DF8A7B">
            <w:pPr>
              <w:adjustRightInd w:val="0"/>
              <w:snapToGrid w:val="0"/>
              <w:spacing w:line="300" w:lineRule="exact"/>
              <w:jc w:val="center"/>
              <w:rPr>
                <w:rFonts w:ascii="Times New Roman"/>
                <w:color w:val="000000"/>
                <w:sz w:val="21"/>
                <w:szCs w:val="21"/>
              </w:rPr>
            </w:pPr>
            <w:r>
              <w:rPr>
                <w:rFonts w:hint="eastAsia" w:ascii="Times New Roman"/>
                <w:color w:val="000000"/>
                <w:sz w:val="21"/>
                <w:szCs w:val="21"/>
              </w:rPr>
              <w:t>45</w:t>
            </w:r>
          </w:p>
        </w:tc>
        <w:tc>
          <w:tcPr>
            <w:tcW w:w="630" w:type="pct"/>
            <w:vAlign w:val="center"/>
          </w:tcPr>
          <w:p w14:paraId="49282252">
            <w:pPr>
              <w:adjustRightInd w:val="0"/>
              <w:snapToGrid w:val="0"/>
              <w:spacing w:line="300" w:lineRule="exact"/>
              <w:jc w:val="center"/>
              <w:rPr>
                <w:rFonts w:ascii="Times New Roman"/>
                <w:color w:val="000000"/>
                <w:sz w:val="21"/>
                <w:szCs w:val="21"/>
              </w:rPr>
            </w:pPr>
            <w:r>
              <w:rPr>
                <w:rFonts w:ascii="Times New Roman"/>
                <w:color w:val="000000"/>
                <w:sz w:val="21"/>
                <w:szCs w:val="21"/>
              </w:rPr>
              <w:t>达标</w:t>
            </w:r>
          </w:p>
        </w:tc>
      </w:tr>
      <w:tr w14:paraId="2D221D5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28" w:type="dxa"/>
            <w:left w:w="28" w:type="dxa"/>
            <w:bottom w:w="28" w:type="dxa"/>
            <w:right w:w="28" w:type="dxa"/>
          </w:tblCellMar>
        </w:tblPrEx>
        <w:trPr>
          <w:cantSplit/>
          <w:trHeight w:val="369" w:hRule="atLeast"/>
          <w:jc w:val="center"/>
        </w:trPr>
        <w:tc>
          <w:tcPr>
            <w:tcW w:w="773" w:type="pct"/>
            <w:vMerge w:val="restart"/>
            <w:vAlign w:val="center"/>
          </w:tcPr>
          <w:p w14:paraId="6E40BE03">
            <w:pPr>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油坊庄</w:t>
            </w:r>
          </w:p>
        </w:tc>
        <w:tc>
          <w:tcPr>
            <w:tcW w:w="880" w:type="pct"/>
            <w:vMerge w:val="restart"/>
            <w:vAlign w:val="center"/>
          </w:tcPr>
          <w:p w14:paraId="5CEEA5AA">
            <w:pPr>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190</w:t>
            </w:r>
          </w:p>
        </w:tc>
        <w:tc>
          <w:tcPr>
            <w:tcW w:w="628" w:type="pct"/>
            <w:vAlign w:val="center"/>
          </w:tcPr>
          <w:p w14:paraId="6DC1814F">
            <w:pPr>
              <w:adjustRightInd w:val="0"/>
              <w:snapToGrid w:val="0"/>
              <w:spacing w:line="300" w:lineRule="exact"/>
              <w:jc w:val="center"/>
              <w:rPr>
                <w:rFonts w:ascii="Times New Roman"/>
                <w:color w:val="000000"/>
                <w:sz w:val="21"/>
                <w:szCs w:val="21"/>
              </w:rPr>
            </w:pPr>
            <w:r>
              <w:rPr>
                <w:rFonts w:ascii="Times New Roman"/>
                <w:color w:val="000000"/>
                <w:sz w:val="21"/>
                <w:szCs w:val="21"/>
              </w:rPr>
              <w:t>昼间</w:t>
            </w:r>
          </w:p>
        </w:tc>
        <w:tc>
          <w:tcPr>
            <w:tcW w:w="645" w:type="pct"/>
            <w:vAlign w:val="center"/>
          </w:tcPr>
          <w:p w14:paraId="53F630B9">
            <w:pPr>
              <w:adjustRightInd w:val="0"/>
              <w:snapToGri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51.0</w:t>
            </w:r>
          </w:p>
        </w:tc>
        <w:tc>
          <w:tcPr>
            <w:tcW w:w="480" w:type="pct"/>
            <w:vAlign w:val="center"/>
          </w:tcPr>
          <w:p w14:paraId="347C7C1C">
            <w:pPr>
              <w:adjustRightInd w:val="0"/>
              <w:snapToGrid w:val="0"/>
              <w:spacing w:line="300" w:lineRule="exact"/>
              <w:jc w:val="center"/>
              <w:rPr>
                <w:rFonts w:ascii="Times New Roman"/>
                <w:color w:val="000000"/>
                <w:sz w:val="21"/>
                <w:szCs w:val="21"/>
              </w:rPr>
            </w:pPr>
            <w:r>
              <w:rPr>
                <w:rFonts w:hint="eastAsia" w:ascii="Times New Roman"/>
                <w:color w:val="000000"/>
                <w:sz w:val="21"/>
                <w:szCs w:val="21"/>
              </w:rPr>
              <w:t>16.3</w:t>
            </w:r>
          </w:p>
        </w:tc>
        <w:tc>
          <w:tcPr>
            <w:tcW w:w="480" w:type="pct"/>
            <w:vAlign w:val="center"/>
          </w:tcPr>
          <w:p w14:paraId="04071636">
            <w:pPr>
              <w:adjustRightInd w:val="0"/>
              <w:snapToGri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51.12</w:t>
            </w:r>
          </w:p>
        </w:tc>
        <w:tc>
          <w:tcPr>
            <w:tcW w:w="480" w:type="pct"/>
            <w:vAlign w:val="center"/>
          </w:tcPr>
          <w:p w14:paraId="062C946C">
            <w:pPr>
              <w:adjustRightInd w:val="0"/>
              <w:snapToGrid w:val="0"/>
              <w:spacing w:line="300" w:lineRule="exact"/>
              <w:jc w:val="center"/>
              <w:rPr>
                <w:rFonts w:ascii="Times New Roman"/>
                <w:color w:val="000000"/>
                <w:sz w:val="21"/>
                <w:szCs w:val="21"/>
              </w:rPr>
            </w:pPr>
            <w:r>
              <w:rPr>
                <w:rFonts w:hint="eastAsia" w:ascii="Times New Roman"/>
                <w:color w:val="000000"/>
                <w:sz w:val="21"/>
                <w:szCs w:val="21"/>
              </w:rPr>
              <w:t>55</w:t>
            </w:r>
          </w:p>
        </w:tc>
        <w:tc>
          <w:tcPr>
            <w:tcW w:w="630" w:type="pct"/>
            <w:vAlign w:val="center"/>
          </w:tcPr>
          <w:p w14:paraId="26D5C780">
            <w:pPr>
              <w:adjustRightInd w:val="0"/>
              <w:snapToGrid w:val="0"/>
              <w:spacing w:line="300" w:lineRule="exact"/>
              <w:jc w:val="center"/>
              <w:rPr>
                <w:rFonts w:ascii="Times New Roman"/>
                <w:color w:val="000000"/>
                <w:sz w:val="21"/>
                <w:szCs w:val="21"/>
              </w:rPr>
            </w:pPr>
            <w:r>
              <w:rPr>
                <w:rFonts w:ascii="Times New Roman"/>
                <w:color w:val="000000"/>
                <w:sz w:val="21"/>
                <w:szCs w:val="21"/>
              </w:rPr>
              <w:t>达标</w:t>
            </w:r>
          </w:p>
        </w:tc>
      </w:tr>
      <w:tr w14:paraId="54E2681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28" w:type="dxa"/>
            <w:left w:w="28" w:type="dxa"/>
            <w:bottom w:w="28" w:type="dxa"/>
            <w:right w:w="28" w:type="dxa"/>
          </w:tblCellMar>
        </w:tblPrEx>
        <w:trPr>
          <w:cantSplit/>
          <w:trHeight w:val="369" w:hRule="atLeast"/>
          <w:jc w:val="center"/>
        </w:trPr>
        <w:tc>
          <w:tcPr>
            <w:tcW w:w="773" w:type="pct"/>
            <w:vMerge w:val="continue"/>
            <w:vAlign w:val="center"/>
          </w:tcPr>
          <w:p w14:paraId="5A9509F3">
            <w:pPr>
              <w:adjustRightInd w:val="0"/>
              <w:snapToGrid w:val="0"/>
              <w:spacing w:line="300" w:lineRule="exact"/>
              <w:jc w:val="center"/>
              <w:rPr>
                <w:rFonts w:ascii="Times New Roman"/>
                <w:color w:val="000000"/>
                <w:sz w:val="21"/>
                <w:szCs w:val="21"/>
              </w:rPr>
            </w:pPr>
          </w:p>
        </w:tc>
        <w:tc>
          <w:tcPr>
            <w:tcW w:w="880" w:type="pct"/>
            <w:vMerge w:val="continue"/>
            <w:vAlign w:val="center"/>
          </w:tcPr>
          <w:p w14:paraId="1D64D1B8">
            <w:pPr>
              <w:adjustRightInd w:val="0"/>
              <w:snapToGrid w:val="0"/>
              <w:spacing w:line="300" w:lineRule="exact"/>
              <w:jc w:val="center"/>
              <w:rPr>
                <w:rFonts w:ascii="Times New Roman"/>
                <w:color w:val="000000"/>
                <w:sz w:val="21"/>
                <w:szCs w:val="21"/>
              </w:rPr>
            </w:pPr>
          </w:p>
        </w:tc>
        <w:tc>
          <w:tcPr>
            <w:tcW w:w="628" w:type="pct"/>
            <w:vAlign w:val="center"/>
          </w:tcPr>
          <w:p w14:paraId="0C719BC2">
            <w:pPr>
              <w:adjustRightInd w:val="0"/>
              <w:snapToGrid w:val="0"/>
              <w:spacing w:line="300" w:lineRule="exact"/>
              <w:jc w:val="center"/>
              <w:rPr>
                <w:rFonts w:ascii="Times New Roman"/>
                <w:color w:val="000000"/>
                <w:sz w:val="21"/>
                <w:szCs w:val="21"/>
              </w:rPr>
            </w:pPr>
            <w:r>
              <w:rPr>
                <w:rFonts w:ascii="Times New Roman"/>
                <w:color w:val="000000"/>
                <w:sz w:val="21"/>
                <w:szCs w:val="21"/>
              </w:rPr>
              <w:t>夜间</w:t>
            </w:r>
          </w:p>
        </w:tc>
        <w:tc>
          <w:tcPr>
            <w:tcW w:w="645" w:type="pct"/>
            <w:vAlign w:val="center"/>
          </w:tcPr>
          <w:p w14:paraId="41EAE925">
            <w:pPr>
              <w:adjustRightInd w:val="0"/>
              <w:snapToGri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42.0</w:t>
            </w:r>
          </w:p>
        </w:tc>
        <w:tc>
          <w:tcPr>
            <w:tcW w:w="480" w:type="pct"/>
            <w:vAlign w:val="center"/>
          </w:tcPr>
          <w:p w14:paraId="2B1146AA">
            <w:pPr>
              <w:adjustRightInd w:val="0"/>
              <w:snapToGrid w:val="0"/>
              <w:spacing w:line="300" w:lineRule="exact"/>
              <w:jc w:val="center"/>
              <w:rPr>
                <w:rFonts w:ascii="Times New Roman"/>
                <w:color w:val="000000"/>
                <w:sz w:val="21"/>
                <w:szCs w:val="21"/>
              </w:rPr>
            </w:pPr>
            <w:r>
              <w:rPr>
                <w:rFonts w:hint="eastAsia" w:ascii="Times New Roman"/>
                <w:color w:val="000000"/>
                <w:sz w:val="21"/>
                <w:szCs w:val="21"/>
              </w:rPr>
              <w:t>16.3</w:t>
            </w:r>
          </w:p>
        </w:tc>
        <w:tc>
          <w:tcPr>
            <w:tcW w:w="480" w:type="pct"/>
            <w:vAlign w:val="center"/>
          </w:tcPr>
          <w:p w14:paraId="45609FF2">
            <w:pPr>
              <w:adjustRightInd w:val="0"/>
              <w:snapToGri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42.11</w:t>
            </w:r>
          </w:p>
        </w:tc>
        <w:tc>
          <w:tcPr>
            <w:tcW w:w="480" w:type="pct"/>
            <w:vAlign w:val="center"/>
          </w:tcPr>
          <w:p w14:paraId="61EE71CA">
            <w:pPr>
              <w:adjustRightInd w:val="0"/>
              <w:snapToGrid w:val="0"/>
              <w:spacing w:line="300" w:lineRule="exact"/>
              <w:jc w:val="center"/>
              <w:rPr>
                <w:rFonts w:ascii="Times New Roman"/>
                <w:color w:val="000000"/>
                <w:sz w:val="21"/>
                <w:szCs w:val="21"/>
              </w:rPr>
            </w:pPr>
            <w:r>
              <w:rPr>
                <w:rFonts w:hint="eastAsia" w:ascii="Times New Roman"/>
                <w:color w:val="000000"/>
                <w:sz w:val="21"/>
                <w:szCs w:val="21"/>
              </w:rPr>
              <w:t>45</w:t>
            </w:r>
          </w:p>
        </w:tc>
        <w:tc>
          <w:tcPr>
            <w:tcW w:w="630" w:type="pct"/>
            <w:vAlign w:val="center"/>
          </w:tcPr>
          <w:p w14:paraId="2A008C60">
            <w:pPr>
              <w:adjustRightInd w:val="0"/>
              <w:snapToGrid w:val="0"/>
              <w:spacing w:line="300" w:lineRule="exact"/>
              <w:jc w:val="center"/>
              <w:rPr>
                <w:rFonts w:ascii="Times New Roman"/>
                <w:color w:val="000000"/>
                <w:sz w:val="21"/>
                <w:szCs w:val="21"/>
              </w:rPr>
            </w:pPr>
            <w:r>
              <w:rPr>
                <w:rFonts w:ascii="Times New Roman"/>
                <w:color w:val="000000"/>
                <w:sz w:val="21"/>
                <w:szCs w:val="21"/>
              </w:rPr>
              <w:t>达标</w:t>
            </w:r>
          </w:p>
        </w:tc>
      </w:tr>
    </w:tbl>
    <w:p w14:paraId="7A7447C4">
      <w:pPr>
        <w:adjustRightInd w:val="0"/>
        <w:snapToGrid w:val="0"/>
        <w:spacing w:line="480" w:lineRule="exact"/>
        <w:ind w:firstLine="480" w:firstLineChars="200"/>
        <w:rPr>
          <w:rFonts w:ascii="Times New Roman"/>
          <w:bCs/>
          <w:snapToGrid w:val="0"/>
          <w:color w:val="000000"/>
          <w:szCs w:val="24"/>
        </w:rPr>
      </w:pPr>
      <w:r>
        <w:rPr>
          <w:rFonts w:ascii="Times New Roman"/>
          <w:color w:val="000000"/>
          <w:szCs w:val="24"/>
        </w:rPr>
        <w:t>从预测结果可看出，叠加环境本底后，环境敏感点</w:t>
      </w:r>
      <w:r>
        <w:rPr>
          <w:rFonts w:hint="eastAsia" w:ascii="Times New Roman"/>
          <w:color w:val="000000"/>
          <w:szCs w:val="24"/>
        </w:rPr>
        <w:t>戴庄</w:t>
      </w:r>
      <w:r>
        <w:rPr>
          <w:rFonts w:ascii="Times New Roman"/>
          <w:color w:val="000000"/>
          <w:szCs w:val="24"/>
        </w:rPr>
        <w:t>昼夜间噪声叠加值分</w:t>
      </w:r>
      <w:r>
        <w:rPr>
          <w:rFonts w:ascii="Times New Roman"/>
          <w:color w:val="000000" w:themeColor="text1"/>
          <w:szCs w:val="24"/>
          <w14:textFill>
            <w14:solidFill>
              <w14:schemeClr w14:val="tx1"/>
            </w14:solidFill>
          </w14:textFill>
        </w:rPr>
        <w:t>别为</w:t>
      </w:r>
      <w:r>
        <w:rPr>
          <w:rFonts w:hint="eastAsia" w:ascii="Times New Roman"/>
          <w:color w:val="000000" w:themeColor="text1"/>
          <w:szCs w:val="24"/>
          <w14:textFill>
            <w14:solidFill>
              <w14:schemeClr w14:val="tx1"/>
            </w14:solidFill>
          </w14:textFill>
        </w:rPr>
        <w:t>52.19</w:t>
      </w:r>
      <w:r>
        <w:rPr>
          <w:rFonts w:ascii="Times New Roman"/>
          <w:color w:val="000000" w:themeColor="text1"/>
          <w:szCs w:val="24"/>
          <w14:textFill>
            <w14:solidFill>
              <w14:schemeClr w14:val="tx1"/>
            </w14:solidFill>
          </w14:textFill>
        </w:rPr>
        <w:t>dB(A)、</w:t>
      </w:r>
      <w:r>
        <w:rPr>
          <w:rFonts w:hint="eastAsia" w:ascii="Times New Roman"/>
          <w:color w:val="000000" w:themeColor="text1"/>
          <w:szCs w:val="24"/>
          <w14:textFill>
            <w14:solidFill>
              <w14:schemeClr w14:val="tx1"/>
            </w14:solidFill>
          </w14:textFill>
        </w:rPr>
        <w:t>41.18</w:t>
      </w:r>
      <w:r>
        <w:rPr>
          <w:rFonts w:ascii="Times New Roman"/>
          <w:color w:val="000000" w:themeColor="text1"/>
          <w:szCs w:val="24"/>
          <w14:textFill>
            <w14:solidFill>
              <w14:schemeClr w14:val="tx1"/>
            </w14:solidFill>
          </w14:textFill>
        </w:rPr>
        <w:t>dB(A)，</w:t>
      </w:r>
      <w:r>
        <w:rPr>
          <w:rFonts w:hint="eastAsia" w:ascii="Times New Roman"/>
          <w:color w:val="000000" w:themeColor="text1"/>
          <w:szCs w:val="24"/>
          <w14:textFill>
            <w14:solidFill>
              <w14:schemeClr w14:val="tx1"/>
            </w14:solidFill>
          </w14:textFill>
        </w:rPr>
        <w:t>油坊庄</w:t>
      </w:r>
      <w:r>
        <w:rPr>
          <w:rFonts w:ascii="Times New Roman"/>
          <w:color w:val="000000" w:themeColor="text1"/>
          <w:szCs w:val="24"/>
          <w14:textFill>
            <w14:solidFill>
              <w14:schemeClr w14:val="tx1"/>
            </w14:solidFill>
          </w14:textFill>
        </w:rPr>
        <w:t>昼夜间噪声叠加值分别为</w:t>
      </w:r>
      <w:r>
        <w:rPr>
          <w:rFonts w:hint="eastAsia" w:ascii="Times New Roman"/>
          <w:color w:val="000000" w:themeColor="text1"/>
          <w:szCs w:val="24"/>
          <w14:textFill>
            <w14:solidFill>
              <w14:schemeClr w14:val="tx1"/>
            </w14:solidFill>
          </w14:textFill>
        </w:rPr>
        <w:t>51.12</w:t>
      </w:r>
      <w:r>
        <w:rPr>
          <w:rFonts w:ascii="Times New Roman"/>
          <w:color w:val="000000" w:themeColor="text1"/>
          <w:szCs w:val="24"/>
          <w14:textFill>
            <w14:solidFill>
              <w14:schemeClr w14:val="tx1"/>
            </w14:solidFill>
          </w14:textFill>
        </w:rPr>
        <w:t>dB(A)、</w:t>
      </w:r>
      <w:r>
        <w:rPr>
          <w:rFonts w:hint="eastAsia" w:ascii="Times New Roman"/>
          <w:color w:val="000000" w:themeColor="text1"/>
          <w:szCs w:val="24"/>
          <w14:textFill>
            <w14:solidFill>
              <w14:schemeClr w14:val="tx1"/>
            </w14:solidFill>
          </w14:textFill>
        </w:rPr>
        <w:t>42.11</w:t>
      </w:r>
      <w:r>
        <w:rPr>
          <w:rFonts w:ascii="Times New Roman"/>
          <w:color w:val="000000" w:themeColor="text1"/>
          <w:szCs w:val="24"/>
          <w14:textFill>
            <w14:solidFill>
              <w14:schemeClr w14:val="tx1"/>
            </w14:solidFill>
          </w14:textFill>
        </w:rPr>
        <w:t>dB(A)</w:t>
      </w:r>
      <w:r>
        <w:rPr>
          <w:rFonts w:hint="eastAsia" w:ascii="Times New Roman"/>
          <w:color w:val="000000" w:themeColor="text1"/>
          <w:szCs w:val="24"/>
          <w14:textFill>
            <w14:solidFill>
              <w14:schemeClr w14:val="tx1"/>
            </w14:solidFill>
          </w14:textFill>
        </w:rPr>
        <w:t>，</w:t>
      </w:r>
      <w:r>
        <w:rPr>
          <w:rFonts w:ascii="Times New Roman"/>
          <w:color w:val="000000" w:themeColor="text1"/>
          <w:szCs w:val="24"/>
          <w14:textFill>
            <w14:solidFill>
              <w14:schemeClr w14:val="tx1"/>
            </w14:solidFill>
          </w14:textFill>
        </w:rPr>
        <w:t>环境敏感</w:t>
      </w:r>
      <w:r>
        <w:rPr>
          <w:rFonts w:ascii="Times New Roman"/>
          <w:color w:val="000000"/>
          <w:szCs w:val="24"/>
        </w:rPr>
        <w:t>点处噪声可以达到《声环境质量标准》（GB3096-2008）中</w:t>
      </w:r>
      <w:r>
        <w:rPr>
          <w:rFonts w:hint="eastAsia" w:ascii="Times New Roman"/>
          <w:color w:val="000000"/>
          <w:szCs w:val="24"/>
        </w:rPr>
        <w:t>1</w:t>
      </w:r>
      <w:r>
        <w:rPr>
          <w:rFonts w:ascii="Times New Roman"/>
          <w:color w:val="000000"/>
          <w:szCs w:val="24"/>
        </w:rPr>
        <w:t>类标准要求（昼间≤</w:t>
      </w:r>
      <w:r>
        <w:rPr>
          <w:rFonts w:hint="eastAsia" w:ascii="Times New Roman"/>
          <w:color w:val="000000"/>
          <w:szCs w:val="24"/>
        </w:rPr>
        <w:t>55</w:t>
      </w:r>
      <w:r>
        <w:rPr>
          <w:rFonts w:ascii="Times New Roman"/>
          <w:color w:val="000000"/>
          <w:szCs w:val="24"/>
        </w:rPr>
        <w:t>dB(A)、夜间≤</w:t>
      </w:r>
      <w:r>
        <w:rPr>
          <w:rFonts w:hint="eastAsia" w:ascii="Times New Roman"/>
          <w:color w:val="000000"/>
          <w:szCs w:val="24"/>
        </w:rPr>
        <w:t>45</w:t>
      </w:r>
      <w:r>
        <w:rPr>
          <w:rFonts w:ascii="Times New Roman"/>
          <w:color w:val="000000"/>
          <w:szCs w:val="24"/>
        </w:rPr>
        <w:t>dB(A)）。</w:t>
      </w:r>
      <w:r>
        <w:rPr>
          <w:rFonts w:ascii="Times New Roman"/>
          <w:bCs/>
          <w:snapToGrid w:val="0"/>
          <w:color w:val="000000"/>
          <w:szCs w:val="24"/>
        </w:rPr>
        <w:t>由此可见，本项目建成后对周边环境影响较小。</w:t>
      </w:r>
    </w:p>
    <w:p w14:paraId="5AC8E333">
      <w:pPr>
        <w:adjustRightInd w:val="0"/>
        <w:snapToGrid w:val="0"/>
        <w:spacing w:line="480" w:lineRule="exact"/>
        <w:ind w:firstLine="480" w:firstLineChars="200"/>
        <w:rPr>
          <w:rFonts w:hint="eastAsia" w:ascii="Times New Roman"/>
          <w:color w:val="000000"/>
          <w:szCs w:val="24"/>
          <w:lang w:val="en-US" w:eastAsia="zh-CN"/>
        </w:rPr>
      </w:pPr>
      <w:r>
        <w:rPr>
          <w:rFonts w:ascii="Times New Roman"/>
          <w:color w:val="000000"/>
          <w:szCs w:val="24"/>
        </w:rPr>
        <w:t>为了保证厂界噪声值长期稳定达标，建设单位仍应严格执行本评价中提出的噪声治理措施，首先应选择低噪声设备、合理布局，将高噪声设备尽量设置于室内并尽可能远离厂界，其次需要采取适当的隔声降噪措施，特别是对距厂界较近的泵类、</w:t>
      </w:r>
      <w:r>
        <w:rPr>
          <w:rFonts w:hint="eastAsia" w:ascii="Times New Roman"/>
          <w:color w:val="000000"/>
          <w:szCs w:val="24"/>
        </w:rPr>
        <w:t>风机</w:t>
      </w:r>
      <w:r>
        <w:rPr>
          <w:rFonts w:ascii="Times New Roman"/>
          <w:color w:val="000000"/>
          <w:szCs w:val="24"/>
        </w:rPr>
        <w:t>机等高噪声设备采取一定的降噪措施。</w:t>
      </w:r>
      <w:r>
        <w:rPr>
          <w:rFonts w:hint="eastAsia" w:ascii="Times New Roman"/>
          <w:color w:val="000000"/>
          <w:szCs w:val="24"/>
          <w:lang w:val="en-US" w:eastAsia="zh-CN"/>
        </w:rPr>
        <w:t>项目等声级线图见</w:t>
      </w:r>
      <w:r>
        <w:rPr>
          <w:rFonts w:hint="eastAsia" w:ascii="Times New Roman"/>
          <w:b/>
          <w:bCs/>
          <w:color w:val="000000"/>
          <w:szCs w:val="24"/>
          <w:lang w:val="en-US" w:eastAsia="zh-CN"/>
        </w:rPr>
        <w:t>图5.4-1</w:t>
      </w:r>
      <w:r>
        <w:rPr>
          <w:rFonts w:hint="eastAsia" w:ascii="Times New Roman"/>
          <w:color w:val="000000"/>
          <w:szCs w:val="24"/>
          <w:lang w:val="en-US" w:eastAsia="zh-CN"/>
        </w:rPr>
        <w:t>。</w:t>
      </w:r>
    </w:p>
    <w:p w14:paraId="0A1C2201">
      <w:pPr>
        <w:pStyle w:val="2"/>
        <w:pageBreakBefore w:val="0"/>
        <w:widowControl w:val="0"/>
        <w:kinsoku/>
        <w:wordWrap/>
        <w:overflowPunct/>
        <w:topLinePunct w:val="0"/>
        <w:bidi w:val="0"/>
        <w:spacing w:after="0" w:line="240" w:lineRule="auto"/>
        <w:jc w:val="center"/>
        <w:textAlignment w:val="auto"/>
        <w:rPr>
          <w:rFonts w:hint="default"/>
          <w:lang w:val="en-US" w:eastAsia="zh-CN"/>
        </w:rPr>
      </w:pPr>
      <w:r>
        <w:drawing>
          <wp:inline distT="0" distB="0" distL="114300" distR="114300">
            <wp:extent cx="5389880" cy="3800475"/>
            <wp:effectExtent l="0" t="0" r="1270" b="952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77"/>
                    <a:stretch>
                      <a:fillRect/>
                    </a:stretch>
                  </pic:blipFill>
                  <pic:spPr>
                    <a:xfrm>
                      <a:off x="0" y="0"/>
                      <a:ext cx="5389880" cy="3800475"/>
                    </a:xfrm>
                    <a:prstGeom prst="rect">
                      <a:avLst/>
                    </a:prstGeom>
                    <a:noFill/>
                    <a:ln>
                      <a:noFill/>
                    </a:ln>
                  </pic:spPr>
                </pic:pic>
              </a:graphicData>
            </a:graphic>
          </wp:inline>
        </w:drawing>
      </w:r>
      <w:r>
        <w:rPr>
          <w:rFonts w:hint="eastAsia" w:ascii="Times New Roman"/>
          <w:b/>
          <w:bCs/>
          <w:color w:val="000000"/>
          <w:sz w:val="24"/>
          <w:szCs w:val="24"/>
          <w:lang w:val="en-US" w:eastAsia="zh-CN"/>
        </w:rPr>
        <w:t>图5.4-1 项目等声级线图</w:t>
      </w:r>
    </w:p>
    <w:p w14:paraId="152011E3">
      <w:pPr>
        <w:pStyle w:val="7"/>
        <w:pageBreakBefore w:val="0"/>
        <w:widowControl w:val="0"/>
        <w:kinsoku/>
        <w:wordWrap/>
        <w:overflowPunct/>
        <w:topLinePunct w:val="0"/>
        <w:bidi w:val="0"/>
        <w:spacing w:line="480" w:lineRule="exact"/>
        <w:textAlignment w:val="auto"/>
      </w:pPr>
      <w:r>
        <w:rPr>
          <w:rFonts w:hint="eastAsia"/>
        </w:rPr>
        <w:t>5</w:t>
      </w:r>
      <w:r>
        <w:t>.</w:t>
      </w:r>
      <w:r>
        <w:rPr>
          <w:rFonts w:hint="eastAsia"/>
        </w:rPr>
        <w:t>4.7小结</w:t>
      </w:r>
    </w:p>
    <w:p w14:paraId="1E067CF4">
      <w:pPr>
        <w:pageBreakBefore w:val="0"/>
        <w:widowControl w:val="0"/>
        <w:kinsoku/>
        <w:wordWrap/>
        <w:overflowPunct/>
        <w:topLinePunct w:val="0"/>
        <w:bidi w:val="0"/>
        <w:adjustRightInd w:val="0"/>
        <w:snapToGrid w:val="0"/>
        <w:spacing w:line="480" w:lineRule="exact"/>
        <w:ind w:firstLine="480" w:firstLineChars="200"/>
        <w:textAlignment w:val="auto"/>
        <w:rPr>
          <w:rFonts w:ascii="Times New Roman"/>
          <w:color w:val="000000"/>
          <w:szCs w:val="24"/>
        </w:rPr>
      </w:pPr>
      <w:r>
        <w:rPr>
          <w:rFonts w:ascii="Times New Roman"/>
          <w:color w:val="000000"/>
          <w:szCs w:val="24"/>
        </w:rPr>
        <w:t>项目噪声环境影响评价自查信息见表</w:t>
      </w:r>
      <w:r>
        <w:rPr>
          <w:rFonts w:hint="eastAsia" w:ascii="Times New Roman"/>
          <w:color w:val="000000"/>
          <w:szCs w:val="24"/>
        </w:rPr>
        <w:t>5</w:t>
      </w:r>
      <w:r>
        <w:rPr>
          <w:rFonts w:ascii="Times New Roman"/>
          <w:color w:val="000000"/>
          <w:szCs w:val="24"/>
        </w:rPr>
        <w:t>.</w:t>
      </w:r>
      <w:r>
        <w:rPr>
          <w:rFonts w:hint="eastAsia" w:ascii="Times New Roman"/>
          <w:color w:val="000000"/>
          <w:szCs w:val="24"/>
        </w:rPr>
        <w:t>4</w:t>
      </w:r>
      <w:r>
        <w:rPr>
          <w:rFonts w:ascii="Times New Roman"/>
          <w:color w:val="000000"/>
          <w:szCs w:val="24"/>
        </w:rPr>
        <w:t>-</w:t>
      </w:r>
      <w:r>
        <w:rPr>
          <w:rFonts w:hint="eastAsia" w:ascii="Times New Roman"/>
          <w:color w:val="000000"/>
          <w:szCs w:val="24"/>
        </w:rPr>
        <w:t>6</w:t>
      </w:r>
      <w:r>
        <w:rPr>
          <w:rFonts w:ascii="Times New Roman"/>
          <w:color w:val="000000"/>
          <w:szCs w:val="24"/>
        </w:rPr>
        <w:t>。</w:t>
      </w:r>
    </w:p>
    <w:p w14:paraId="57F9932A">
      <w:pPr>
        <w:pageBreakBefore w:val="0"/>
        <w:widowControl w:val="0"/>
        <w:kinsoku/>
        <w:wordWrap/>
        <w:overflowPunct/>
        <w:topLinePunct w:val="0"/>
        <w:bidi w:val="0"/>
        <w:adjustRightInd w:val="0"/>
        <w:snapToGrid w:val="0"/>
        <w:spacing w:line="480" w:lineRule="exact"/>
        <w:jc w:val="center"/>
        <w:textAlignment w:val="auto"/>
        <w:rPr>
          <w:rFonts w:ascii="Times New Roman"/>
          <w:b/>
          <w:color w:val="000000"/>
          <w:szCs w:val="24"/>
        </w:rPr>
      </w:pPr>
      <w:r>
        <w:rPr>
          <w:rFonts w:ascii="Times New Roman"/>
          <w:b/>
          <w:color w:val="000000"/>
          <w:szCs w:val="24"/>
        </w:rPr>
        <w:t>表</w:t>
      </w:r>
      <w:r>
        <w:rPr>
          <w:rFonts w:hint="eastAsia" w:ascii="Times New Roman"/>
          <w:b/>
          <w:color w:val="000000"/>
          <w:szCs w:val="24"/>
        </w:rPr>
        <w:t>5</w:t>
      </w:r>
      <w:r>
        <w:rPr>
          <w:rFonts w:ascii="Times New Roman"/>
          <w:b/>
          <w:color w:val="000000"/>
          <w:szCs w:val="24"/>
        </w:rPr>
        <w:t>.</w:t>
      </w:r>
      <w:r>
        <w:rPr>
          <w:rFonts w:hint="eastAsia" w:ascii="Times New Roman"/>
          <w:b/>
          <w:color w:val="000000"/>
          <w:szCs w:val="24"/>
        </w:rPr>
        <w:t>4</w:t>
      </w:r>
      <w:r>
        <w:rPr>
          <w:rFonts w:ascii="Times New Roman"/>
          <w:b/>
          <w:color w:val="000000"/>
          <w:szCs w:val="24"/>
        </w:rPr>
        <w:t>-</w:t>
      </w:r>
      <w:r>
        <w:rPr>
          <w:rFonts w:hint="eastAsia" w:ascii="Times New Roman"/>
          <w:b/>
          <w:color w:val="000000"/>
          <w:szCs w:val="24"/>
        </w:rPr>
        <w:t>6</w:t>
      </w:r>
      <w:r>
        <w:rPr>
          <w:rFonts w:ascii="Times New Roman"/>
          <w:b/>
          <w:color w:val="000000"/>
          <w:szCs w:val="24"/>
        </w:rPr>
        <w:t xml:space="preserve">  声环境影响评价自查表</w:t>
      </w:r>
    </w:p>
    <w:tbl>
      <w:tblPr>
        <w:tblStyle w:val="41"/>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179"/>
        <w:gridCol w:w="1090"/>
        <w:gridCol w:w="218"/>
        <w:gridCol w:w="324"/>
        <w:gridCol w:w="157"/>
        <w:gridCol w:w="391"/>
        <w:gridCol w:w="433"/>
        <w:gridCol w:w="657"/>
        <w:gridCol w:w="581"/>
        <w:gridCol w:w="70"/>
        <w:gridCol w:w="439"/>
        <w:gridCol w:w="541"/>
        <w:gridCol w:w="328"/>
        <w:gridCol w:w="221"/>
        <w:gridCol w:w="1081"/>
      </w:tblGrid>
      <w:tr w14:paraId="5D7A9F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5" w:type="pct"/>
            <w:gridSpan w:val="2"/>
            <w:vAlign w:val="center"/>
          </w:tcPr>
          <w:p w14:paraId="65A0C82C">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工作内容</w:t>
            </w:r>
          </w:p>
        </w:tc>
        <w:tc>
          <w:tcPr>
            <w:tcW w:w="3744" w:type="pct"/>
            <w:gridSpan w:val="14"/>
            <w:vAlign w:val="center"/>
          </w:tcPr>
          <w:p w14:paraId="073BC783">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自查项目</w:t>
            </w:r>
          </w:p>
        </w:tc>
      </w:tr>
      <w:tr w14:paraId="7E1786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9" w:type="pct"/>
            <w:vMerge w:val="restart"/>
            <w:vAlign w:val="center"/>
          </w:tcPr>
          <w:p w14:paraId="77E082AD">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评价等级与范围</w:t>
            </w:r>
          </w:p>
        </w:tc>
        <w:tc>
          <w:tcPr>
            <w:tcW w:w="676" w:type="pct"/>
            <w:vAlign w:val="center"/>
          </w:tcPr>
          <w:p w14:paraId="1D644C4F">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评价等级</w:t>
            </w:r>
          </w:p>
        </w:tc>
        <w:tc>
          <w:tcPr>
            <w:tcW w:w="1250" w:type="pct"/>
            <w:gridSpan w:val="5"/>
            <w:vAlign w:val="center"/>
          </w:tcPr>
          <w:p w14:paraId="0A865FE4">
            <w:pPr>
              <w:adjustRightInd w:val="0"/>
              <w:snapToGrid w:val="0"/>
              <w:spacing w:line="300" w:lineRule="exact"/>
              <w:jc w:val="center"/>
              <w:rPr>
                <w:rFonts w:ascii="Times New Roman" w:eastAsia="宋体"/>
                <w:sz w:val="21"/>
                <w:szCs w:val="21"/>
              </w:rPr>
            </w:pPr>
            <w:r>
              <w:rPr>
                <w:rFonts w:ascii="Times New Roman" w:eastAsia="宋体"/>
                <w:sz w:val="21"/>
                <w:szCs w:val="21"/>
              </w:rPr>
              <w:t>一级□</w:t>
            </w:r>
          </w:p>
        </w:tc>
        <w:tc>
          <w:tcPr>
            <w:tcW w:w="958" w:type="pct"/>
            <w:gridSpan w:val="3"/>
            <w:vAlign w:val="center"/>
          </w:tcPr>
          <w:p w14:paraId="3C51DCAD">
            <w:pPr>
              <w:adjustRightInd w:val="0"/>
              <w:snapToGrid w:val="0"/>
              <w:spacing w:line="300" w:lineRule="exact"/>
              <w:jc w:val="center"/>
              <w:rPr>
                <w:rFonts w:ascii="Times New Roman" w:eastAsia="宋体"/>
                <w:sz w:val="21"/>
                <w:szCs w:val="21"/>
              </w:rPr>
            </w:pPr>
            <w:r>
              <w:rPr>
                <w:rFonts w:ascii="Times New Roman" w:eastAsia="宋体"/>
                <w:sz w:val="21"/>
                <w:szCs w:val="21"/>
              </w:rPr>
              <w:t>二级</w:t>
            </w:r>
            <w:r>
              <w:rPr>
                <w:rFonts w:ascii="Times New Roman" w:eastAsia="宋体"/>
                <w:spacing w:val="-7"/>
                <w:sz w:val="21"/>
                <w:szCs w:val="21"/>
              </w:rPr>
              <w:t>☑</w:t>
            </w:r>
          </w:p>
        </w:tc>
        <w:tc>
          <w:tcPr>
            <w:tcW w:w="1535" w:type="pct"/>
            <w:gridSpan w:val="6"/>
            <w:vAlign w:val="center"/>
          </w:tcPr>
          <w:p w14:paraId="1761A286">
            <w:pPr>
              <w:adjustRightInd w:val="0"/>
              <w:snapToGrid w:val="0"/>
              <w:spacing w:line="300" w:lineRule="exact"/>
              <w:jc w:val="center"/>
              <w:rPr>
                <w:rFonts w:ascii="Times New Roman" w:eastAsia="宋体"/>
                <w:sz w:val="21"/>
                <w:szCs w:val="21"/>
              </w:rPr>
            </w:pPr>
            <w:r>
              <w:rPr>
                <w:rFonts w:ascii="Times New Roman" w:eastAsia="宋体"/>
                <w:sz w:val="21"/>
                <w:szCs w:val="21"/>
              </w:rPr>
              <w:t>三级□</w:t>
            </w:r>
          </w:p>
        </w:tc>
      </w:tr>
      <w:tr w14:paraId="4979EF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9" w:type="pct"/>
            <w:vMerge w:val="continue"/>
            <w:vAlign w:val="center"/>
          </w:tcPr>
          <w:p w14:paraId="3D5E420E">
            <w:pPr>
              <w:adjustRightInd w:val="0"/>
              <w:snapToGrid w:val="0"/>
              <w:spacing w:line="300" w:lineRule="exact"/>
              <w:jc w:val="center"/>
              <w:rPr>
                <w:rFonts w:ascii="Times New Roman" w:eastAsia="宋体"/>
                <w:color w:val="000000"/>
                <w:sz w:val="21"/>
                <w:szCs w:val="21"/>
              </w:rPr>
            </w:pPr>
          </w:p>
        </w:tc>
        <w:tc>
          <w:tcPr>
            <w:tcW w:w="676" w:type="pct"/>
            <w:vAlign w:val="center"/>
          </w:tcPr>
          <w:p w14:paraId="25C09BB3">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评价范围</w:t>
            </w:r>
          </w:p>
        </w:tc>
        <w:tc>
          <w:tcPr>
            <w:tcW w:w="1250" w:type="pct"/>
            <w:gridSpan w:val="5"/>
            <w:vAlign w:val="center"/>
          </w:tcPr>
          <w:p w14:paraId="7C386AC4">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200m</w:t>
            </w:r>
            <w:r>
              <w:rPr>
                <w:rFonts w:ascii="Times New Roman" w:eastAsia="宋体"/>
                <w:color w:val="000000"/>
                <w:spacing w:val="-7"/>
                <w:sz w:val="21"/>
                <w:szCs w:val="21"/>
              </w:rPr>
              <w:t>☑</w:t>
            </w:r>
          </w:p>
        </w:tc>
        <w:tc>
          <w:tcPr>
            <w:tcW w:w="958" w:type="pct"/>
            <w:gridSpan w:val="3"/>
            <w:vAlign w:val="center"/>
          </w:tcPr>
          <w:p w14:paraId="3630BB26">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大于200m□</w:t>
            </w:r>
          </w:p>
        </w:tc>
        <w:tc>
          <w:tcPr>
            <w:tcW w:w="1535" w:type="pct"/>
            <w:gridSpan w:val="6"/>
            <w:vAlign w:val="center"/>
          </w:tcPr>
          <w:p w14:paraId="4F4AFEF2">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小于200m□</w:t>
            </w:r>
          </w:p>
        </w:tc>
      </w:tr>
      <w:tr w14:paraId="450391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9" w:type="pct"/>
            <w:vAlign w:val="center"/>
          </w:tcPr>
          <w:p w14:paraId="6624B8EC">
            <w:pPr>
              <w:adjustRightInd w:val="0"/>
              <w:snapToGrid w:val="0"/>
              <w:spacing w:line="300" w:lineRule="exact"/>
              <w:jc w:val="center"/>
              <w:rPr>
                <w:rFonts w:ascii="Times New Roman" w:eastAsia="宋体"/>
                <w:sz w:val="21"/>
                <w:szCs w:val="21"/>
              </w:rPr>
            </w:pPr>
            <w:r>
              <w:rPr>
                <w:rFonts w:ascii="Times New Roman" w:eastAsia="宋体"/>
                <w:sz w:val="21"/>
                <w:szCs w:val="21"/>
              </w:rPr>
              <w:t>评价因子</w:t>
            </w:r>
          </w:p>
        </w:tc>
        <w:tc>
          <w:tcPr>
            <w:tcW w:w="676" w:type="pct"/>
            <w:vAlign w:val="center"/>
          </w:tcPr>
          <w:p w14:paraId="26D6ACFF">
            <w:pPr>
              <w:adjustRightInd w:val="0"/>
              <w:snapToGrid w:val="0"/>
              <w:spacing w:line="300" w:lineRule="exact"/>
              <w:jc w:val="center"/>
              <w:rPr>
                <w:rFonts w:ascii="Times New Roman" w:eastAsia="宋体"/>
                <w:sz w:val="21"/>
                <w:szCs w:val="21"/>
              </w:rPr>
            </w:pPr>
            <w:r>
              <w:rPr>
                <w:rFonts w:ascii="Times New Roman" w:eastAsia="宋体"/>
                <w:sz w:val="21"/>
                <w:szCs w:val="21"/>
              </w:rPr>
              <w:t>评价因子</w:t>
            </w:r>
          </w:p>
        </w:tc>
        <w:tc>
          <w:tcPr>
            <w:tcW w:w="1250" w:type="pct"/>
            <w:gridSpan w:val="5"/>
            <w:vAlign w:val="center"/>
          </w:tcPr>
          <w:p w14:paraId="37B43F86">
            <w:pPr>
              <w:adjustRightInd w:val="0"/>
              <w:snapToGrid w:val="0"/>
              <w:spacing w:line="300" w:lineRule="exact"/>
              <w:jc w:val="center"/>
              <w:rPr>
                <w:rFonts w:ascii="Times New Roman" w:eastAsia="宋体"/>
                <w:sz w:val="21"/>
                <w:szCs w:val="21"/>
              </w:rPr>
            </w:pPr>
            <w:r>
              <w:rPr>
                <w:rFonts w:ascii="Times New Roman" w:eastAsia="宋体"/>
                <w:sz w:val="21"/>
                <w:szCs w:val="21"/>
              </w:rPr>
              <w:t>等效连续A声级</w:t>
            </w:r>
            <w:r>
              <w:rPr>
                <w:rFonts w:ascii="Times New Roman" w:eastAsia="宋体"/>
                <w:spacing w:val="-7"/>
                <w:sz w:val="21"/>
                <w:szCs w:val="21"/>
              </w:rPr>
              <w:t>☑</w:t>
            </w:r>
          </w:p>
        </w:tc>
        <w:tc>
          <w:tcPr>
            <w:tcW w:w="958" w:type="pct"/>
            <w:gridSpan w:val="3"/>
            <w:vAlign w:val="center"/>
          </w:tcPr>
          <w:p w14:paraId="477069F1">
            <w:pPr>
              <w:adjustRightInd w:val="0"/>
              <w:snapToGrid w:val="0"/>
              <w:spacing w:line="300" w:lineRule="exact"/>
              <w:jc w:val="center"/>
              <w:rPr>
                <w:rFonts w:ascii="Times New Roman" w:eastAsia="宋体"/>
                <w:sz w:val="21"/>
                <w:szCs w:val="21"/>
              </w:rPr>
            </w:pPr>
            <w:r>
              <w:rPr>
                <w:rFonts w:ascii="Times New Roman" w:eastAsia="宋体"/>
                <w:sz w:val="21"/>
                <w:szCs w:val="21"/>
              </w:rPr>
              <w:t>最大A声级□</w:t>
            </w:r>
          </w:p>
        </w:tc>
        <w:tc>
          <w:tcPr>
            <w:tcW w:w="1535" w:type="pct"/>
            <w:gridSpan w:val="6"/>
            <w:vAlign w:val="center"/>
          </w:tcPr>
          <w:p w14:paraId="6735AB41">
            <w:pPr>
              <w:adjustRightInd w:val="0"/>
              <w:snapToGrid w:val="0"/>
              <w:spacing w:line="300" w:lineRule="exact"/>
              <w:jc w:val="center"/>
              <w:rPr>
                <w:rFonts w:ascii="Times New Roman" w:eastAsia="宋体"/>
                <w:sz w:val="21"/>
                <w:szCs w:val="21"/>
              </w:rPr>
            </w:pPr>
            <w:r>
              <w:rPr>
                <w:rFonts w:ascii="Times New Roman" w:eastAsia="宋体"/>
                <w:sz w:val="21"/>
                <w:szCs w:val="21"/>
              </w:rPr>
              <w:t>计权等效连续感觉噪声级□</w:t>
            </w:r>
          </w:p>
        </w:tc>
      </w:tr>
      <w:tr w14:paraId="659466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9" w:type="pct"/>
            <w:vAlign w:val="center"/>
          </w:tcPr>
          <w:p w14:paraId="5AC5CD0A">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评价标准</w:t>
            </w:r>
          </w:p>
        </w:tc>
        <w:tc>
          <w:tcPr>
            <w:tcW w:w="676" w:type="pct"/>
            <w:vAlign w:val="center"/>
          </w:tcPr>
          <w:p w14:paraId="5B79AAEE">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评价标准</w:t>
            </w:r>
          </w:p>
        </w:tc>
        <w:tc>
          <w:tcPr>
            <w:tcW w:w="1250" w:type="pct"/>
            <w:gridSpan w:val="5"/>
            <w:vAlign w:val="center"/>
          </w:tcPr>
          <w:p w14:paraId="0F777234">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国家标准</w:t>
            </w:r>
            <w:r>
              <w:rPr>
                <w:rFonts w:ascii="Times New Roman" w:eastAsia="宋体"/>
                <w:color w:val="000000"/>
                <w:spacing w:val="-7"/>
                <w:sz w:val="21"/>
                <w:szCs w:val="21"/>
              </w:rPr>
              <w:t>☑</w:t>
            </w:r>
          </w:p>
        </w:tc>
        <w:tc>
          <w:tcPr>
            <w:tcW w:w="958" w:type="pct"/>
            <w:gridSpan w:val="3"/>
            <w:vAlign w:val="center"/>
          </w:tcPr>
          <w:p w14:paraId="0CB358A0">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地方标准□</w:t>
            </w:r>
          </w:p>
        </w:tc>
        <w:tc>
          <w:tcPr>
            <w:tcW w:w="1535" w:type="pct"/>
            <w:gridSpan w:val="6"/>
            <w:vAlign w:val="center"/>
          </w:tcPr>
          <w:p w14:paraId="3DB8CA0C">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国外标准□</w:t>
            </w:r>
          </w:p>
        </w:tc>
      </w:tr>
      <w:tr w14:paraId="541AFB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9" w:type="pct"/>
            <w:vMerge w:val="restart"/>
            <w:vAlign w:val="center"/>
          </w:tcPr>
          <w:p w14:paraId="20359874">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现状评价</w:t>
            </w:r>
          </w:p>
        </w:tc>
        <w:tc>
          <w:tcPr>
            <w:tcW w:w="676" w:type="pct"/>
            <w:vAlign w:val="center"/>
          </w:tcPr>
          <w:p w14:paraId="4BF9F300">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环境功能区</w:t>
            </w:r>
          </w:p>
        </w:tc>
        <w:tc>
          <w:tcPr>
            <w:tcW w:w="625" w:type="pct"/>
            <w:vAlign w:val="center"/>
          </w:tcPr>
          <w:p w14:paraId="38C22794">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0类区□</w:t>
            </w:r>
          </w:p>
        </w:tc>
        <w:tc>
          <w:tcPr>
            <w:tcW w:w="625" w:type="pct"/>
            <w:gridSpan w:val="4"/>
            <w:vAlign w:val="center"/>
          </w:tcPr>
          <w:p w14:paraId="473235FE">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1类区</w:t>
            </w:r>
            <w:r>
              <w:rPr>
                <w:rFonts w:hint="eastAsia" w:ascii="Times New Roman" w:eastAsia="宋体"/>
                <w:color w:val="000000"/>
                <w:sz w:val="21"/>
                <w:szCs w:val="21"/>
              </w:rPr>
              <w:t>☑</w:t>
            </w:r>
          </w:p>
        </w:tc>
        <w:tc>
          <w:tcPr>
            <w:tcW w:w="625" w:type="pct"/>
            <w:gridSpan w:val="2"/>
            <w:vAlign w:val="center"/>
          </w:tcPr>
          <w:p w14:paraId="060E1C72">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2类区□</w:t>
            </w:r>
          </w:p>
        </w:tc>
        <w:tc>
          <w:tcPr>
            <w:tcW w:w="625" w:type="pct"/>
            <w:gridSpan w:val="3"/>
            <w:vAlign w:val="center"/>
          </w:tcPr>
          <w:p w14:paraId="0C23DFE2">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3类区□</w:t>
            </w:r>
          </w:p>
        </w:tc>
        <w:tc>
          <w:tcPr>
            <w:tcW w:w="625" w:type="pct"/>
            <w:gridSpan w:val="3"/>
            <w:vAlign w:val="center"/>
          </w:tcPr>
          <w:p w14:paraId="53F56D79">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4a类区□</w:t>
            </w:r>
          </w:p>
        </w:tc>
        <w:tc>
          <w:tcPr>
            <w:tcW w:w="619" w:type="pct"/>
            <w:vAlign w:val="center"/>
          </w:tcPr>
          <w:p w14:paraId="4CDD270E">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4b类区□</w:t>
            </w:r>
          </w:p>
        </w:tc>
      </w:tr>
      <w:tr w14:paraId="3F2A3E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9" w:type="pct"/>
            <w:vMerge w:val="continue"/>
            <w:vAlign w:val="center"/>
          </w:tcPr>
          <w:p w14:paraId="0041F4F9">
            <w:pPr>
              <w:adjustRightInd w:val="0"/>
              <w:snapToGrid w:val="0"/>
              <w:spacing w:line="300" w:lineRule="exact"/>
              <w:jc w:val="center"/>
              <w:rPr>
                <w:rFonts w:ascii="Times New Roman" w:eastAsia="宋体"/>
                <w:color w:val="000000"/>
                <w:sz w:val="21"/>
                <w:szCs w:val="21"/>
              </w:rPr>
            </w:pPr>
          </w:p>
        </w:tc>
        <w:tc>
          <w:tcPr>
            <w:tcW w:w="676" w:type="pct"/>
            <w:vAlign w:val="center"/>
          </w:tcPr>
          <w:p w14:paraId="5E004138">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评价年度</w:t>
            </w:r>
          </w:p>
        </w:tc>
        <w:tc>
          <w:tcPr>
            <w:tcW w:w="936" w:type="pct"/>
            <w:gridSpan w:val="3"/>
            <w:vAlign w:val="center"/>
          </w:tcPr>
          <w:p w14:paraId="5BE1DD5D">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初期□</w:t>
            </w:r>
          </w:p>
        </w:tc>
        <w:tc>
          <w:tcPr>
            <w:tcW w:w="938" w:type="pct"/>
            <w:gridSpan w:val="4"/>
            <w:vAlign w:val="center"/>
          </w:tcPr>
          <w:p w14:paraId="3E5D1DA0">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近期</w:t>
            </w:r>
            <w:r>
              <w:rPr>
                <w:rFonts w:ascii="Times New Roman" w:eastAsia="宋体"/>
                <w:color w:val="000000"/>
                <w:spacing w:val="-7"/>
                <w:sz w:val="21"/>
                <w:szCs w:val="21"/>
              </w:rPr>
              <w:t>☑</w:t>
            </w:r>
          </w:p>
        </w:tc>
        <w:tc>
          <w:tcPr>
            <w:tcW w:w="935" w:type="pct"/>
            <w:gridSpan w:val="4"/>
            <w:vAlign w:val="center"/>
          </w:tcPr>
          <w:p w14:paraId="4AF37108">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中期□</w:t>
            </w:r>
          </w:p>
        </w:tc>
        <w:tc>
          <w:tcPr>
            <w:tcW w:w="933" w:type="pct"/>
            <w:gridSpan w:val="3"/>
            <w:vAlign w:val="center"/>
          </w:tcPr>
          <w:p w14:paraId="4A8383B6">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远期□</w:t>
            </w:r>
          </w:p>
        </w:tc>
      </w:tr>
      <w:tr w14:paraId="3300FB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9" w:type="pct"/>
            <w:vMerge w:val="continue"/>
            <w:vAlign w:val="center"/>
          </w:tcPr>
          <w:p w14:paraId="040E482D">
            <w:pPr>
              <w:adjustRightInd w:val="0"/>
              <w:snapToGrid w:val="0"/>
              <w:spacing w:line="300" w:lineRule="exact"/>
              <w:jc w:val="center"/>
              <w:rPr>
                <w:rFonts w:ascii="Times New Roman" w:eastAsia="宋体"/>
                <w:color w:val="000000"/>
                <w:sz w:val="21"/>
                <w:szCs w:val="21"/>
              </w:rPr>
            </w:pPr>
          </w:p>
        </w:tc>
        <w:tc>
          <w:tcPr>
            <w:tcW w:w="676" w:type="pct"/>
            <w:vAlign w:val="center"/>
          </w:tcPr>
          <w:p w14:paraId="0A9B8659">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现状调查方法</w:t>
            </w:r>
          </w:p>
        </w:tc>
        <w:tc>
          <w:tcPr>
            <w:tcW w:w="1026" w:type="pct"/>
            <w:gridSpan w:val="4"/>
            <w:vAlign w:val="center"/>
          </w:tcPr>
          <w:p w14:paraId="77F6D17F">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现场实测法</w:t>
            </w:r>
            <w:r>
              <w:rPr>
                <w:rFonts w:ascii="Times New Roman" w:eastAsia="宋体"/>
                <w:color w:val="000000"/>
                <w:spacing w:val="-7"/>
                <w:sz w:val="21"/>
                <w:szCs w:val="21"/>
              </w:rPr>
              <w:t>☑</w:t>
            </w:r>
          </w:p>
        </w:tc>
        <w:tc>
          <w:tcPr>
            <w:tcW w:w="1473" w:type="pct"/>
            <w:gridSpan w:val="6"/>
            <w:vAlign w:val="center"/>
          </w:tcPr>
          <w:p w14:paraId="214BCBEE">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现场实测加模型计算法□</w:t>
            </w:r>
          </w:p>
        </w:tc>
        <w:tc>
          <w:tcPr>
            <w:tcW w:w="1244" w:type="pct"/>
            <w:gridSpan w:val="4"/>
            <w:vAlign w:val="center"/>
          </w:tcPr>
          <w:p w14:paraId="339AD918">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收集资料□</w:t>
            </w:r>
          </w:p>
        </w:tc>
      </w:tr>
      <w:tr w14:paraId="66A702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9" w:type="pct"/>
            <w:vMerge w:val="continue"/>
            <w:vAlign w:val="center"/>
          </w:tcPr>
          <w:p w14:paraId="507C07DF">
            <w:pPr>
              <w:adjustRightInd w:val="0"/>
              <w:snapToGrid w:val="0"/>
              <w:spacing w:line="300" w:lineRule="exact"/>
              <w:jc w:val="center"/>
              <w:rPr>
                <w:rFonts w:ascii="Times New Roman" w:eastAsia="宋体"/>
                <w:color w:val="000000"/>
                <w:sz w:val="21"/>
                <w:szCs w:val="21"/>
              </w:rPr>
            </w:pPr>
          </w:p>
        </w:tc>
        <w:tc>
          <w:tcPr>
            <w:tcW w:w="676" w:type="pct"/>
            <w:vAlign w:val="center"/>
          </w:tcPr>
          <w:p w14:paraId="651BC8EC">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现状评价</w:t>
            </w:r>
          </w:p>
        </w:tc>
        <w:tc>
          <w:tcPr>
            <w:tcW w:w="1026" w:type="pct"/>
            <w:gridSpan w:val="4"/>
            <w:vAlign w:val="center"/>
          </w:tcPr>
          <w:p w14:paraId="5CD42521">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达标百分比</w:t>
            </w:r>
          </w:p>
        </w:tc>
        <w:tc>
          <w:tcPr>
            <w:tcW w:w="2717" w:type="pct"/>
            <w:gridSpan w:val="10"/>
            <w:vAlign w:val="center"/>
          </w:tcPr>
          <w:p w14:paraId="72562383">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100%</w:t>
            </w:r>
          </w:p>
        </w:tc>
      </w:tr>
      <w:tr w14:paraId="577620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9" w:type="pct"/>
            <w:vAlign w:val="center"/>
          </w:tcPr>
          <w:p w14:paraId="55D8EF78">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噪声源调查</w:t>
            </w:r>
          </w:p>
        </w:tc>
        <w:tc>
          <w:tcPr>
            <w:tcW w:w="676" w:type="pct"/>
            <w:vAlign w:val="center"/>
          </w:tcPr>
          <w:p w14:paraId="379F219B">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噪声源调查方法</w:t>
            </w:r>
          </w:p>
        </w:tc>
        <w:tc>
          <w:tcPr>
            <w:tcW w:w="1026" w:type="pct"/>
            <w:gridSpan w:val="4"/>
            <w:vAlign w:val="center"/>
          </w:tcPr>
          <w:p w14:paraId="1912FBEF">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现场实测</w:t>
            </w:r>
            <w:r>
              <w:rPr>
                <w:rFonts w:ascii="Times New Roman" w:eastAsia="宋体"/>
                <w:color w:val="000000"/>
                <w:spacing w:val="-7"/>
                <w:sz w:val="21"/>
                <w:szCs w:val="21"/>
              </w:rPr>
              <w:t>☑</w:t>
            </w:r>
          </w:p>
        </w:tc>
        <w:tc>
          <w:tcPr>
            <w:tcW w:w="1473" w:type="pct"/>
            <w:gridSpan w:val="6"/>
            <w:vAlign w:val="center"/>
          </w:tcPr>
          <w:p w14:paraId="40581638">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已有资料□</w:t>
            </w:r>
          </w:p>
        </w:tc>
        <w:tc>
          <w:tcPr>
            <w:tcW w:w="1244" w:type="pct"/>
            <w:gridSpan w:val="4"/>
            <w:vAlign w:val="center"/>
          </w:tcPr>
          <w:p w14:paraId="37A2D53F">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研究成果□</w:t>
            </w:r>
          </w:p>
        </w:tc>
      </w:tr>
      <w:tr w14:paraId="42A3FB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9" w:type="pct"/>
            <w:vMerge w:val="restart"/>
            <w:vAlign w:val="center"/>
          </w:tcPr>
          <w:p w14:paraId="56D8DD28">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声环境影响预测与评价</w:t>
            </w:r>
          </w:p>
        </w:tc>
        <w:tc>
          <w:tcPr>
            <w:tcW w:w="676" w:type="pct"/>
            <w:vAlign w:val="center"/>
          </w:tcPr>
          <w:p w14:paraId="3B4C6398">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预测模型</w:t>
            </w:r>
          </w:p>
        </w:tc>
        <w:tc>
          <w:tcPr>
            <w:tcW w:w="1875" w:type="pct"/>
            <w:gridSpan w:val="7"/>
            <w:vAlign w:val="center"/>
          </w:tcPr>
          <w:p w14:paraId="2FDCFAD9">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导则推荐模型</w:t>
            </w:r>
            <w:r>
              <w:rPr>
                <w:rFonts w:ascii="Times New Roman" w:eastAsia="宋体"/>
                <w:color w:val="000000"/>
                <w:spacing w:val="-7"/>
                <w:sz w:val="21"/>
                <w:szCs w:val="21"/>
              </w:rPr>
              <w:t>☑</w:t>
            </w:r>
          </w:p>
        </w:tc>
        <w:tc>
          <w:tcPr>
            <w:tcW w:w="1869" w:type="pct"/>
            <w:gridSpan w:val="7"/>
            <w:vAlign w:val="center"/>
          </w:tcPr>
          <w:p w14:paraId="6C5C1F64">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其他□</w:t>
            </w:r>
          </w:p>
        </w:tc>
      </w:tr>
      <w:tr w14:paraId="32F114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9" w:type="pct"/>
            <w:vMerge w:val="continue"/>
            <w:vAlign w:val="center"/>
          </w:tcPr>
          <w:p w14:paraId="5EAA78AF">
            <w:pPr>
              <w:adjustRightInd w:val="0"/>
              <w:snapToGrid w:val="0"/>
              <w:spacing w:line="300" w:lineRule="exact"/>
              <w:jc w:val="center"/>
              <w:rPr>
                <w:rFonts w:ascii="Times New Roman" w:eastAsia="宋体"/>
                <w:color w:val="000000"/>
                <w:sz w:val="21"/>
                <w:szCs w:val="21"/>
              </w:rPr>
            </w:pPr>
          </w:p>
        </w:tc>
        <w:tc>
          <w:tcPr>
            <w:tcW w:w="676" w:type="pct"/>
            <w:vAlign w:val="center"/>
          </w:tcPr>
          <w:p w14:paraId="045CD53F">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预测范围</w:t>
            </w:r>
          </w:p>
        </w:tc>
        <w:tc>
          <w:tcPr>
            <w:tcW w:w="1250" w:type="pct"/>
            <w:gridSpan w:val="5"/>
            <w:vAlign w:val="center"/>
          </w:tcPr>
          <w:p w14:paraId="3A90D6AC">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200m</w:t>
            </w:r>
            <w:r>
              <w:rPr>
                <w:rFonts w:ascii="Times New Roman" w:eastAsia="宋体"/>
                <w:color w:val="000000"/>
                <w:spacing w:val="-7"/>
                <w:sz w:val="21"/>
                <w:szCs w:val="21"/>
              </w:rPr>
              <w:t>☑</w:t>
            </w:r>
          </w:p>
        </w:tc>
        <w:tc>
          <w:tcPr>
            <w:tcW w:w="958" w:type="pct"/>
            <w:gridSpan w:val="3"/>
            <w:vAlign w:val="center"/>
          </w:tcPr>
          <w:p w14:paraId="45431D26">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大于200 m□</w:t>
            </w:r>
          </w:p>
        </w:tc>
        <w:tc>
          <w:tcPr>
            <w:tcW w:w="1535" w:type="pct"/>
            <w:gridSpan w:val="6"/>
            <w:vAlign w:val="center"/>
          </w:tcPr>
          <w:p w14:paraId="7ADB902D">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小于200 m□</w:t>
            </w:r>
          </w:p>
        </w:tc>
      </w:tr>
      <w:tr w14:paraId="436796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9" w:type="pct"/>
            <w:vMerge w:val="continue"/>
            <w:vAlign w:val="center"/>
          </w:tcPr>
          <w:p w14:paraId="78E7CF67">
            <w:pPr>
              <w:adjustRightInd w:val="0"/>
              <w:snapToGrid w:val="0"/>
              <w:spacing w:line="300" w:lineRule="exact"/>
              <w:jc w:val="center"/>
              <w:rPr>
                <w:rFonts w:ascii="Times New Roman" w:eastAsia="宋体"/>
                <w:color w:val="000000"/>
                <w:sz w:val="21"/>
                <w:szCs w:val="21"/>
              </w:rPr>
            </w:pPr>
          </w:p>
        </w:tc>
        <w:tc>
          <w:tcPr>
            <w:tcW w:w="676" w:type="pct"/>
            <w:vAlign w:val="center"/>
          </w:tcPr>
          <w:p w14:paraId="2B229E48">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预测因子</w:t>
            </w:r>
          </w:p>
        </w:tc>
        <w:tc>
          <w:tcPr>
            <w:tcW w:w="1250" w:type="pct"/>
            <w:gridSpan w:val="5"/>
            <w:vAlign w:val="center"/>
          </w:tcPr>
          <w:p w14:paraId="412F8CC4">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等效连续A声级</w:t>
            </w:r>
            <w:r>
              <w:rPr>
                <w:rFonts w:ascii="Times New Roman" w:eastAsia="宋体"/>
                <w:color w:val="000000"/>
                <w:spacing w:val="-7"/>
                <w:sz w:val="21"/>
                <w:szCs w:val="21"/>
              </w:rPr>
              <w:t>☑</w:t>
            </w:r>
          </w:p>
        </w:tc>
        <w:tc>
          <w:tcPr>
            <w:tcW w:w="958" w:type="pct"/>
            <w:gridSpan w:val="3"/>
            <w:vAlign w:val="center"/>
          </w:tcPr>
          <w:p w14:paraId="1A2B89D5">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最大A声级□</w:t>
            </w:r>
          </w:p>
        </w:tc>
        <w:tc>
          <w:tcPr>
            <w:tcW w:w="1535" w:type="pct"/>
            <w:gridSpan w:val="6"/>
            <w:vAlign w:val="center"/>
          </w:tcPr>
          <w:p w14:paraId="5DE7429A">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计权等效连续感觉噪声级□</w:t>
            </w:r>
          </w:p>
        </w:tc>
      </w:tr>
      <w:tr w14:paraId="21F293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9" w:type="pct"/>
            <w:vMerge w:val="continue"/>
            <w:vAlign w:val="center"/>
          </w:tcPr>
          <w:p w14:paraId="78098AF9">
            <w:pPr>
              <w:adjustRightInd w:val="0"/>
              <w:snapToGrid w:val="0"/>
              <w:spacing w:line="300" w:lineRule="exact"/>
              <w:jc w:val="center"/>
              <w:rPr>
                <w:rFonts w:ascii="Times New Roman" w:eastAsia="宋体"/>
                <w:color w:val="000000"/>
                <w:sz w:val="21"/>
                <w:szCs w:val="21"/>
              </w:rPr>
            </w:pPr>
          </w:p>
        </w:tc>
        <w:tc>
          <w:tcPr>
            <w:tcW w:w="676" w:type="pct"/>
            <w:vAlign w:val="center"/>
          </w:tcPr>
          <w:p w14:paraId="07737E60">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厂界噪声贡献值</w:t>
            </w:r>
          </w:p>
        </w:tc>
        <w:tc>
          <w:tcPr>
            <w:tcW w:w="1875" w:type="pct"/>
            <w:gridSpan w:val="7"/>
            <w:vAlign w:val="center"/>
          </w:tcPr>
          <w:p w14:paraId="4CD2BAFE">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达标</w:t>
            </w:r>
            <w:r>
              <w:rPr>
                <w:rFonts w:ascii="Times New Roman" w:eastAsia="宋体"/>
                <w:color w:val="000000"/>
                <w:spacing w:val="-7"/>
                <w:sz w:val="21"/>
                <w:szCs w:val="21"/>
              </w:rPr>
              <w:t>☑</w:t>
            </w:r>
          </w:p>
        </w:tc>
        <w:tc>
          <w:tcPr>
            <w:tcW w:w="1869" w:type="pct"/>
            <w:gridSpan w:val="7"/>
            <w:vAlign w:val="center"/>
          </w:tcPr>
          <w:p w14:paraId="366200E4">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不达标□</w:t>
            </w:r>
          </w:p>
        </w:tc>
      </w:tr>
      <w:tr w14:paraId="3C2DDF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9" w:type="pct"/>
            <w:vMerge w:val="continue"/>
            <w:vAlign w:val="center"/>
          </w:tcPr>
          <w:p w14:paraId="0863E569">
            <w:pPr>
              <w:adjustRightInd w:val="0"/>
              <w:snapToGrid w:val="0"/>
              <w:spacing w:line="300" w:lineRule="exact"/>
              <w:jc w:val="center"/>
              <w:rPr>
                <w:rFonts w:ascii="Times New Roman" w:eastAsia="宋体"/>
                <w:color w:val="000000"/>
                <w:sz w:val="21"/>
                <w:szCs w:val="21"/>
              </w:rPr>
            </w:pPr>
          </w:p>
        </w:tc>
        <w:tc>
          <w:tcPr>
            <w:tcW w:w="676" w:type="pct"/>
            <w:vAlign w:val="center"/>
          </w:tcPr>
          <w:p w14:paraId="6D40DB66">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声环境保护目标处噪声值</w:t>
            </w:r>
          </w:p>
        </w:tc>
        <w:tc>
          <w:tcPr>
            <w:tcW w:w="1875" w:type="pct"/>
            <w:gridSpan w:val="7"/>
            <w:vAlign w:val="center"/>
          </w:tcPr>
          <w:p w14:paraId="378CB8CE">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达标□</w:t>
            </w:r>
          </w:p>
        </w:tc>
        <w:tc>
          <w:tcPr>
            <w:tcW w:w="1869" w:type="pct"/>
            <w:gridSpan w:val="7"/>
            <w:vAlign w:val="center"/>
          </w:tcPr>
          <w:p w14:paraId="68B37925">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不达标□</w:t>
            </w:r>
          </w:p>
        </w:tc>
      </w:tr>
      <w:tr w14:paraId="6B82A9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9" w:type="pct"/>
            <w:vMerge w:val="restart"/>
            <w:vAlign w:val="center"/>
          </w:tcPr>
          <w:p w14:paraId="4CD7B365">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环境监测计划</w:t>
            </w:r>
          </w:p>
        </w:tc>
        <w:tc>
          <w:tcPr>
            <w:tcW w:w="676" w:type="pct"/>
            <w:vAlign w:val="center"/>
          </w:tcPr>
          <w:p w14:paraId="02E78F56">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排放监测</w:t>
            </w:r>
          </w:p>
        </w:tc>
        <w:tc>
          <w:tcPr>
            <w:tcW w:w="750" w:type="pct"/>
            <w:gridSpan w:val="2"/>
            <w:vAlign w:val="center"/>
          </w:tcPr>
          <w:p w14:paraId="31D7B952">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厂界监测</w:t>
            </w:r>
            <w:r>
              <w:rPr>
                <w:rFonts w:ascii="Times New Roman" w:eastAsia="宋体"/>
                <w:color w:val="000000"/>
                <w:spacing w:val="-7"/>
                <w:sz w:val="21"/>
                <w:szCs w:val="21"/>
              </w:rPr>
              <w:t>☑</w:t>
            </w:r>
          </w:p>
        </w:tc>
        <w:tc>
          <w:tcPr>
            <w:tcW w:w="748" w:type="pct"/>
            <w:gridSpan w:val="4"/>
            <w:vAlign w:val="center"/>
          </w:tcPr>
          <w:p w14:paraId="697E9B0C">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固定位置监测□</w:t>
            </w:r>
          </w:p>
        </w:tc>
        <w:tc>
          <w:tcPr>
            <w:tcW w:w="750" w:type="pct"/>
            <w:gridSpan w:val="3"/>
            <w:vAlign w:val="center"/>
          </w:tcPr>
          <w:p w14:paraId="36216F10">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自动监测□</w:t>
            </w:r>
          </w:p>
        </w:tc>
        <w:tc>
          <w:tcPr>
            <w:tcW w:w="750" w:type="pct"/>
            <w:gridSpan w:val="3"/>
            <w:vAlign w:val="center"/>
          </w:tcPr>
          <w:p w14:paraId="6AB94D9E">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手动监测</w:t>
            </w:r>
            <w:r>
              <w:rPr>
                <w:rFonts w:ascii="Times New Roman" w:eastAsia="宋体"/>
                <w:color w:val="000000"/>
                <w:spacing w:val="-7"/>
                <w:sz w:val="21"/>
                <w:szCs w:val="21"/>
              </w:rPr>
              <w:t>☑</w:t>
            </w:r>
          </w:p>
        </w:tc>
        <w:tc>
          <w:tcPr>
            <w:tcW w:w="745" w:type="pct"/>
            <w:gridSpan w:val="2"/>
            <w:vAlign w:val="center"/>
          </w:tcPr>
          <w:p w14:paraId="12C11DA3">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无监测□</w:t>
            </w:r>
          </w:p>
        </w:tc>
      </w:tr>
      <w:tr w14:paraId="354EAB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9" w:type="pct"/>
            <w:vMerge w:val="continue"/>
            <w:vAlign w:val="center"/>
          </w:tcPr>
          <w:p w14:paraId="1E176F3E">
            <w:pPr>
              <w:adjustRightInd w:val="0"/>
              <w:snapToGrid w:val="0"/>
              <w:spacing w:line="300" w:lineRule="exact"/>
              <w:jc w:val="center"/>
              <w:rPr>
                <w:rFonts w:ascii="Times New Roman" w:eastAsia="宋体"/>
                <w:color w:val="000000"/>
                <w:sz w:val="21"/>
                <w:szCs w:val="21"/>
              </w:rPr>
            </w:pPr>
          </w:p>
        </w:tc>
        <w:tc>
          <w:tcPr>
            <w:tcW w:w="676" w:type="pct"/>
            <w:vAlign w:val="center"/>
          </w:tcPr>
          <w:p w14:paraId="3A38675D">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声环境保护目标处噪声监测</w:t>
            </w:r>
          </w:p>
        </w:tc>
        <w:tc>
          <w:tcPr>
            <w:tcW w:w="1250" w:type="pct"/>
            <w:gridSpan w:val="5"/>
            <w:vAlign w:val="center"/>
          </w:tcPr>
          <w:p w14:paraId="493F7982">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监测因子：（</w:t>
            </w:r>
            <w:r>
              <w:rPr>
                <w:sz w:val="21"/>
              </w:rPr>
              <w:t>等效连续</w:t>
            </w:r>
            <w:r>
              <w:rPr>
                <w:rFonts w:ascii="Times New Roman" w:eastAsia="Times New Roman"/>
                <w:sz w:val="21"/>
              </w:rPr>
              <w:t>A</w:t>
            </w:r>
            <w:r>
              <w:rPr>
                <w:sz w:val="21"/>
              </w:rPr>
              <w:t>声级</w:t>
            </w:r>
            <w:r>
              <w:rPr>
                <w:rFonts w:ascii="Times New Roman" w:eastAsia="宋体"/>
                <w:color w:val="000000"/>
                <w:sz w:val="21"/>
                <w:szCs w:val="21"/>
              </w:rPr>
              <w:t>）</w:t>
            </w:r>
          </w:p>
        </w:tc>
        <w:tc>
          <w:tcPr>
            <w:tcW w:w="1250" w:type="pct"/>
            <w:gridSpan w:val="5"/>
            <w:vAlign w:val="center"/>
          </w:tcPr>
          <w:p w14:paraId="0317B4B9">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监测点位数（</w:t>
            </w:r>
            <w:r>
              <w:rPr>
                <w:rFonts w:hint="eastAsia" w:ascii="Times New Roman" w:eastAsia="宋体"/>
                <w:color w:val="000000"/>
                <w:sz w:val="21"/>
                <w:szCs w:val="21"/>
              </w:rPr>
              <w:t>2</w:t>
            </w:r>
            <w:r>
              <w:rPr>
                <w:rFonts w:ascii="Times New Roman" w:eastAsia="宋体"/>
                <w:color w:val="000000"/>
                <w:sz w:val="21"/>
                <w:szCs w:val="21"/>
              </w:rPr>
              <w:t>）</w:t>
            </w:r>
          </w:p>
        </w:tc>
        <w:tc>
          <w:tcPr>
            <w:tcW w:w="1244" w:type="pct"/>
            <w:gridSpan w:val="4"/>
            <w:vAlign w:val="center"/>
          </w:tcPr>
          <w:p w14:paraId="4C835AB2">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无监测□</w:t>
            </w:r>
          </w:p>
        </w:tc>
      </w:tr>
      <w:tr w14:paraId="622918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9" w:type="pct"/>
            <w:vAlign w:val="center"/>
          </w:tcPr>
          <w:p w14:paraId="4DED9CFF">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评价结论</w:t>
            </w:r>
          </w:p>
        </w:tc>
        <w:tc>
          <w:tcPr>
            <w:tcW w:w="676" w:type="pct"/>
            <w:vAlign w:val="center"/>
          </w:tcPr>
          <w:p w14:paraId="4772D92B">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环境影响</w:t>
            </w:r>
          </w:p>
        </w:tc>
        <w:tc>
          <w:tcPr>
            <w:tcW w:w="1875" w:type="pct"/>
            <w:gridSpan w:val="7"/>
            <w:vAlign w:val="center"/>
          </w:tcPr>
          <w:p w14:paraId="3A9E4852">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可行</w:t>
            </w:r>
            <w:r>
              <w:rPr>
                <w:rFonts w:ascii="Times New Roman" w:eastAsia="宋体"/>
                <w:color w:val="000000"/>
                <w:spacing w:val="-7"/>
                <w:sz w:val="21"/>
                <w:szCs w:val="21"/>
              </w:rPr>
              <w:t>☑</w:t>
            </w:r>
          </w:p>
        </w:tc>
        <w:tc>
          <w:tcPr>
            <w:tcW w:w="1869" w:type="pct"/>
            <w:gridSpan w:val="7"/>
            <w:vAlign w:val="center"/>
          </w:tcPr>
          <w:p w14:paraId="57C4555C">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不可行□</w:t>
            </w:r>
          </w:p>
        </w:tc>
      </w:tr>
      <w:tr w14:paraId="00B709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16"/>
            <w:vAlign w:val="center"/>
          </w:tcPr>
          <w:p w14:paraId="38AF117A">
            <w:pPr>
              <w:adjustRightInd w:val="0"/>
              <w:snapToGrid w:val="0"/>
              <w:spacing w:line="300" w:lineRule="exact"/>
              <w:rPr>
                <w:rFonts w:ascii="Times New Roman" w:eastAsia="宋体"/>
                <w:color w:val="000000"/>
                <w:sz w:val="21"/>
                <w:szCs w:val="21"/>
              </w:rPr>
            </w:pPr>
            <w:r>
              <w:rPr>
                <w:rFonts w:ascii="Times New Roman" w:eastAsia="宋体"/>
                <w:color w:val="000000"/>
                <w:sz w:val="21"/>
                <w:szCs w:val="21"/>
              </w:rPr>
              <w:t>注：“□” 为勾选项 ，可√ ；“（</w:t>
            </w:r>
            <w:r>
              <w:rPr>
                <w:rFonts w:ascii="Times New Roman" w:eastAsia="宋体"/>
                <w:color w:val="000000"/>
                <w:sz w:val="21"/>
                <w:szCs w:val="21"/>
              </w:rPr>
              <w:tab/>
            </w:r>
            <w:r>
              <w:rPr>
                <w:rFonts w:ascii="Times New Roman" w:eastAsia="宋体"/>
                <w:color w:val="000000"/>
                <w:sz w:val="21"/>
                <w:szCs w:val="21"/>
              </w:rPr>
              <w:t>）” 为内容填写项。</w:t>
            </w:r>
          </w:p>
        </w:tc>
      </w:tr>
    </w:tbl>
    <w:p w14:paraId="6603F22E">
      <w:pPr>
        <w:pStyle w:val="4"/>
        <w:pageBreakBefore w:val="0"/>
        <w:widowControl w:val="0"/>
        <w:kinsoku/>
        <w:wordWrap/>
        <w:overflowPunct/>
        <w:topLinePunct w:val="0"/>
        <w:autoSpaceDE/>
        <w:autoSpaceDN/>
        <w:bidi w:val="0"/>
        <w:adjustRightInd/>
        <w:snapToGrid/>
        <w:spacing w:after="0" w:line="460" w:lineRule="exact"/>
        <w:jc w:val="both"/>
        <w:textAlignment w:val="auto"/>
      </w:pPr>
      <w:bookmarkStart w:id="116" w:name="_Toc15002"/>
      <w:r>
        <w:rPr>
          <w:rFonts w:hint="eastAsia"/>
        </w:rPr>
        <w:t>5</w:t>
      </w:r>
      <w:r>
        <w:t>.</w:t>
      </w:r>
      <w:r>
        <w:rPr>
          <w:rFonts w:hint="eastAsia"/>
        </w:rPr>
        <w:t>5</w:t>
      </w:r>
      <w:r>
        <w:t xml:space="preserve"> </w:t>
      </w:r>
      <w:r>
        <w:rPr>
          <w:rFonts w:hint="eastAsia"/>
        </w:rPr>
        <w:t>固体废物环境影响评价</w:t>
      </w:r>
      <w:bookmarkEnd w:id="116"/>
    </w:p>
    <w:p w14:paraId="7332EB57">
      <w:pPr>
        <w:pStyle w:val="7"/>
        <w:pageBreakBefore w:val="0"/>
        <w:widowControl w:val="0"/>
        <w:kinsoku/>
        <w:wordWrap/>
        <w:overflowPunct/>
        <w:topLinePunct w:val="0"/>
        <w:autoSpaceDE/>
        <w:autoSpaceDN/>
        <w:bidi w:val="0"/>
        <w:adjustRightInd/>
        <w:snapToGrid/>
        <w:spacing w:line="460" w:lineRule="exact"/>
        <w:textAlignment w:val="auto"/>
      </w:pPr>
      <w:r>
        <w:rPr>
          <w:rFonts w:hint="eastAsia"/>
        </w:rPr>
        <w:t>5</w:t>
      </w:r>
      <w:r>
        <w:t>.</w:t>
      </w:r>
      <w:r>
        <w:rPr>
          <w:rFonts w:hint="eastAsia"/>
        </w:rPr>
        <w:t>5</w:t>
      </w:r>
      <w:r>
        <w:t xml:space="preserve">.1 </w:t>
      </w:r>
      <w:r>
        <w:rPr>
          <w:rFonts w:hint="eastAsia"/>
        </w:rPr>
        <w:t>固体废物产生情况</w:t>
      </w:r>
    </w:p>
    <w:p w14:paraId="00FD6BA6">
      <w:pPr>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cs="Times New Roman"/>
          <w:szCs w:val="24"/>
        </w:rPr>
      </w:pPr>
      <w:r>
        <w:rPr>
          <w:rFonts w:ascii="Times New Roman" w:hAnsi="Times New Roman" w:cs="Times New Roman"/>
          <w:szCs w:val="24"/>
        </w:rPr>
        <w:t>本项目</w:t>
      </w:r>
      <w:r>
        <w:rPr>
          <w:rFonts w:hint="eastAsia" w:ascii="Times New Roman" w:hAnsi="Times New Roman" w:cs="Times New Roman"/>
          <w:szCs w:val="24"/>
        </w:rPr>
        <w:t>产生的</w:t>
      </w:r>
      <w:r>
        <w:rPr>
          <w:rFonts w:ascii="Times New Roman" w:hAnsi="Times New Roman" w:cs="Times New Roman"/>
          <w:szCs w:val="24"/>
        </w:rPr>
        <w:t>固体废弃物主要包括：病死鸡、鸡粪、废包装、医疗废物、污泥、</w:t>
      </w:r>
      <w:r>
        <w:rPr>
          <w:rFonts w:ascii="Times New Roman" w:hAnsi="Times New Roman" w:cs="Times New Roman"/>
          <w:kern w:val="0"/>
          <w:szCs w:val="24"/>
        </w:rPr>
        <w:t>饲料残渣</w:t>
      </w:r>
      <w:r>
        <w:rPr>
          <w:rFonts w:hint="eastAsia" w:ascii="Times New Roman" w:hAnsi="Times New Roman" w:cs="Times New Roman"/>
          <w:kern w:val="0"/>
          <w:szCs w:val="24"/>
        </w:rPr>
        <w:t>及</w:t>
      </w:r>
      <w:r>
        <w:rPr>
          <w:rFonts w:ascii="Times New Roman" w:hAnsi="Times New Roman" w:cs="Times New Roman"/>
          <w:kern w:val="0"/>
          <w:szCs w:val="24"/>
        </w:rPr>
        <w:t>散落羽毛</w:t>
      </w:r>
      <w:r>
        <w:rPr>
          <w:rFonts w:hint="eastAsia" w:ascii="Times New Roman" w:hAnsi="Times New Roman" w:cs="Times New Roman"/>
          <w:kern w:val="0"/>
          <w:szCs w:val="24"/>
        </w:rPr>
        <w:t>、废树脂</w:t>
      </w:r>
      <w:r>
        <w:rPr>
          <w:rFonts w:ascii="Times New Roman" w:hAnsi="Times New Roman" w:cs="Times New Roman"/>
          <w:szCs w:val="24"/>
        </w:rPr>
        <w:t>和生活垃圾。</w:t>
      </w:r>
    </w:p>
    <w:p w14:paraId="5C07EFF1">
      <w:pPr>
        <w:pStyle w:val="7"/>
        <w:pageBreakBefore w:val="0"/>
        <w:widowControl w:val="0"/>
        <w:kinsoku/>
        <w:wordWrap/>
        <w:overflowPunct/>
        <w:topLinePunct w:val="0"/>
        <w:autoSpaceDE/>
        <w:autoSpaceDN/>
        <w:bidi w:val="0"/>
        <w:adjustRightInd/>
        <w:snapToGrid/>
        <w:spacing w:line="460" w:lineRule="exact"/>
        <w:textAlignment w:val="auto"/>
      </w:pPr>
      <w:r>
        <w:rPr>
          <w:rFonts w:hint="eastAsia"/>
        </w:rPr>
        <w:t>5</w:t>
      </w:r>
      <w:r>
        <w:t>.</w:t>
      </w:r>
      <w:r>
        <w:rPr>
          <w:rFonts w:hint="eastAsia"/>
        </w:rPr>
        <w:t>5</w:t>
      </w:r>
      <w:r>
        <w:t>.</w:t>
      </w:r>
      <w:r>
        <w:rPr>
          <w:rFonts w:hint="eastAsia"/>
        </w:rPr>
        <w:t>2固体废物处置情况</w:t>
      </w:r>
    </w:p>
    <w:p w14:paraId="5CA1572B">
      <w:pPr>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color w:val="000000"/>
          <w:szCs w:val="24"/>
        </w:rPr>
      </w:pPr>
      <w:r>
        <w:rPr>
          <w:rFonts w:ascii="Times New Roman"/>
          <w:color w:val="000000"/>
          <w:szCs w:val="24"/>
        </w:rPr>
        <w:t>项目产生的一般固废</w:t>
      </w:r>
      <w:r>
        <w:rPr>
          <w:rFonts w:ascii="Times New Roman" w:hAnsi="Times New Roman" w:cs="Times New Roman"/>
          <w:szCs w:val="24"/>
        </w:rPr>
        <w:t>病死鸡</w:t>
      </w:r>
      <w:r>
        <w:rPr>
          <w:rFonts w:hint="eastAsia" w:ascii="Times New Roman" w:hAnsi="Times New Roman" w:cs="Times New Roman"/>
          <w:szCs w:val="24"/>
        </w:rPr>
        <w:t>委托</w:t>
      </w:r>
      <w:r>
        <w:rPr>
          <w:rFonts w:hint="eastAsia" w:ascii="Times New Roman" w:hAnsi="Times New Roman" w:eastAsia="宋体" w:cs="Times New Roman"/>
          <w:bCs/>
          <w:kern w:val="0"/>
          <w:szCs w:val="24"/>
        </w:rPr>
        <w:t>泗阳北斗星动物无害化处理有限公司</w:t>
      </w:r>
      <w:r>
        <w:rPr>
          <w:rFonts w:ascii="Times New Roman" w:hAnsi="Times New Roman" w:eastAsia="宋体" w:cs="Times New Roman"/>
          <w:bCs/>
          <w:szCs w:val="24"/>
        </w:rPr>
        <w:t>无害化处理</w:t>
      </w:r>
      <w:r>
        <w:rPr>
          <w:rFonts w:hint="eastAsia" w:ascii="Times New Roman" w:hAnsi="Times New Roman" w:eastAsia="宋体" w:cs="Times New Roman"/>
          <w:bCs/>
          <w:szCs w:val="24"/>
        </w:rPr>
        <w:t>，鸡粪</w:t>
      </w:r>
      <w:r>
        <w:rPr>
          <w:rFonts w:ascii="Times New Roman" w:hAnsi="Times New Roman" w:eastAsia="宋体" w:cs="Times New Roman"/>
          <w:bCs/>
          <w:szCs w:val="24"/>
        </w:rPr>
        <w:t>外售</w:t>
      </w:r>
      <w:r>
        <w:rPr>
          <w:rFonts w:hint="eastAsia" w:ascii="Times New Roman" w:hAnsi="Times New Roman" w:eastAsia="宋体" w:cs="Times New Roman"/>
          <w:bCs/>
          <w:szCs w:val="24"/>
          <w:lang w:eastAsia="zh-CN"/>
        </w:rPr>
        <w:t>泗阳巨宇畜禽粪污处理有限公司</w:t>
      </w:r>
      <w:r>
        <w:rPr>
          <w:rFonts w:ascii="Times New Roman" w:hAnsi="Times New Roman" w:eastAsia="宋体" w:cs="Times New Roman"/>
          <w:bCs/>
          <w:szCs w:val="24"/>
        </w:rPr>
        <w:t>综合利用</w:t>
      </w:r>
      <w:r>
        <w:rPr>
          <w:rFonts w:hint="eastAsia" w:ascii="Times New Roman" w:hAnsi="Times New Roman" w:eastAsia="宋体" w:cs="Times New Roman"/>
          <w:bCs/>
          <w:szCs w:val="24"/>
        </w:rPr>
        <w:t>，污泥委外资源化</w:t>
      </w:r>
      <w:r>
        <w:rPr>
          <w:rFonts w:ascii="Times New Roman" w:hAnsi="Times New Roman" w:eastAsia="宋体" w:cs="Times New Roman"/>
          <w:bCs/>
          <w:szCs w:val="24"/>
        </w:rPr>
        <w:t>利用</w:t>
      </w:r>
      <w:r>
        <w:rPr>
          <w:rFonts w:hint="eastAsia" w:ascii="Times New Roman" w:hAnsi="Times New Roman" w:eastAsia="宋体" w:cs="Times New Roman"/>
          <w:bCs/>
          <w:szCs w:val="24"/>
        </w:rPr>
        <w:t>，</w:t>
      </w:r>
      <w:r>
        <w:rPr>
          <w:rFonts w:ascii="Times New Roman" w:hAnsi="Times New Roman" w:cs="Times New Roman"/>
          <w:szCs w:val="24"/>
        </w:rPr>
        <w:t>废包装、</w:t>
      </w:r>
      <w:r>
        <w:rPr>
          <w:rFonts w:ascii="Times New Roman" w:hAnsi="Times New Roman" w:cs="Times New Roman"/>
          <w:kern w:val="0"/>
          <w:szCs w:val="24"/>
        </w:rPr>
        <w:t>饲料残渣</w:t>
      </w:r>
      <w:r>
        <w:rPr>
          <w:rFonts w:hint="eastAsia" w:ascii="Times New Roman" w:hAnsi="Times New Roman" w:cs="Times New Roman"/>
          <w:kern w:val="0"/>
          <w:szCs w:val="24"/>
        </w:rPr>
        <w:t>及</w:t>
      </w:r>
      <w:r>
        <w:rPr>
          <w:rFonts w:ascii="Times New Roman" w:hAnsi="Times New Roman" w:cs="Times New Roman"/>
          <w:kern w:val="0"/>
          <w:szCs w:val="24"/>
        </w:rPr>
        <w:t>散落羽毛</w:t>
      </w:r>
      <w:r>
        <w:rPr>
          <w:rFonts w:hint="eastAsia" w:ascii="Times New Roman" w:hAnsi="Times New Roman" w:cs="Times New Roman"/>
          <w:kern w:val="0"/>
          <w:szCs w:val="24"/>
        </w:rPr>
        <w:t>、废树脂</w:t>
      </w:r>
      <w:r>
        <w:rPr>
          <w:rFonts w:hint="eastAsia" w:ascii="Times New Roman" w:hAnsi="Times New Roman" w:cs="Times New Roman"/>
          <w:kern w:val="0"/>
          <w:szCs w:val="24"/>
          <w:lang w:val="en-US" w:eastAsia="zh-CN"/>
        </w:rPr>
        <w:t>收集后</w:t>
      </w:r>
      <w:r>
        <w:rPr>
          <w:rFonts w:ascii="Times New Roman"/>
          <w:color w:val="000000"/>
          <w:szCs w:val="24"/>
        </w:rPr>
        <w:t>可由</w:t>
      </w:r>
      <w:r>
        <w:rPr>
          <w:rFonts w:hint="eastAsia" w:ascii="Times New Roman"/>
          <w:color w:val="000000"/>
          <w:szCs w:val="24"/>
          <w:lang w:val="en-US" w:eastAsia="zh-CN"/>
        </w:rPr>
        <w:t>生产厂家回收再利用</w:t>
      </w:r>
      <w:r>
        <w:rPr>
          <w:rFonts w:ascii="Times New Roman"/>
          <w:color w:val="000000"/>
          <w:szCs w:val="24"/>
        </w:rPr>
        <w:t>，</w:t>
      </w:r>
      <w:r>
        <w:rPr>
          <w:rFonts w:hint="eastAsia" w:ascii="Times New Roman" w:hAnsi="宋体"/>
          <w:szCs w:val="24"/>
        </w:rPr>
        <w:t>一般固废</w:t>
      </w:r>
      <w:r>
        <w:rPr>
          <w:rFonts w:ascii="Times New Roman"/>
          <w:color w:val="000000"/>
          <w:szCs w:val="24"/>
        </w:rPr>
        <w:t>最终</w:t>
      </w:r>
      <w:r>
        <w:rPr>
          <w:rFonts w:hint="eastAsia" w:ascii="Times New Roman"/>
          <w:color w:val="000000"/>
          <w:szCs w:val="24"/>
        </w:rPr>
        <w:t>全部</w:t>
      </w:r>
      <w:r>
        <w:rPr>
          <w:rFonts w:ascii="Times New Roman"/>
          <w:color w:val="000000"/>
          <w:szCs w:val="24"/>
        </w:rPr>
        <w:t>进行综合利用；项目产生的危险废物</w:t>
      </w:r>
      <w:r>
        <w:rPr>
          <w:rFonts w:hint="eastAsia" w:ascii="Times New Roman"/>
          <w:bCs/>
          <w:szCs w:val="24"/>
        </w:rPr>
        <w:t>医疗废物</w:t>
      </w:r>
      <w:r>
        <w:rPr>
          <w:rFonts w:ascii="Times New Roman"/>
          <w:color w:val="000000"/>
          <w:szCs w:val="24"/>
        </w:rPr>
        <w:t>委托</w:t>
      </w:r>
      <w:r>
        <w:rPr>
          <w:rFonts w:ascii="Times New Roman"/>
          <w:bCs/>
          <w:color w:val="000000"/>
          <w:szCs w:val="24"/>
        </w:rPr>
        <w:t>有资质单位</w:t>
      </w:r>
      <w:r>
        <w:rPr>
          <w:rFonts w:ascii="Times New Roman"/>
          <w:color w:val="000000"/>
          <w:szCs w:val="24"/>
        </w:rPr>
        <w:t>进行安全处置</w:t>
      </w:r>
      <w:r>
        <w:rPr>
          <w:rFonts w:hint="eastAsia" w:ascii="Times New Roman"/>
          <w:color w:val="000000"/>
          <w:szCs w:val="24"/>
        </w:rPr>
        <w:t>；生活垃圾收集后委托环卫清运填埋处理</w:t>
      </w:r>
      <w:r>
        <w:rPr>
          <w:rFonts w:ascii="Times New Roman"/>
          <w:color w:val="000000"/>
          <w:szCs w:val="24"/>
        </w:rPr>
        <w:t>。项目</w:t>
      </w:r>
      <w:r>
        <w:rPr>
          <w:rFonts w:ascii="Times New Roman"/>
          <w:bCs/>
          <w:color w:val="000000"/>
          <w:szCs w:val="24"/>
        </w:rPr>
        <w:t>固废产生及治理情况见表</w:t>
      </w:r>
      <w:r>
        <w:rPr>
          <w:rFonts w:hint="eastAsia" w:ascii="Times New Roman"/>
          <w:bCs/>
          <w:color w:val="000000"/>
          <w:szCs w:val="24"/>
        </w:rPr>
        <w:t>5</w:t>
      </w:r>
      <w:r>
        <w:rPr>
          <w:rFonts w:ascii="Times New Roman"/>
          <w:bCs/>
          <w:color w:val="000000"/>
          <w:szCs w:val="24"/>
        </w:rPr>
        <w:t>.</w:t>
      </w:r>
      <w:r>
        <w:rPr>
          <w:rFonts w:hint="eastAsia" w:ascii="Times New Roman"/>
          <w:bCs/>
          <w:color w:val="000000"/>
          <w:szCs w:val="24"/>
        </w:rPr>
        <w:t>5</w:t>
      </w:r>
      <w:r>
        <w:rPr>
          <w:rFonts w:ascii="Times New Roman"/>
          <w:bCs/>
          <w:color w:val="000000"/>
          <w:szCs w:val="24"/>
        </w:rPr>
        <w:t>-1。</w:t>
      </w:r>
    </w:p>
    <w:p w14:paraId="6B41833A">
      <w:pPr>
        <w:widowControl/>
        <w:ind w:firstLine="480" w:firstLineChars="200"/>
        <w:sectPr>
          <w:pgSz w:w="11906" w:h="16838"/>
          <w:pgMar w:top="1440" w:right="1701" w:bottom="1440" w:left="1701" w:header="1021" w:footer="1134" w:gutter="0"/>
          <w:pgNumType w:fmt="decimal"/>
          <w:cols w:space="425" w:num="1"/>
          <w:docGrid w:type="lines" w:linePitch="326" w:charSpace="0"/>
        </w:sectPr>
      </w:pPr>
    </w:p>
    <w:p w14:paraId="20019522">
      <w:pPr>
        <w:pStyle w:val="31"/>
        <w:spacing w:before="0" w:line="480" w:lineRule="exact"/>
      </w:pPr>
      <w:r>
        <w:rPr>
          <w:rFonts w:hint="eastAsia"/>
        </w:rPr>
        <w:t>表</w:t>
      </w:r>
      <w:r>
        <w:t>5.</w:t>
      </w:r>
      <w:r>
        <w:rPr>
          <w:rFonts w:hint="eastAsia"/>
        </w:rPr>
        <w:t>5-1</w:t>
      </w:r>
      <w:r>
        <w:t xml:space="preserve"> </w:t>
      </w:r>
      <w:r>
        <w:rPr>
          <w:rFonts w:ascii="Times New Roman" w:hAnsi="Times New Roman"/>
          <w:szCs w:val="24"/>
        </w:rPr>
        <w:t>建设项目固体废物利用处置方式评价</w:t>
      </w:r>
      <w:r>
        <w:rPr>
          <w:rFonts w:hint="eastAsia" w:ascii="Times New Roman" w:hAnsi="Times New Roman"/>
          <w:szCs w:val="24"/>
        </w:rPr>
        <w:t>表</w:t>
      </w:r>
    </w:p>
    <w:tbl>
      <w:tblPr>
        <w:tblStyle w:val="41"/>
        <w:tblW w:w="1421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566"/>
        <w:gridCol w:w="1134"/>
        <w:gridCol w:w="1490"/>
        <w:gridCol w:w="681"/>
        <w:gridCol w:w="1759"/>
        <w:gridCol w:w="1057"/>
        <w:gridCol w:w="810"/>
        <w:gridCol w:w="778"/>
        <w:gridCol w:w="1314"/>
        <w:gridCol w:w="871"/>
        <w:gridCol w:w="2115"/>
      </w:tblGrid>
      <w:tr w14:paraId="2A11D1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4A756274">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序号</w:t>
            </w:r>
          </w:p>
        </w:tc>
        <w:tc>
          <w:tcPr>
            <w:tcW w:w="1566" w:type="dxa"/>
            <w:tcBorders>
              <w:tl2br w:val="nil"/>
              <w:tr2bl w:val="nil"/>
            </w:tcBorders>
            <w:vAlign w:val="center"/>
          </w:tcPr>
          <w:p w14:paraId="04F41C3C">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固废名称</w:t>
            </w:r>
          </w:p>
        </w:tc>
        <w:tc>
          <w:tcPr>
            <w:tcW w:w="1134" w:type="dxa"/>
            <w:tcBorders>
              <w:tl2br w:val="nil"/>
              <w:tr2bl w:val="nil"/>
            </w:tcBorders>
            <w:vAlign w:val="center"/>
          </w:tcPr>
          <w:p w14:paraId="393AD87A">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属性</w:t>
            </w:r>
          </w:p>
        </w:tc>
        <w:tc>
          <w:tcPr>
            <w:tcW w:w="1490" w:type="dxa"/>
            <w:tcBorders>
              <w:tl2br w:val="nil"/>
              <w:tr2bl w:val="nil"/>
            </w:tcBorders>
            <w:vAlign w:val="center"/>
          </w:tcPr>
          <w:p w14:paraId="74F0B044">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产生工序</w:t>
            </w:r>
          </w:p>
        </w:tc>
        <w:tc>
          <w:tcPr>
            <w:tcW w:w="681" w:type="dxa"/>
            <w:tcBorders>
              <w:tl2br w:val="nil"/>
              <w:tr2bl w:val="nil"/>
            </w:tcBorders>
            <w:vAlign w:val="center"/>
          </w:tcPr>
          <w:p w14:paraId="27112CB9">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形态</w:t>
            </w:r>
          </w:p>
        </w:tc>
        <w:tc>
          <w:tcPr>
            <w:tcW w:w="1759" w:type="dxa"/>
            <w:tcBorders>
              <w:tl2br w:val="nil"/>
              <w:tr2bl w:val="nil"/>
            </w:tcBorders>
            <w:vAlign w:val="center"/>
          </w:tcPr>
          <w:p w14:paraId="35D817C4">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主要成分</w:t>
            </w:r>
          </w:p>
        </w:tc>
        <w:tc>
          <w:tcPr>
            <w:tcW w:w="1057" w:type="dxa"/>
            <w:tcBorders>
              <w:tl2br w:val="nil"/>
              <w:tr2bl w:val="nil"/>
            </w:tcBorders>
            <w:vAlign w:val="center"/>
          </w:tcPr>
          <w:p w14:paraId="6E00AABB">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危险特性鉴别方法</w:t>
            </w:r>
          </w:p>
        </w:tc>
        <w:tc>
          <w:tcPr>
            <w:tcW w:w="810" w:type="dxa"/>
            <w:tcBorders>
              <w:tl2br w:val="nil"/>
              <w:tr2bl w:val="nil"/>
            </w:tcBorders>
            <w:vAlign w:val="center"/>
          </w:tcPr>
          <w:p w14:paraId="6BE0960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危险特性</w:t>
            </w:r>
          </w:p>
        </w:tc>
        <w:tc>
          <w:tcPr>
            <w:tcW w:w="778" w:type="dxa"/>
            <w:tcBorders>
              <w:tl2br w:val="nil"/>
              <w:tr2bl w:val="nil"/>
            </w:tcBorders>
            <w:vAlign w:val="center"/>
          </w:tcPr>
          <w:p w14:paraId="567A448E">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废物类别</w:t>
            </w:r>
          </w:p>
        </w:tc>
        <w:tc>
          <w:tcPr>
            <w:tcW w:w="1314" w:type="dxa"/>
            <w:tcBorders>
              <w:tl2br w:val="nil"/>
              <w:tr2bl w:val="nil"/>
            </w:tcBorders>
            <w:vAlign w:val="center"/>
          </w:tcPr>
          <w:p w14:paraId="35DE2BFB">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废物代码</w:t>
            </w:r>
          </w:p>
        </w:tc>
        <w:tc>
          <w:tcPr>
            <w:tcW w:w="871" w:type="dxa"/>
            <w:tcBorders>
              <w:tl2br w:val="nil"/>
              <w:tr2bl w:val="nil"/>
            </w:tcBorders>
            <w:vAlign w:val="center"/>
          </w:tcPr>
          <w:p w14:paraId="4ECD5D91">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产生量（t/a）</w:t>
            </w:r>
          </w:p>
        </w:tc>
        <w:tc>
          <w:tcPr>
            <w:tcW w:w="2115" w:type="dxa"/>
            <w:tcBorders>
              <w:tl2br w:val="nil"/>
              <w:tr2bl w:val="nil"/>
            </w:tcBorders>
            <w:vAlign w:val="center"/>
          </w:tcPr>
          <w:p w14:paraId="463434E6">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处理处置方法</w:t>
            </w:r>
          </w:p>
        </w:tc>
      </w:tr>
      <w:tr w14:paraId="38A501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1C19AB2C">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1566" w:type="dxa"/>
            <w:tcBorders>
              <w:tl2br w:val="nil"/>
              <w:tr2bl w:val="nil"/>
            </w:tcBorders>
            <w:vAlign w:val="center"/>
          </w:tcPr>
          <w:p w14:paraId="5D00E642">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病死鸡</w:t>
            </w:r>
          </w:p>
        </w:tc>
        <w:tc>
          <w:tcPr>
            <w:tcW w:w="1134" w:type="dxa"/>
            <w:tcBorders>
              <w:tl2br w:val="nil"/>
              <w:tr2bl w:val="nil"/>
            </w:tcBorders>
            <w:vAlign w:val="center"/>
          </w:tcPr>
          <w:p w14:paraId="6444A593">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一般固废</w:t>
            </w:r>
          </w:p>
        </w:tc>
        <w:tc>
          <w:tcPr>
            <w:tcW w:w="1490" w:type="dxa"/>
            <w:tcBorders>
              <w:tl2br w:val="nil"/>
              <w:tr2bl w:val="nil"/>
            </w:tcBorders>
            <w:vAlign w:val="center"/>
          </w:tcPr>
          <w:p w14:paraId="09BA6EE6">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养殖过程</w:t>
            </w:r>
          </w:p>
        </w:tc>
        <w:tc>
          <w:tcPr>
            <w:tcW w:w="681" w:type="dxa"/>
            <w:tcBorders>
              <w:tl2br w:val="nil"/>
              <w:tr2bl w:val="nil"/>
            </w:tcBorders>
            <w:vAlign w:val="center"/>
          </w:tcPr>
          <w:p w14:paraId="402D6492">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759" w:type="dxa"/>
            <w:tcBorders>
              <w:tl2br w:val="nil"/>
              <w:tr2bl w:val="nil"/>
            </w:tcBorders>
            <w:vAlign w:val="center"/>
          </w:tcPr>
          <w:p w14:paraId="5CA2F77F">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病死鸡</w:t>
            </w:r>
          </w:p>
        </w:tc>
        <w:tc>
          <w:tcPr>
            <w:tcW w:w="1057" w:type="dxa"/>
            <w:vMerge w:val="restart"/>
            <w:tcBorders>
              <w:tl2br w:val="nil"/>
              <w:tr2bl w:val="nil"/>
            </w:tcBorders>
            <w:vAlign w:val="center"/>
          </w:tcPr>
          <w:p w14:paraId="3D4D2028">
            <w:pPr>
              <w:widowControl/>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《国家危险废物名录》</w:t>
            </w:r>
            <w:r>
              <w:rPr>
                <w:rFonts w:hint="eastAsia" w:ascii="Times New Roman" w:eastAsia="宋体"/>
                <w:kern w:val="0"/>
                <w:sz w:val="21"/>
                <w:szCs w:val="21"/>
              </w:rPr>
              <w:t>（202</w:t>
            </w:r>
            <w:r>
              <w:rPr>
                <w:rFonts w:hint="eastAsia" w:ascii="Times New Roman" w:eastAsia="宋体"/>
                <w:kern w:val="0"/>
                <w:sz w:val="21"/>
                <w:szCs w:val="21"/>
                <w:lang w:val="en-US" w:eastAsia="zh-CN"/>
              </w:rPr>
              <w:t>5</w:t>
            </w:r>
            <w:r>
              <w:rPr>
                <w:rFonts w:hint="eastAsia" w:ascii="Times New Roman" w:eastAsia="宋体"/>
                <w:kern w:val="0"/>
                <w:sz w:val="21"/>
                <w:szCs w:val="21"/>
              </w:rPr>
              <w:t>年版）</w:t>
            </w:r>
          </w:p>
        </w:tc>
        <w:tc>
          <w:tcPr>
            <w:tcW w:w="810" w:type="dxa"/>
            <w:tcBorders>
              <w:tl2br w:val="nil"/>
              <w:tr2bl w:val="nil"/>
            </w:tcBorders>
            <w:vAlign w:val="center"/>
          </w:tcPr>
          <w:p w14:paraId="1911BC71">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778" w:type="dxa"/>
            <w:tcBorders>
              <w:tl2br w:val="nil"/>
              <w:tr2bl w:val="nil"/>
            </w:tcBorders>
            <w:vAlign w:val="center"/>
          </w:tcPr>
          <w:p w14:paraId="0CCEFA0C">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SW82</w:t>
            </w:r>
          </w:p>
        </w:tc>
        <w:tc>
          <w:tcPr>
            <w:tcW w:w="1314" w:type="dxa"/>
            <w:tcBorders>
              <w:tl2br w:val="nil"/>
              <w:tr2bl w:val="nil"/>
            </w:tcBorders>
            <w:vAlign w:val="center"/>
          </w:tcPr>
          <w:p w14:paraId="6E497785">
            <w:pPr>
              <w:tabs>
                <w:tab w:val="left" w:pos="0"/>
              </w:tabs>
              <w:adjustRightInd w:val="0"/>
              <w:spacing w:line="300" w:lineRule="exact"/>
              <w:jc w:val="center"/>
              <w:rPr>
                <w:rFonts w:ascii="Times New Roman" w:hAnsi="Times New Roman" w:eastAsia="宋体" w:cs="Times New Roman"/>
                <w:bCs/>
                <w:sz w:val="21"/>
                <w:szCs w:val="21"/>
              </w:rPr>
            </w:pPr>
          </w:p>
        </w:tc>
        <w:tc>
          <w:tcPr>
            <w:tcW w:w="871" w:type="dxa"/>
            <w:tcBorders>
              <w:tl2br w:val="nil"/>
              <w:tr2bl w:val="nil"/>
            </w:tcBorders>
            <w:vAlign w:val="center"/>
          </w:tcPr>
          <w:p w14:paraId="627DA376">
            <w:pPr>
              <w:spacing w:line="300" w:lineRule="exact"/>
              <w:jc w:val="center"/>
              <w:rPr>
                <w:rFonts w:ascii="Times New Roman" w:hAnsi="Times New Roman" w:eastAsia="宋体" w:cs="Times New Roman"/>
                <w:bCs/>
                <w:sz w:val="21"/>
                <w:szCs w:val="21"/>
              </w:rPr>
            </w:pPr>
          </w:p>
        </w:tc>
        <w:tc>
          <w:tcPr>
            <w:tcW w:w="2115" w:type="dxa"/>
            <w:tcBorders>
              <w:tl2br w:val="nil"/>
              <w:tr2bl w:val="nil"/>
            </w:tcBorders>
            <w:vAlign w:val="center"/>
          </w:tcPr>
          <w:p w14:paraId="3EABEC13">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委托</w:t>
            </w:r>
            <w:r>
              <w:rPr>
                <w:rFonts w:hint="eastAsia" w:ascii="Times New Roman" w:hAnsi="Times New Roman" w:eastAsia="宋体" w:cs="Times New Roman"/>
                <w:bCs/>
                <w:kern w:val="0"/>
                <w:sz w:val="21"/>
                <w:szCs w:val="21"/>
              </w:rPr>
              <w:t>泗阳北斗星动物无害化处理有限公司</w:t>
            </w:r>
            <w:r>
              <w:rPr>
                <w:rFonts w:ascii="Times New Roman" w:hAnsi="Times New Roman" w:eastAsia="宋体" w:cs="Times New Roman"/>
                <w:bCs/>
                <w:sz w:val="21"/>
                <w:szCs w:val="21"/>
              </w:rPr>
              <w:t>无害化处理</w:t>
            </w:r>
          </w:p>
        </w:tc>
      </w:tr>
      <w:tr w14:paraId="5FCD8B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708766CF">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1566" w:type="dxa"/>
            <w:tcBorders>
              <w:tl2br w:val="nil"/>
              <w:tr2bl w:val="nil"/>
            </w:tcBorders>
            <w:vAlign w:val="center"/>
          </w:tcPr>
          <w:p w14:paraId="1AD2F38E">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废包装</w:t>
            </w:r>
          </w:p>
        </w:tc>
        <w:tc>
          <w:tcPr>
            <w:tcW w:w="1134" w:type="dxa"/>
            <w:tcBorders>
              <w:tl2br w:val="nil"/>
              <w:tr2bl w:val="nil"/>
            </w:tcBorders>
            <w:vAlign w:val="center"/>
          </w:tcPr>
          <w:p w14:paraId="71F45A30">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一般固废</w:t>
            </w:r>
          </w:p>
        </w:tc>
        <w:tc>
          <w:tcPr>
            <w:tcW w:w="1490" w:type="dxa"/>
            <w:tcBorders>
              <w:tl2br w:val="nil"/>
              <w:tr2bl w:val="nil"/>
            </w:tcBorders>
            <w:vAlign w:val="center"/>
          </w:tcPr>
          <w:p w14:paraId="19305664">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原辅料包装</w:t>
            </w:r>
          </w:p>
        </w:tc>
        <w:tc>
          <w:tcPr>
            <w:tcW w:w="681" w:type="dxa"/>
            <w:tcBorders>
              <w:tl2br w:val="nil"/>
              <w:tr2bl w:val="nil"/>
            </w:tcBorders>
            <w:vAlign w:val="center"/>
          </w:tcPr>
          <w:p w14:paraId="64F8A18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759" w:type="dxa"/>
            <w:tcBorders>
              <w:tl2br w:val="nil"/>
              <w:tr2bl w:val="nil"/>
            </w:tcBorders>
            <w:vAlign w:val="center"/>
          </w:tcPr>
          <w:p w14:paraId="60585AA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包装袋</w:t>
            </w:r>
          </w:p>
        </w:tc>
        <w:tc>
          <w:tcPr>
            <w:tcW w:w="1057" w:type="dxa"/>
            <w:vMerge w:val="continue"/>
            <w:tcBorders>
              <w:tl2br w:val="nil"/>
              <w:tr2bl w:val="nil"/>
            </w:tcBorders>
            <w:vAlign w:val="center"/>
          </w:tcPr>
          <w:p w14:paraId="31879E41">
            <w:pPr>
              <w:widowControl/>
              <w:spacing w:line="300" w:lineRule="exact"/>
              <w:jc w:val="center"/>
              <w:rPr>
                <w:rFonts w:ascii="Times New Roman" w:hAnsi="Times New Roman" w:eastAsia="宋体" w:cs="Times New Roman"/>
                <w:bCs/>
                <w:sz w:val="21"/>
                <w:szCs w:val="21"/>
              </w:rPr>
            </w:pPr>
          </w:p>
        </w:tc>
        <w:tc>
          <w:tcPr>
            <w:tcW w:w="810" w:type="dxa"/>
            <w:tcBorders>
              <w:tl2br w:val="nil"/>
              <w:tr2bl w:val="nil"/>
            </w:tcBorders>
            <w:vAlign w:val="center"/>
          </w:tcPr>
          <w:p w14:paraId="012B4947">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778" w:type="dxa"/>
            <w:tcBorders>
              <w:tl2br w:val="nil"/>
              <w:tr2bl w:val="nil"/>
            </w:tcBorders>
            <w:vAlign w:val="center"/>
          </w:tcPr>
          <w:p w14:paraId="699C4620">
            <w:pPr>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SW82</w:t>
            </w:r>
          </w:p>
        </w:tc>
        <w:tc>
          <w:tcPr>
            <w:tcW w:w="1314" w:type="dxa"/>
            <w:tcBorders>
              <w:tl2br w:val="nil"/>
              <w:tr2bl w:val="nil"/>
            </w:tcBorders>
            <w:vAlign w:val="center"/>
          </w:tcPr>
          <w:p w14:paraId="4593101E">
            <w:pPr>
              <w:tabs>
                <w:tab w:val="left" w:pos="0"/>
              </w:tabs>
              <w:adjustRightInd w:val="0"/>
              <w:spacing w:line="300" w:lineRule="exact"/>
              <w:jc w:val="center"/>
              <w:rPr>
                <w:rFonts w:ascii="Times New Roman" w:hAnsi="Times New Roman" w:eastAsia="宋体" w:cs="Times New Roman"/>
                <w:bCs/>
                <w:sz w:val="21"/>
                <w:szCs w:val="21"/>
              </w:rPr>
            </w:pPr>
          </w:p>
        </w:tc>
        <w:tc>
          <w:tcPr>
            <w:tcW w:w="871" w:type="dxa"/>
            <w:tcBorders>
              <w:tl2br w:val="nil"/>
              <w:tr2bl w:val="nil"/>
            </w:tcBorders>
            <w:vAlign w:val="center"/>
          </w:tcPr>
          <w:p w14:paraId="156498BC">
            <w:pPr>
              <w:tabs>
                <w:tab w:val="left" w:pos="0"/>
              </w:tabs>
              <w:adjustRightInd w:val="0"/>
              <w:spacing w:line="300" w:lineRule="exact"/>
              <w:jc w:val="center"/>
              <w:rPr>
                <w:rFonts w:ascii="Times New Roman" w:hAnsi="Times New Roman" w:eastAsia="宋体" w:cs="Times New Roman"/>
                <w:bCs/>
                <w:sz w:val="21"/>
                <w:szCs w:val="21"/>
              </w:rPr>
            </w:pPr>
          </w:p>
        </w:tc>
        <w:tc>
          <w:tcPr>
            <w:tcW w:w="2115" w:type="dxa"/>
            <w:tcBorders>
              <w:tl2br w:val="nil"/>
              <w:tr2bl w:val="nil"/>
            </w:tcBorders>
            <w:vAlign w:val="center"/>
          </w:tcPr>
          <w:p w14:paraId="64A50A63">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外售综合利用</w:t>
            </w:r>
          </w:p>
        </w:tc>
      </w:tr>
      <w:tr w14:paraId="56B4AD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1B0D10C2">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1566" w:type="dxa"/>
            <w:tcBorders>
              <w:tl2br w:val="nil"/>
              <w:tr2bl w:val="nil"/>
            </w:tcBorders>
            <w:vAlign w:val="center"/>
          </w:tcPr>
          <w:p w14:paraId="29B4FF0A">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鸡粪</w:t>
            </w:r>
          </w:p>
        </w:tc>
        <w:tc>
          <w:tcPr>
            <w:tcW w:w="1134" w:type="dxa"/>
            <w:tcBorders>
              <w:tl2br w:val="nil"/>
              <w:tr2bl w:val="nil"/>
            </w:tcBorders>
            <w:vAlign w:val="center"/>
          </w:tcPr>
          <w:p w14:paraId="78E0AB79">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一般固废</w:t>
            </w:r>
          </w:p>
        </w:tc>
        <w:tc>
          <w:tcPr>
            <w:tcW w:w="1490" w:type="dxa"/>
            <w:tcBorders>
              <w:tl2br w:val="nil"/>
              <w:tr2bl w:val="nil"/>
            </w:tcBorders>
            <w:vAlign w:val="center"/>
          </w:tcPr>
          <w:p w14:paraId="0C6951D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养殖过程</w:t>
            </w:r>
          </w:p>
        </w:tc>
        <w:tc>
          <w:tcPr>
            <w:tcW w:w="681" w:type="dxa"/>
            <w:tcBorders>
              <w:tl2br w:val="nil"/>
              <w:tr2bl w:val="nil"/>
            </w:tcBorders>
            <w:vAlign w:val="center"/>
          </w:tcPr>
          <w:p w14:paraId="3042B156">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759" w:type="dxa"/>
            <w:tcBorders>
              <w:tl2br w:val="nil"/>
              <w:tr2bl w:val="nil"/>
            </w:tcBorders>
            <w:vAlign w:val="center"/>
          </w:tcPr>
          <w:p w14:paraId="5089E2AF">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鸡粪</w:t>
            </w:r>
          </w:p>
        </w:tc>
        <w:tc>
          <w:tcPr>
            <w:tcW w:w="1057" w:type="dxa"/>
            <w:vMerge w:val="continue"/>
            <w:tcBorders>
              <w:tl2br w:val="nil"/>
              <w:tr2bl w:val="nil"/>
            </w:tcBorders>
            <w:vAlign w:val="center"/>
          </w:tcPr>
          <w:p w14:paraId="006C0CDE">
            <w:pPr>
              <w:widowControl/>
              <w:spacing w:line="300" w:lineRule="exact"/>
              <w:jc w:val="center"/>
              <w:rPr>
                <w:rFonts w:ascii="Times New Roman" w:hAnsi="Times New Roman" w:eastAsia="宋体" w:cs="Times New Roman"/>
                <w:bCs/>
                <w:sz w:val="21"/>
                <w:szCs w:val="21"/>
              </w:rPr>
            </w:pPr>
          </w:p>
        </w:tc>
        <w:tc>
          <w:tcPr>
            <w:tcW w:w="810" w:type="dxa"/>
            <w:tcBorders>
              <w:tl2br w:val="nil"/>
              <w:tr2bl w:val="nil"/>
            </w:tcBorders>
            <w:vAlign w:val="center"/>
          </w:tcPr>
          <w:p w14:paraId="3F2DC37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778" w:type="dxa"/>
            <w:tcBorders>
              <w:tl2br w:val="nil"/>
              <w:tr2bl w:val="nil"/>
            </w:tcBorders>
            <w:vAlign w:val="center"/>
          </w:tcPr>
          <w:p w14:paraId="370E8144">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SW82</w:t>
            </w:r>
          </w:p>
        </w:tc>
        <w:tc>
          <w:tcPr>
            <w:tcW w:w="1314" w:type="dxa"/>
            <w:tcBorders>
              <w:tl2br w:val="nil"/>
              <w:tr2bl w:val="nil"/>
            </w:tcBorders>
            <w:vAlign w:val="center"/>
          </w:tcPr>
          <w:p w14:paraId="2E21A3A6">
            <w:pPr>
              <w:tabs>
                <w:tab w:val="left" w:pos="0"/>
              </w:tabs>
              <w:adjustRightInd w:val="0"/>
              <w:spacing w:line="300" w:lineRule="exact"/>
              <w:jc w:val="center"/>
              <w:rPr>
                <w:rFonts w:ascii="Times New Roman" w:hAnsi="Times New Roman" w:eastAsia="宋体" w:cs="Times New Roman"/>
                <w:bCs/>
                <w:sz w:val="21"/>
                <w:szCs w:val="21"/>
              </w:rPr>
            </w:pPr>
          </w:p>
        </w:tc>
        <w:tc>
          <w:tcPr>
            <w:tcW w:w="871" w:type="dxa"/>
            <w:tcBorders>
              <w:tl2br w:val="nil"/>
              <w:tr2bl w:val="nil"/>
            </w:tcBorders>
            <w:vAlign w:val="center"/>
          </w:tcPr>
          <w:p w14:paraId="20BFDA98">
            <w:pPr>
              <w:tabs>
                <w:tab w:val="left" w:pos="0"/>
              </w:tabs>
              <w:adjustRightInd w:val="0"/>
              <w:spacing w:line="300" w:lineRule="exact"/>
              <w:jc w:val="center"/>
              <w:rPr>
                <w:rFonts w:ascii="Times New Roman" w:hAnsi="Times New Roman" w:eastAsia="宋体" w:cs="Times New Roman"/>
                <w:bCs/>
                <w:sz w:val="21"/>
                <w:szCs w:val="21"/>
              </w:rPr>
            </w:pPr>
          </w:p>
        </w:tc>
        <w:tc>
          <w:tcPr>
            <w:tcW w:w="2115" w:type="dxa"/>
            <w:tcBorders>
              <w:tl2br w:val="nil"/>
              <w:tr2bl w:val="nil"/>
            </w:tcBorders>
            <w:vAlign w:val="center"/>
          </w:tcPr>
          <w:p w14:paraId="4465CF9A">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外售</w:t>
            </w:r>
            <w:r>
              <w:rPr>
                <w:rFonts w:hint="eastAsia" w:ascii="Times New Roman" w:hAnsi="Times New Roman" w:eastAsia="宋体" w:cs="Times New Roman"/>
                <w:bCs/>
                <w:sz w:val="21"/>
                <w:szCs w:val="21"/>
                <w:lang w:eastAsia="zh-CN"/>
              </w:rPr>
              <w:t>泗阳巨宇畜禽粪污处理有限公司</w:t>
            </w:r>
            <w:r>
              <w:rPr>
                <w:rFonts w:ascii="Times New Roman" w:hAnsi="Times New Roman" w:eastAsia="宋体" w:cs="Times New Roman"/>
                <w:bCs/>
                <w:sz w:val="21"/>
                <w:szCs w:val="21"/>
              </w:rPr>
              <w:t>综合利用</w:t>
            </w:r>
          </w:p>
        </w:tc>
      </w:tr>
      <w:tr w14:paraId="456FC4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784B3696">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1566" w:type="dxa"/>
            <w:tcBorders>
              <w:tl2br w:val="nil"/>
              <w:tr2bl w:val="nil"/>
            </w:tcBorders>
            <w:vAlign w:val="center"/>
          </w:tcPr>
          <w:p w14:paraId="67FE7271">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医疗废物</w:t>
            </w:r>
          </w:p>
        </w:tc>
        <w:tc>
          <w:tcPr>
            <w:tcW w:w="1134" w:type="dxa"/>
            <w:tcBorders>
              <w:tl2br w:val="nil"/>
              <w:tr2bl w:val="nil"/>
            </w:tcBorders>
            <w:vAlign w:val="center"/>
          </w:tcPr>
          <w:p w14:paraId="25A022E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危险废物</w:t>
            </w:r>
          </w:p>
        </w:tc>
        <w:tc>
          <w:tcPr>
            <w:tcW w:w="1490" w:type="dxa"/>
            <w:tcBorders>
              <w:tl2br w:val="nil"/>
              <w:tr2bl w:val="nil"/>
            </w:tcBorders>
            <w:vAlign w:val="center"/>
          </w:tcPr>
          <w:p w14:paraId="536A29D2">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养殖过程</w:t>
            </w:r>
          </w:p>
        </w:tc>
        <w:tc>
          <w:tcPr>
            <w:tcW w:w="681" w:type="dxa"/>
            <w:tcBorders>
              <w:tl2br w:val="nil"/>
              <w:tr2bl w:val="nil"/>
            </w:tcBorders>
            <w:vAlign w:val="center"/>
          </w:tcPr>
          <w:p w14:paraId="3A85A98A">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759" w:type="dxa"/>
            <w:tcBorders>
              <w:tl2br w:val="nil"/>
              <w:tr2bl w:val="nil"/>
            </w:tcBorders>
            <w:vAlign w:val="center"/>
          </w:tcPr>
          <w:p w14:paraId="05524800">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药物空瓶、袋</w:t>
            </w:r>
          </w:p>
        </w:tc>
        <w:tc>
          <w:tcPr>
            <w:tcW w:w="1057" w:type="dxa"/>
            <w:vMerge w:val="continue"/>
            <w:tcBorders>
              <w:tl2br w:val="nil"/>
              <w:tr2bl w:val="nil"/>
            </w:tcBorders>
            <w:vAlign w:val="center"/>
          </w:tcPr>
          <w:p w14:paraId="29766FCD">
            <w:pPr>
              <w:widowControl/>
              <w:spacing w:line="300" w:lineRule="exact"/>
              <w:jc w:val="center"/>
              <w:rPr>
                <w:rFonts w:ascii="Times New Roman" w:hAnsi="Times New Roman" w:eastAsia="宋体" w:cs="Times New Roman"/>
                <w:bCs/>
                <w:sz w:val="21"/>
                <w:szCs w:val="21"/>
              </w:rPr>
            </w:pPr>
          </w:p>
        </w:tc>
        <w:tc>
          <w:tcPr>
            <w:tcW w:w="810" w:type="dxa"/>
            <w:tcBorders>
              <w:tl2br w:val="nil"/>
              <w:tr2bl w:val="nil"/>
            </w:tcBorders>
            <w:vAlign w:val="center"/>
          </w:tcPr>
          <w:p w14:paraId="6EAC1630">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In</w:t>
            </w:r>
          </w:p>
        </w:tc>
        <w:tc>
          <w:tcPr>
            <w:tcW w:w="778" w:type="dxa"/>
            <w:tcBorders>
              <w:tl2br w:val="nil"/>
              <w:tr2bl w:val="nil"/>
            </w:tcBorders>
            <w:vAlign w:val="center"/>
          </w:tcPr>
          <w:p w14:paraId="3FB6A235">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HW01</w:t>
            </w:r>
          </w:p>
        </w:tc>
        <w:tc>
          <w:tcPr>
            <w:tcW w:w="1314" w:type="dxa"/>
            <w:tcBorders>
              <w:tl2br w:val="nil"/>
              <w:tr2bl w:val="nil"/>
            </w:tcBorders>
            <w:vAlign w:val="center"/>
          </w:tcPr>
          <w:p w14:paraId="7627046C">
            <w:pPr>
              <w:tabs>
                <w:tab w:val="left" w:pos="0"/>
              </w:tabs>
              <w:adjustRightInd w:val="0"/>
              <w:spacing w:line="300" w:lineRule="exact"/>
              <w:jc w:val="center"/>
              <w:rPr>
                <w:rFonts w:ascii="Times New Roman" w:hAnsi="Times New Roman" w:eastAsia="宋体" w:cs="Times New Roman"/>
                <w:bCs/>
                <w:sz w:val="21"/>
                <w:szCs w:val="21"/>
              </w:rPr>
            </w:pPr>
          </w:p>
        </w:tc>
        <w:tc>
          <w:tcPr>
            <w:tcW w:w="871" w:type="dxa"/>
            <w:tcBorders>
              <w:tl2br w:val="nil"/>
              <w:tr2bl w:val="nil"/>
            </w:tcBorders>
            <w:vAlign w:val="center"/>
          </w:tcPr>
          <w:p w14:paraId="35E4B2F3">
            <w:pPr>
              <w:tabs>
                <w:tab w:val="left" w:pos="0"/>
              </w:tabs>
              <w:adjustRightInd w:val="0"/>
              <w:spacing w:line="300" w:lineRule="exact"/>
              <w:jc w:val="center"/>
              <w:rPr>
                <w:rFonts w:ascii="Times New Roman" w:hAnsi="Times New Roman" w:eastAsia="宋体" w:cs="Times New Roman"/>
                <w:bCs/>
                <w:sz w:val="21"/>
                <w:szCs w:val="21"/>
              </w:rPr>
            </w:pPr>
          </w:p>
        </w:tc>
        <w:tc>
          <w:tcPr>
            <w:tcW w:w="2115" w:type="dxa"/>
            <w:tcBorders>
              <w:tl2br w:val="nil"/>
              <w:tr2bl w:val="nil"/>
            </w:tcBorders>
            <w:vAlign w:val="center"/>
          </w:tcPr>
          <w:p w14:paraId="5876DB12">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有资质单位</w:t>
            </w:r>
            <w:r>
              <w:rPr>
                <w:rFonts w:hint="eastAsia" w:ascii="Times New Roman" w:hAnsi="Times New Roman" w:eastAsia="宋体" w:cs="Times New Roman"/>
                <w:bCs/>
                <w:sz w:val="21"/>
                <w:szCs w:val="21"/>
              </w:rPr>
              <w:t>安全</w:t>
            </w:r>
            <w:r>
              <w:rPr>
                <w:rFonts w:ascii="Times New Roman" w:hAnsi="Times New Roman" w:eastAsia="宋体" w:cs="Times New Roman"/>
                <w:bCs/>
                <w:sz w:val="21"/>
                <w:szCs w:val="21"/>
              </w:rPr>
              <w:t>处置</w:t>
            </w:r>
          </w:p>
        </w:tc>
      </w:tr>
      <w:tr w14:paraId="37F04F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0AE9E55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1566" w:type="dxa"/>
            <w:tcBorders>
              <w:tl2br w:val="nil"/>
              <w:tr2bl w:val="nil"/>
            </w:tcBorders>
            <w:vAlign w:val="center"/>
          </w:tcPr>
          <w:p w14:paraId="2E47EE60">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污泥</w:t>
            </w:r>
          </w:p>
        </w:tc>
        <w:tc>
          <w:tcPr>
            <w:tcW w:w="1134" w:type="dxa"/>
            <w:tcBorders>
              <w:tl2br w:val="nil"/>
              <w:tr2bl w:val="nil"/>
            </w:tcBorders>
            <w:vAlign w:val="center"/>
          </w:tcPr>
          <w:p w14:paraId="73F3658E">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一般固废</w:t>
            </w:r>
          </w:p>
        </w:tc>
        <w:tc>
          <w:tcPr>
            <w:tcW w:w="1490" w:type="dxa"/>
            <w:tcBorders>
              <w:tl2br w:val="nil"/>
              <w:tr2bl w:val="nil"/>
            </w:tcBorders>
            <w:vAlign w:val="center"/>
          </w:tcPr>
          <w:p w14:paraId="3A84A0B6">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废</w:t>
            </w:r>
            <w:r>
              <w:rPr>
                <w:rFonts w:ascii="Times New Roman" w:hAnsi="Times New Roman" w:eastAsia="宋体" w:cs="Times New Roman"/>
                <w:bCs/>
                <w:sz w:val="21"/>
                <w:szCs w:val="21"/>
              </w:rPr>
              <w:t>水处理</w:t>
            </w:r>
          </w:p>
        </w:tc>
        <w:tc>
          <w:tcPr>
            <w:tcW w:w="681" w:type="dxa"/>
            <w:tcBorders>
              <w:tl2br w:val="nil"/>
              <w:tr2bl w:val="nil"/>
            </w:tcBorders>
            <w:vAlign w:val="center"/>
          </w:tcPr>
          <w:p w14:paraId="441837EA">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759" w:type="dxa"/>
            <w:tcBorders>
              <w:tl2br w:val="nil"/>
              <w:tr2bl w:val="nil"/>
            </w:tcBorders>
            <w:vAlign w:val="center"/>
          </w:tcPr>
          <w:p w14:paraId="420582B2">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污泥</w:t>
            </w:r>
          </w:p>
        </w:tc>
        <w:tc>
          <w:tcPr>
            <w:tcW w:w="1057" w:type="dxa"/>
            <w:vMerge w:val="continue"/>
            <w:tcBorders>
              <w:tl2br w:val="nil"/>
              <w:tr2bl w:val="nil"/>
            </w:tcBorders>
            <w:vAlign w:val="center"/>
          </w:tcPr>
          <w:p w14:paraId="18F10358">
            <w:pPr>
              <w:widowControl/>
              <w:spacing w:line="300" w:lineRule="exact"/>
              <w:jc w:val="center"/>
              <w:rPr>
                <w:rFonts w:ascii="Times New Roman" w:hAnsi="Times New Roman" w:eastAsia="宋体" w:cs="Times New Roman"/>
                <w:bCs/>
                <w:sz w:val="21"/>
                <w:szCs w:val="21"/>
              </w:rPr>
            </w:pPr>
          </w:p>
        </w:tc>
        <w:tc>
          <w:tcPr>
            <w:tcW w:w="810" w:type="dxa"/>
            <w:tcBorders>
              <w:tl2br w:val="nil"/>
              <w:tr2bl w:val="nil"/>
            </w:tcBorders>
            <w:vAlign w:val="center"/>
          </w:tcPr>
          <w:p w14:paraId="320D6522">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778" w:type="dxa"/>
            <w:tcBorders>
              <w:tl2br w:val="nil"/>
              <w:tr2bl w:val="nil"/>
            </w:tcBorders>
            <w:vAlign w:val="center"/>
          </w:tcPr>
          <w:p w14:paraId="5EB8466D">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SW07</w:t>
            </w:r>
          </w:p>
        </w:tc>
        <w:tc>
          <w:tcPr>
            <w:tcW w:w="1314" w:type="dxa"/>
            <w:tcBorders>
              <w:tl2br w:val="nil"/>
              <w:tr2bl w:val="nil"/>
            </w:tcBorders>
            <w:vAlign w:val="center"/>
          </w:tcPr>
          <w:p w14:paraId="52EDB80C">
            <w:pPr>
              <w:tabs>
                <w:tab w:val="left" w:pos="0"/>
              </w:tabs>
              <w:adjustRightInd w:val="0"/>
              <w:spacing w:line="300" w:lineRule="exact"/>
              <w:jc w:val="center"/>
              <w:rPr>
                <w:rFonts w:ascii="Times New Roman" w:hAnsi="Times New Roman" w:eastAsia="宋体" w:cs="Times New Roman"/>
                <w:bCs/>
                <w:sz w:val="21"/>
                <w:szCs w:val="21"/>
              </w:rPr>
            </w:pPr>
          </w:p>
        </w:tc>
        <w:tc>
          <w:tcPr>
            <w:tcW w:w="871" w:type="dxa"/>
            <w:tcBorders>
              <w:tl2br w:val="nil"/>
              <w:tr2bl w:val="nil"/>
            </w:tcBorders>
            <w:vAlign w:val="center"/>
          </w:tcPr>
          <w:p w14:paraId="4F96C1A3">
            <w:pPr>
              <w:tabs>
                <w:tab w:val="left" w:pos="0"/>
              </w:tabs>
              <w:adjustRightInd w:val="0"/>
              <w:spacing w:line="300" w:lineRule="exact"/>
              <w:jc w:val="center"/>
              <w:rPr>
                <w:rFonts w:ascii="Times New Roman" w:hAnsi="Times New Roman" w:eastAsia="宋体" w:cs="Times New Roman"/>
                <w:bCs/>
                <w:sz w:val="21"/>
                <w:szCs w:val="21"/>
              </w:rPr>
            </w:pPr>
          </w:p>
        </w:tc>
        <w:tc>
          <w:tcPr>
            <w:tcW w:w="2115" w:type="dxa"/>
            <w:tcBorders>
              <w:tl2br w:val="nil"/>
              <w:tr2bl w:val="nil"/>
            </w:tcBorders>
            <w:vAlign w:val="center"/>
          </w:tcPr>
          <w:p w14:paraId="3D61DD4C">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委外资源化</w:t>
            </w:r>
            <w:r>
              <w:rPr>
                <w:rFonts w:ascii="Times New Roman" w:hAnsi="Times New Roman" w:eastAsia="宋体" w:cs="Times New Roman"/>
                <w:bCs/>
                <w:sz w:val="21"/>
                <w:szCs w:val="21"/>
              </w:rPr>
              <w:t>利用</w:t>
            </w:r>
          </w:p>
        </w:tc>
      </w:tr>
      <w:tr w14:paraId="20ED6B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71D4C78B">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1566" w:type="dxa"/>
            <w:tcBorders>
              <w:tl2br w:val="nil"/>
              <w:tr2bl w:val="nil"/>
            </w:tcBorders>
            <w:vAlign w:val="center"/>
          </w:tcPr>
          <w:p w14:paraId="6387E7A2">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饲料残渣及散落羽毛</w:t>
            </w:r>
          </w:p>
        </w:tc>
        <w:tc>
          <w:tcPr>
            <w:tcW w:w="1134" w:type="dxa"/>
            <w:tcBorders>
              <w:tl2br w:val="nil"/>
              <w:tr2bl w:val="nil"/>
            </w:tcBorders>
            <w:vAlign w:val="center"/>
          </w:tcPr>
          <w:p w14:paraId="050DA668">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一般固废</w:t>
            </w:r>
          </w:p>
        </w:tc>
        <w:tc>
          <w:tcPr>
            <w:tcW w:w="1490" w:type="dxa"/>
            <w:tcBorders>
              <w:tl2br w:val="nil"/>
              <w:tr2bl w:val="nil"/>
            </w:tcBorders>
            <w:vAlign w:val="center"/>
          </w:tcPr>
          <w:p w14:paraId="72A43B34">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养殖过程</w:t>
            </w:r>
          </w:p>
        </w:tc>
        <w:tc>
          <w:tcPr>
            <w:tcW w:w="681" w:type="dxa"/>
            <w:tcBorders>
              <w:tl2br w:val="nil"/>
              <w:tr2bl w:val="nil"/>
            </w:tcBorders>
            <w:vAlign w:val="center"/>
          </w:tcPr>
          <w:p w14:paraId="035FF80C">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759" w:type="dxa"/>
            <w:tcBorders>
              <w:tl2br w:val="nil"/>
              <w:tr2bl w:val="nil"/>
            </w:tcBorders>
            <w:vAlign w:val="center"/>
          </w:tcPr>
          <w:p w14:paraId="6AABFA99">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饲料残渣及散落羽毛</w:t>
            </w:r>
          </w:p>
        </w:tc>
        <w:tc>
          <w:tcPr>
            <w:tcW w:w="1057" w:type="dxa"/>
            <w:vMerge w:val="continue"/>
            <w:tcBorders>
              <w:tl2br w:val="nil"/>
              <w:tr2bl w:val="nil"/>
            </w:tcBorders>
            <w:vAlign w:val="center"/>
          </w:tcPr>
          <w:p w14:paraId="693B7FB7">
            <w:pPr>
              <w:widowControl/>
              <w:spacing w:line="300" w:lineRule="exact"/>
              <w:jc w:val="center"/>
              <w:rPr>
                <w:rFonts w:ascii="Times New Roman" w:hAnsi="Times New Roman" w:eastAsia="宋体" w:cs="Times New Roman"/>
                <w:bCs/>
                <w:sz w:val="21"/>
                <w:szCs w:val="21"/>
              </w:rPr>
            </w:pPr>
          </w:p>
        </w:tc>
        <w:tc>
          <w:tcPr>
            <w:tcW w:w="810" w:type="dxa"/>
            <w:tcBorders>
              <w:tl2br w:val="nil"/>
              <w:tr2bl w:val="nil"/>
            </w:tcBorders>
            <w:vAlign w:val="center"/>
          </w:tcPr>
          <w:p w14:paraId="64EA52B4">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778" w:type="dxa"/>
            <w:tcBorders>
              <w:tl2br w:val="nil"/>
              <w:tr2bl w:val="nil"/>
            </w:tcBorders>
            <w:vAlign w:val="center"/>
          </w:tcPr>
          <w:p w14:paraId="4BDAE8BD">
            <w:pPr>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SW82</w:t>
            </w:r>
          </w:p>
        </w:tc>
        <w:tc>
          <w:tcPr>
            <w:tcW w:w="1314" w:type="dxa"/>
            <w:tcBorders>
              <w:tl2br w:val="nil"/>
              <w:tr2bl w:val="nil"/>
            </w:tcBorders>
            <w:vAlign w:val="center"/>
          </w:tcPr>
          <w:p w14:paraId="596213ED">
            <w:pPr>
              <w:tabs>
                <w:tab w:val="left" w:pos="0"/>
              </w:tabs>
              <w:adjustRightInd w:val="0"/>
              <w:spacing w:line="300" w:lineRule="exact"/>
              <w:jc w:val="center"/>
              <w:rPr>
                <w:rFonts w:ascii="Times New Roman" w:hAnsi="Times New Roman" w:eastAsia="宋体" w:cs="Times New Roman"/>
                <w:bCs/>
                <w:sz w:val="21"/>
                <w:szCs w:val="21"/>
              </w:rPr>
            </w:pPr>
          </w:p>
        </w:tc>
        <w:tc>
          <w:tcPr>
            <w:tcW w:w="871" w:type="dxa"/>
            <w:tcBorders>
              <w:tl2br w:val="nil"/>
              <w:tr2bl w:val="nil"/>
            </w:tcBorders>
            <w:vAlign w:val="center"/>
          </w:tcPr>
          <w:p w14:paraId="774F3B27">
            <w:pPr>
              <w:tabs>
                <w:tab w:val="left" w:pos="0"/>
              </w:tabs>
              <w:adjustRightInd w:val="0"/>
              <w:spacing w:line="300" w:lineRule="exact"/>
              <w:jc w:val="center"/>
              <w:rPr>
                <w:rFonts w:ascii="Times New Roman" w:hAnsi="Times New Roman" w:eastAsia="宋体" w:cs="Times New Roman"/>
                <w:bCs/>
                <w:sz w:val="21"/>
                <w:szCs w:val="21"/>
              </w:rPr>
            </w:pPr>
          </w:p>
        </w:tc>
        <w:tc>
          <w:tcPr>
            <w:tcW w:w="2115" w:type="dxa"/>
            <w:tcBorders>
              <w:tl2br w:val="nil"/>
              <w:tr2bl w:val="nil"/>
            </w:tcBorders>
            <w:vAlign w:val="center"/>
          </w:tcPr>
          <w:p w14:paraId="336B00EE">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外售综合利用</w:t>
            </w:r>
          </w:p>
        </w:tc>
      </w:tr>
      <w:tr w14:paraId="272368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2251BFAC">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w:t>
            </w:r>
          </w:p>
        </w:tc>
        <w:tc>
          <w:tcPr>
            <w:tcW w:w="1566" w:type="dxa"/>
            <w:tcBorders>
              <w:tl2br w:val="nil"/>
              <w:tr2bl w:val="nil"/>
            </w:tcBorders>
            <w:vAlign w:val="center"/>
          </w:tcPr>
          <w:p w14:paraId="21E47196">
            <w:pPr>
              <w:tabs>
                <w:tab w:val="left" w:pos="0"/>
              </w:tabs>
              <w:adjustRightInd w:val="0"/>
              <w:spacing w:line="300" w:lineRule="exact"/>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废树脂</w:t>
            </w:r>
          </w:p>
        </w:tc>
        <w:tc>
          <w:tcPr>
            <w:tcW w:w="1134" w:type="dxa"/>
            <w:tcBorders>
              <w:tl2br w:val="nil"/>
              <w:tr2bl w:val="nil"/>
            </w:tcBorders>
            <w:vAlign w:val="center"/>
          </w:tcPr>
          <w:p w14:paraId="082EAF09">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一般固废</w:t>
            </w:r>
          </w:p>
        </w:tc>
        <w:tc>
          <w:tcPr>
            <w:tcW w:w="1490" w:type="dxa"/>
            <w:tcBorders>
              <w:tl2br w:val="nil"/>
              <w:tr2bl w:val="nil"/>
            </w:tcBorders>
            <w:vAlign w:val="center"/>
          </w:tcPr>
          <w:p w14:paraId="0B77E7AC">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软水制备</w:t>
            </w:r>
          </w:p>
        </w:tc>
        <w:tc>
          <w:tcPr>
            <w:tcW w:w="681" w:type="dxa"/>
            <w:tcBorders>
              <w:tl2br w:val="nil"/>
              <w:tr2bl w:val="nil"/>
            </w:tcBorders>
            <w:vAlign w:val="center"/>
          </w:tcPr>
          <w:p w14:paraId="7DA89D98">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759" w:type="dxa"/>
            <w:tcBorders>
              <w:tl2br w:val="nil"/>
              <w:tr2bl w:val="nil"/>
            </w:tcBorders>
            <w:vAlign w:val="center"/>
          </w:tcPr>
          <w:p w14:paraId="27FFB2A7">
            <w:pPr>
              <w:tabs>
                <w:tab w:val="left" w:pos="0"/>
              </w:tabs>
              <w:adjustRightInd w:val="0"/>
              <w:spacing w:line="300" w:lineRule="exact"/>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废树脂</w:t>
            </w:r>
          </w:p>
        </w:tc>
        <w:tc>
          <w:tcPr>
            <w:tcW w:w="1057" w:type="dxa"/>
            <w:vMerge w:val="continue"/>
            <w:tcBorders>
              <w:tl2br w:val="nil"/>
              <w:tr2bl w:val="nil"/>
            </w:tcBorders>
            <w:vAlign w:val="center"/>
          </w:tcPr>
          <w:p w14:paraId="1B7A819D">
            <w:pPr>
              <w:widowControl/>
              <w:spacing w:line="300" w:lineRule="exact"/>
              <w:jc w:val="center"/>
              <w:rPr>
                <w:rFonts w:ascii="Times New Roman" w:hAnsi="Times New Roman" w:eastAsia="宋体" w:cs="Times New Roman"/>
                <w:bCs/>
                <w:sz w:val="21"/>
                <w:szCs w:val="21"/>
              </w:rPr>
            </w:pPr>
          </w:p>
        </w:tc>
        <w:tc>
          <w:tcPr>
            <w:tcW w:w="810" w:type="dxa"/>
            <w:tcBorders>
              <w:tl2br w:val="nil"/>
              <w:tr2bl w:val="nil"/>
            </w:tcBorders>
            <w:vAlign w:val="center"/>
          </w:tcPr>
          <w:p w14:paraId="5913229A">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78" w:type="dxa"/>
            <w:tcBorders>
              <w:tl2br w:val="nil"/>
              <w:tr2bl w:val="nil"/>
            </w:tcBorders>
            <w:vAlign w:val="center"/>
          </w:tcPr>
          <w:p w14:paraId="2E90333A">
            <w:pPr>
              <w:pStyle w:val="25"/>
              <w:adjustRightInd w:val="0"/>
              <w:spacing w:line="280" w:lineRule="exact"/>
              <w:jc w:val="center"/>
              <w:rPr>
                <w:rFonts w:ascii="Times New Roman" w:hAnsi="Times New Roman" w:eastAsia="宋体"/>
                <w:kern w:val="0"/>
                <w:sz w:val="21"/>
                <w:szCs w:val="21"/>
              </w:rPr>
            </w:pPr>
            <w:r>
              <w:rPr>
                <w:rFonts w:hint="eastAsia" w:ascii="Times New Roman" w:hAnsi="Times New Roman" w:eastAsia="宋体"/>
                <w:kern w:val="0"/>
                <w:sz w:val="21"/>
                <w:szCs w:val="21"/>
              </w:rPr>
              <w:t>SW59</w:t>
            </w:r>
          </w:p>
        </w:tc>
        <w:tc>
          <w:tcPr>
            <w:tcW w:w="1314" w:type="dxa"/>
            <w:tcBorders>
              <w:tl2br w:val="nil"/>
              <w:tr2bl w:val="nil"/>
            </w:tcBorders>
            <w:vAlign w:val="center"/>
          </w:tcPr>
          <w:p w14:paraId="521C3EFB">
            <w:pPr>
              <w:pStyle w:val="25"/>
              <w:adjustRightInd w:val="0"/>
              <w:spacing w:line="280" w:lineRule="exact"/>
              <w:jc w:val="center"/>
              <w:rPr>
                <w:rFonts w:ascii="Times New Roman" w:hAnsi="Times New Roman" w:eastAsia="宋体"/>
                <w:kern w:val="0"/>
                <w:sz w:val="21"/>
                <w:szCs w:val="21"/>
              </w:rPr>
            </w:pPr>
          </w:p>
        </w:tc>
        <w:tc>
          <w:tcPr>
            <w:tcW w:w="871" w:type="dxa"/>
            <w:tcBorders>
              <w:tl2br w:val="nil"/>
              <w:tr2bl w:val="nil"/>
            </w:tcBorders>
            <w:vAlign w:val="center"/>
          </w:tcPr>
          <w:p w14:paraId="7FA8F88B">
            <w:pPr>
              <w:tabs>
                <w:tab w:val="left" w:pos="0"/>
              </w:tabs>
              <w:adjustRightInd w:val="0"/>
              <w:spacing w:line="300" w:lineRule="exact"/>
              <w:jc w:val="center"/>
              <w:rPr>
                <w:rFonts w:ascii="Times New Roman" w:hAnsi="Times New Roman" w:eastAsia="宋体" w:cs="Times New Roman"/>
                <w:bCs/>
                <w:sz w:val="21"/>
                <w:szCs w:val="21"/>
              </w:rPr>
            </w:pPr>
          </w:p>
        </w:tc>
        <w:tc>
          <w:tcPr>
            <w:tcW w:w="2115" w:type="dxa"/>
            <w:tcBorders>
              <w:tl2br w:val="nil"/>
              <w:tr2bl w:val="nil"/>
            </w:tcBorders>
            <w:vAlign w:val="center"/>
          </w:tcPr>
          <w:p w14:paraId="5A1B2464">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lang w:val="en-US" w:eastAsia="zh-CN"/>
              </w:rPr>
              <w:t>厂家回收再</w:t>
            </w:r>
            <w:r>
              <w:rPr>
                <w:rFonts w:ascii="Times New Roman" w:hAnsi="Times New Roman" w:eastAsia="宋体" w:cs="Times New Roman"/>
                <w:bCs/>
                <w:sz w:val="21"/>
                <w:szCs w:val="21"/>
              </w:rPr>
              <w:t>利用</w:t>
            </w:r>
          </w:p>
        </w:tc>
      </w:tr>
      <w:tr w14:paraId="53D1E3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3B1588E4">
            <w:pPr>
              <w:tabs>
                <w:tab w:val="left" w:pos="0"/>
              </w:tabs>
              <w:adjustRightInd w:val="0"/>
              <w:spacing w:line="300" w:lineRule="exact"/>
              <w:jc w:val="center"/>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val="en-US" w:eastAsia="zh-CN"/>
              </w:rPr>
              <w:t>8</w:t>
            </w:r>
          </w:p>
        </w:tc>
        <w:tc>
          <w:tcPr>
            <w:tcW w:w="1566" w:type="dxa"/>
            <w:tcBorders>
              <w:tl2br w:val="nil"/>
              <w:tr2bl w:val="nil"/>
            </w:tcBorders>
            <w:vAlign w:val="center"/>
          </w:tcPr>
          <w:p w14:paraId="1A4F02CC">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生活垃圾</w:t>
            </w:r>
          </w:p>
        </w:tc>
        <w:tc>
          <w:tcPr>
            <w:tcW w:w="1134" w:type="dxa"/>
            <w:tcBorders>
              <w:tl2br w:val="nil"/>
              <w:tr2bl w:val="nil"/>
            </w:tcBorders>
            <w:vAlign w:val="center"/>
          </w:tcPr>
          <w:p w14:paraId="616BEC9A">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一般固废</w:t>
            </w:r>
          </w:p>
        </w:tc>
        <w:tc>
          <w:tcPr>
            <w:tcW w:w="1490" w:type="dxa"/>
            <w:tcBorders>
              <w:tl2br w:val="nil"/>
              <w:tr2bl w:val="nil"/>
            </w:tcBorders>
            <w:vAlign w:val="center"/>
          </w:tcPr>
          <w:p w14:paraId="042E6BB6">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职工日常</w:t>
            </w:r>
            <w:r>
              <w:rPr>
                <w:rFonts w:hint="eastAsia" w:ascii="Times New Roman" w:hAnsi="Times New Roman" w:eastAsia="宋体" w:cs="Times New Roman"/>
                <w:bCs/>
                <w:sz w:val="21"/>
                <w:szCs w:val="21"/>
              </w:rPr>
              <w:t>生活</w:t>
            </w:r>
          </w:p>
        </w:tc>
        <w:tc>
          <w:tcPr>
            <w:tcW w:w="681" w:type="dxa"/>
            <w:tcBorders>
              <w:tl2br w:val="nil"/>
              <w:tr2bl w:val="nil"/>
            </w:tcBorders>
            <w:vAlign w:val="center"/>
          </w:tcPr>
          <w:p w14:paraId="01D1FC23">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759" w:type="dxa"/>
            <w:tcBorders>
              <w:tl2br w:val="nil"/>
              <w:tr2bl w:val="nil"/>
            </w:tcBorders>
            <w:vAlign w:val="center"/>
          </w:tcPr>
          <w:p w14:paraId="40902DA5">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宋体" w:eastAsia="宋体"/>
                <w:sz w:val="21"/>
                <w:szCs w:val="21"/>
              </w:rPr>
              <w:t>可燃物、可堆腐物</w:t>
            </w:r>
          </w:p>
        </w:tc>
        <w:tc>
          <w:tcPr>
            <w:tcW w:w="1057" w:type="dxa"/>
            <w:vMerge w:val="continue"/>
            <w:tcBorders>
              <w:tl2br w:val="nil"/>
              <w:tr2bl w:val="nil"/>
            </w:tcBorders>
            <w:vAlign w:val="center"/>
          </w:tcPr>
          <w:p w14:paraId="21D7BA21">
            <w:pPr>
              <w:widowControl/>
              <w:spacing w:line="300" w:lineRule="exact"/>
              <w:jc w:val="center"/>
              <w:rPr>
                <w:rFonts w:ascii="Times New Roman" w:hAnsi="Times New Roman" w:eastAsia="宋体" w:cs="Times New Roman"/>
                <w:bCs/>
                <w:sz w:val="21"/>
                <w:szCs w:val="21"/>
              </w:rPr>
            </w:pPr>
          </w:p>
        </w:tc>
        <w:tc>
          <w:tcPr>
            <w:tcW w:w="810" w:type="dxa"/>
            <w:tcBorders>
              <w:tl2br w:val="nil"/>
              <w:tr2bl w:val="nil"/>
            </w:tcBorders>
            <w:vAlign w:val="center"/>
          </w:tcPr>
          <w:p w14:paraId="78CB9724">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778" w:type="dxa"/>
            <w:tcBorders>
              <w:tl2br w:val="nil"/>
              <w:tr2bl w:val="nil"/>
            </w:tcBorders>
            <w:vAlign w:val="center"/>
          </w:tcPr>
          <w:p w14:paraId="5689D0E3">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SW64</w:t>
            </w:r>
          </w:p>
        </w:tc>
        <w:tc>
          <w:tcPr>
            <w:tcW w:w="1314" w:type="dxa"/>
            <w:tcBorders>
              <w:tl2br w:val="nil"/>
              <w:tr2bl w:val="nil"/>
            </w:tcBorders>
            <w:vAlign w:val="center"/>
          </w:tcPr>
          <w:p w14:paraId="0E69DE52">
            <w:pPr>
              <w:tabs>
                <w:tab w:val="left" w:pos="0"/>
              </w:tabs>
              <w:adjustRightInd w:val="0"/>
              <w:spacing w:line="300" w:lineRule="exact"/>
              <w:jc w:val="center"/>
              <w:rPr>
                <w:rFonts w:ascii="Times New Roman" w:hAnsi="Times New Roman" w:eastAsia="宋体" w:cs="Times New Roman"/>
                <w:bCs/>
                <w:sz w:val="21"/>
                <w:szCs w:val="21"/>
              </w:rPr>
            </w:pPr>
          </w:p>
        </w:tc>
        <w:tc>
          <w:tcPr>
            <w:tcW w:w="871" w:type="dxa"/>
            <w:tcBorders>
              <w:tl2br w:val="nil"/>
              <w:tr2bl w:val="nil"/>
            </w:tcBorders>
            <w:vAlign w:val="center"/>
          </w:tcPr>
          <w:p w14:paraId="096DD687">
            <w:pPr>
              <w:tabs>
                <w:tab w:val="left" w:pos="0"/>
              </w:tabs>
              <w:adjustRightInd w:val="0"/>
              <w:spacing w:line="300" w:lineRule="exact"/>
              <w:jc w:val="center"/>
              <w:rPr>
                <w:rFonts w:ascii="Times New Roman" w:hAnsi="Times New Roman" w:eastAsia="宋体" w:cs="Times New Roman"/>
                <w:bCs/>
                <w:sz w:val="21"/>
                <w:szCs w:val="21"/>
              </w:rPr>
            </w:pPr>
          </w:p>
        </w:tc>
        <w:tc>
          <w:tcPr>
            <w:tcW w:w="2115" w:type="dxa"/>
            <w:tcBorders>
              <w:tl2br w:val="nil"/>
              <w:tr2bl w:val="nil"/>
            </w:tcBorders>
            <w:vAlign w:val="center"/>
          </w:tcPr>
          <w:p w14:paraId="59C956DF">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环卫部门清理</w:t>
            </w:r>
          </w:p>
        </w:tc>
      </w:tr>
    </w:tbl>
    <w:p w14:paraId="58238536">
      <w:pPr>
        <w:widowControl/>
      </w:pPr>
    </w:p>
    <w:p w14:paraId="35E5F57C">
      <w:pPr>
        <w:widowControl/>
        <w:ind w:firstLine="480" w:firstLineChars="200"/>
      </w:pPr>
    </w:p>
    <w:p w14:paraId="2971D6EA">
      <w:pPr>
        <w:widowControl/>
        <w:ind w:firstLine="480" w:firstLineChars="200"/>
        <w:sectPr>
          <w:pgSz w:w="16838" w:h="11906" w:orient="landscape"/>
          <w:pgMar w:top="1701" w:right="1440" w:bottom="1701" w:left="1440" w:header="1247" w:footer="1361" w:gutter="0"/>
          <w:pgNumType w:fmt="decimal"/>
          <w:cols w:space="425" w:num="1"/>
          <w:docGrid w:type="lines" w:linePitch="326" w:charSpace="0"/>
        </w:sectPr>
      </w:pPr>
    </w:p>
    <w:p w14:paraId="6D7BD99F">
      <w:pPr>
        <w:pStyle w:val="7"/>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固体废物的管理</w:t>
      </w:r>
    </w:p>
    <w:p w14:paraId="0A9E198D">
      <w:pPr>
        <w:adjustRightInd w:val="0"/>
        <w:spacing w:line="480" w:lineRule="exact"/>
        <w:ind w:firstLine="480" w:firstLineChars="200"/>
        <w:rPr>
          <w:rFonts w:ascii="Times New Roman" w:hAnsi="Times New Roman" w:eastAsia="宋体" w:cs="Times New Roman"/>
          <w:color w:val="000000"/>
          <w:szCs w:val="24"/>
        </w:rPr>
      </w:pPr>
      <w:bookmarkStart w:id="117" w:name="OLE_LINK35"/>
      <w:bookmarkStart w:id="118" w:name="OLE_LINK34"/>
      <w:r>
        <w:rPr>
          <w:rFonts w:ascii="Times New Roman" w:hAnsi="Times New Roman" w:eastAsia="宋体" w:cs="Times New Roman"/>
          <w:color w:val="000000"/>
          <w:szCs w:val="24"/>
        </w:rPr>
        <w:t>根据《中华人民共和国固体废物污染环境防治法》，固体废物的管理，实行减量化、资源化、无害化管理，全过程管理和分类管理的原则。即对固体废物污染环境的防治，实行减少固体废物的产生量和危害性，充分合理利用和无害化处置固体废物，促进清洁生产和循环经济的发展。全过程的管理是指对固体废物从产生、收集、贮存、运输、利用直到最终处置的全过程实行一体化的管理。</w:t>
      </w:r>
    </w:p>
    <w:p w14:paraId="416B955D">
      <w:pPr>
        <w:adjustRightInd w:val="0"/>
        <w:spacing w:line="480" w:lineRule="exact"/>
        <w:ind w:firstLine="480" w:firstLineChars="200"/>
        <w:rPr>
          <w:rFonts w:ascii="Times New Roman" w:hAnsi="Times New Roman" w:eastAsia="宋体" w:cs="Times New Roman"/>
          <w:color w:val="000000"/>
          <w:szCs w:val="24"/>
        </w:rPr>
      </w:pPr>
      <w:r>
        <w:rPr>
          <w:rFonts w:ascii="Times New Roman" w:hAnsi="Times New Roman" w:eastAsia="宋体" w:cs="Times New Roman"/>
          <w:color w:val="000000"/>
          <w:szCs w:val="24"/>
        </w:rPr>
        <w:t>公司在采取处理处置固体废物的同时，加强对固体废物的统计和管理，特别是对危险废物的管理。为防止固体废物逸散、流失，采取有害废物分类集中存放、专人负责管理等措施，废物的存放和转运处置贮存场所必须按照国家固体废物贮存有关要求设置，外运处置固体废物必须落实具体去向，向环保主管部门申请并办好转移手续，手续完全，统计准确无误。这些固体废物管理和统计措施可以保证产生的固体废物分类得到妥善处置，不会产生二次污染，对环境及人体不会造成危害。</w:t>
      </w:r>
    </w:p>
    <w:bookmarkEnd w:id="117"/>
    <w:bookmarkEnd w:id="118"/>
    <w:p w14:paraId="048674DB">
      <w:pPr>
        <w:pStyle w:val="8"/>
        <w:spacing w:line="480" w:lineRule="exact"/>
      </w:pPr>
      <w:r>
        <w:rPr>
          <w:rFonts w:hint="eastAsia"/>
        </w:rPr>
        <w:t>5</w:t>
      </w:r>
      <w:r>
        <w:t>.</w:t>
      </w:r>
      <w:r>
        <w:rPr>
          <w:rFonts w:hint="eastAsia"/>
        </w:rPr>
        <w:t>5.3.1危险废物贮存场所（设施）的能力分析</w:t>
      </w:r>
    </w:p>
    <w:p w14:paraId="7B820B26">
      <w:pPr>
        <w:adjustRightInd w:val="0"/>
        <w:spacing w:line="480" w:lineRule="exact"/>
        <w:ind w:firstLine="480" w:firstLineChars="200"/>
        <w:rPr>
          <w:rFonts w:ascii="Times New Roman" w:hAnsi="Times New Roman" w:eastAsia="宋体" w:cs="Times New Roman"/>
          <w:color w:val="000000"/>
          <w:szCs w:val="24"/>
        </w:rPr>
      </w:pPr>
      <w:bookmarkStart w:id="119" w:name="OLE_LINK36"/>
      <w:r>
        <w:rPr>
          <w:rFonts w:ascii="Times New Roman" w:hAnsi="Times New Roman" w:eastAsia="宋体" w:cs="Times New Roman"/>
          <w:color w:val="000000"/>
          <w:szCs w:val="24"/>
        </w:rPr>
        <w:t>本项目产生的危废在转移至有资质单位处置前，需在厂内暂存，</w:t>
      </w:r>
      <w:r>
        <w:rPr>
          <w:rFonts w:hint="eastAsia" w:ascii="Times New Roman" w:hAnsi="Times New Roman" w:eastAsia="宋体" w:cs="Times New Roman"/>
          <w:color w:val="000000"/>
          <w:szCs w:val="24"/>
        </w:rPr>
        <w:t>项目厂区计划建设一座</w:t>
      </w:r>
      <w:r>
        <w:rPr>
          <w:rFonts w:hint="eastAsia" w:ascii="Times New Roman" w:hAnsi="Times New Roman" w:eastAsia="宋体" w:cs="Times New Roman"/>
          <w:color w:val="000000"/>
          <w:szCs w:val="24"/>
          <w:lang w:eastAsia="zh-CN"/>
        </w:rPr>
        <w:t>5m</w:t>
      </w:r>
      <w:r>
        <w:rPr>
          <w:rFonts w:hint="eastAsia" w:ascii="Times New Roman" w:hAnsi="Times New Roman" w:eastAsia="宋体" w:cs="Times New Roman"/>
          <w:color w:val="000000"/>
          <w:szCs w:val="24"/>
          <w:vertAlign w:val="superscript"/>
          <w:lang w:eastAsia="zh-CN"/>
        </w:rPr>
        <w:t>2</w:t>
      </w:r>
      <w:r>
        <w:rPr>
          <w:rFonts w:ascii="Times New Roman" w:hAnsi="Times New Roman" w:eastAsia="宋体" w:cs="Times New Roman"/>
          <w:color w:val="000000"/>
          <w:szCs w:val="24"/>
        </w:rPr>
        <w:t>的危废库</w:t>
      </w:r>
      <w:r>
        <w:rPr>
          <w:rFonts w:hint="eastAsia" w:ascii="Times New Roman" w:hAnsi="Times New Roman" w:eastAsia="宋体" w:cs="Times New Roman"/>
          <w:color w:val="000000"/>
          <w:szCs w:val="24"/>
        </w:rPr>
        <w:t>，</w:t>
      </w:r>
      <w:r>
        <w:rPr>
          <w:rFonts w:ascii="Times New Roman" w:hAnsi="Times New Roman" w:eastAsia="宋体" w:cs="Times New Roman"/>
          <w:color w:val="000000"/>
          <w:szCs w:val="24"/>
        </w:rPr>
        <w:t>本项目产生的危废</w:t>
      </w:r>
      <w:r>
        <w:rPr>
          <w:rFonts w:hint="eastAsia" w:ascii="Times New Roman" w:hAnsi="Times New Roman" w:eastAsia="宋体" w:cs="Times New Roman"/>
          <w:color w:val="000000"/>
          <w:szCs w:val="24"/>
        </w:rPr>
        <w:t>在处置前在仓库内暂存</w:t>
      </w:r>
      <w:r>
        <w:rPr>
          <w:rFonts w:ascii="Times New Roman" w:hAnsi="Times New Roman" w:eastAsia="宋体" w:cs="Times New Roman"/>
          <w:color w:val="000000"/>
          <w:szCs w:val="24"/>
        </w:rPr>
        <w:t>。根据工程分析，本项目危险废物产生量合计</w:t>
      </w:r>
      <w:r>
        <w:rPr>
          <w:rFonts w:hint="eastAsia" w:ascii="Times New Roman" w:hAnsi="Times New Roman" w:eastAsia="宋体" w:cs="Times New Roman"/>
          <w:color w:val="000000"/>
          <w:szCs w:val="24"/>
        </w:rPr>
        <w:t>0.</w:t>
      </w:r>
      <w:r>
        <w:rPr>
          <w:rFonts w:hint="eastAsia" w:ascii="Times New Roman" w:hAnsi="Times New Roman" w:eastAsia="宋体" w:cs="Times New Roman"/>
          <w:color w:val="000000"/>
          <w:szCs w:val="24"/>
          <w:lang w:val="en-US" w:eastAsia="zh-CN"/>
        </w:rPr>
        <w:t>1</w:t>
      </w:r>
      <w:r>
        <w:rPr>
          <w:rFonts w:ascii="Times New Roman" w:hAnsi="Times New Roman" w:eastAsia="宋体" w:cs="Times New Roman"/>
          <w:color w:val="000000"/>
          <w:szCs w:val="24"/>
        </w:rPr>
        <w:t>吨/年。</w:t>
      </w:r>
    </w:p>
    <w:p w14:paraId="1D1EC727">
      <w:pPr>
        <w:adjustRightInd w:val="0"/>
        <w:spacing w:line="480" w:lineRule="exact"/>
        <w:ind w:firstLine="480" w:firstLineChars="200"/>
        <w:rPr>
          <w:rFonts w:ascii="Times New Roman" w:hAnsi="Times New Roman" w:eastAsia="宋体" w:cs="Times New Roman"/>
          <w:color w:val="000000"/>
          <w:szCs w:val="24"/>
        </w:rPr>
      </w:pPr>
      <w:r>
        <w:rPr>
          <w:rFonts w:hint="eastAsia" w:ascii="Times New Roman" w:hAnsi="Times New Roman" w:eastAsia="宋体" w:cs="Times New Roman"/>
          <w:color w:val="000000"/>
          <w:szCs w:val="24"/>
        </w:rPr>
        <w:t>项目</w:t>
      </w:r>
      <w:r>
        <w:rPr>
          <w:rFonts w:ascii="Times New Roman" w:hAnsi="Times New Roman" w:eastAsia="宋体" w:cs="Times New Roman"/>
          <w:color w:val="000000"/>
          <w:szCs w:val="24"/>
        </w:rPr>
        <w:t>危废拟根据性状采用密闭包装袋盛装</w:t>
      </w:r>
      <w:r>
        <w:rPr>
          <w:rFonts w:hint="eastAsia" w:ascii="Times New Roman" w:hAnsi="Times New Roman" w:eastAsia="宋体" w:cs="Times New Roman"/>
          <w:color w:val="000000"/>
          <w:szCs w:val="24"/>
        </w:rPr>
        <w:t>，</w:t>
      </w:r>
      <w:r>
        <w:rPr>
          <w:rFonts w:ascii="Times New Roman" w:hAnsi="Times New Roman" w:eastAsia="宋体" w:cs="Times New Roman"/>
          <w:color w:val="000000"/>
          <w:szCs w:val="24"/>
        </w:rPr>
        <w:t>并用木架托盘暂存，项目危废在不混装的前提下可堆叠暂存，平均单位面积暂存能力以1吨计，考虑</w:t>
      </w:r>
      <w:r>
        <w:rPr>
          <w:rFonts w:hint="eastAsia" w:ascii="Times New Roman" w:hAnsi="Times New Roman" w:eastAsia="宋体" w:cs="Times New Roman"/>
          <w:color w:val="000000"/>
          <w:szCs w:val="24"/>
        </w:rPr>
        <w:t>项目</w:t>
      </w:r>
      <w:r>
        <w:rPr>
          <w:rFonts w:ascii="Times New Roman" w:hAnsi="Times New Roman" w:eastAsia="宋体" w:cs="Times New Roman"/>
          <w:color w:val="000000"/>
          <w:szCs w:val="24"/>
        </w:rPr>
        <w:t>危废产废周期不固定，本次评价项目危废转运周期按</w:t>
      </w:r>
      <w:r>
        <w:rPr>
          <w:rFonts w:hint="eastAsia" w:ascii="Times New Roman" w:hAnsi="Times New Roman" w:eastAsia="宋体" w:cs="Times New Roman"/>
          <w:color w:val="000000"/>
          <w:szCs w:val="24"/>
        </w:rPr>
        <w:t>最大一年</w:t>
      </w:r>
      <w:r>
        <w:rPr>
          <w:rFonts w:ascii="Times New Roman" w:hAnsi="Times New Roman" w:eastAsia="宋体" w:cs="Times New Roman"/>
          <w:color w:val="000000"/>
          <w:szCs w:val="24"/>
        </w:rPr>
        <w:t>计，</w:t>
      </w:r>
      <w:r>
        <w:rPr>
          <w:rFonts w:hint="eastAsia" w:ascii="Times New Roman" w:hAnsi="Times New Roman" w:eastAsia="宋体" w:cs="Times New Roman"/>
          <w:color w:val="000000"/>
          <w:szCs w:val="24"/>
        </w:rPr>
        <w:t>项目危废产生量小，因此</w:t>
      </w:r>
      <w:r>
        <w:rPr>
          <w:rFonts w:ascii="Times New Roman" w:hAnsi="Times New Roman" w:eastAsia="宋体" w:cs="Times New Roman"/>
          <w:color w:val="000000"/>
          <w:szCs w:val="24"/>
        </w:rPr>
        <w:t>，本项目危废依托厂区</w:t>
      </w:r>
      <w:r>
        <w:rPr>
          <w:rFonts w:hint="eastAsia" w:ascii="Times New Roman" w:hAnsi="Times New Roman" w:eastAsia="宋体" w:cs="Times New Roman"/>
          <w:color w:val="000000"/>
          <w:szCs w:val="24"/>
        </w:rPr>
        <w:t>拟新建</w:t>
      </w:r>
      <w:r>
        <w:rPr>
          <w:rFonts w:hint="eastAsia" w:ascii="Times New Roman" w:hAnsi="Times New Roman" w:eastAsia="宋体" w:cs="Times New Roman"/>
          <w:color w:val="000000"/>
          <w:szCs w:val="24"/>
          <w:lang w:eastAsia="zh-CN"/>
        </w:rPr>
        <w:t>5m</w:t>
      </w:r>
      <w:r>
        <w:rPr>
          <w:rFonts w:hint="eastAsia" w:ascii="Times New Roman" w:hAnsi="Times New Roman" w:eastAsia="宋体" w:cs="Times New Roman"/>
          <w:color w:val="000000"/>
          <w:szCs w:val="24"/>
          <w:vertAlign w:val="superscript"/>
          <w:lang w:eastAsia="zh-CN"/>
        </w:rPr>
        <w:t>2</w:t>
      </w:r>
      <w:r>
        <w:rPr>
          <w:rFonts w:ascii="Times New Roman" w:hAnsi="Times New Roman" w:eastAsia="宋体" w:cs="Times New Roman"/>
          <w:color w:val="000000"/>
          <w:szCs w:val="24"/>
        </w:rPr>
        <w:t>的危废暂存库暂存可行。</w:t>
      </w:r>
    </w:p>
    <w:bookmarkEnd w:id="119"/>
    <w:p w14:paraId="18B0B9AF">
      <w:pPr>
        <w:pStyle w:val="8"/>
        <w:spacing w:line="480" w:lineRule="exact"/>
      </w:pPr>
      <w:r>
        <w:rPr>
          <w:rFonts w:hint="eastAsia"/>
        </w:rPr>
        <w:t>5</w:t>
      </w:r>
      <w:r>
        <w:t>.</w:t>
      </w:r>
      <w:r>
        <w:rPr>
          <w:rFonts w:hint="eastAsia"/>
        </w:rPr>
        <w:t>5.3.2危险废物的委托处置、暂存及运输</w:t>
      </w:r>
    </w:p>
    <w:p w14:paraId="38B1845E">
      <w:pPr>
        <w:adjustRightInd w:val="0"/>
        <w:snapToGrid w:val="0"/>
        <w:spacing w:line="480" w:lineRule="exact"/>
        <w:ind w:firstLine="480" w:firstLineChars="200"/>
        <w:rPr>
          <w:rFonts w:ascii="Times New Roman"/>
          <w:color w:val="000000" w:themeColor="text1"/>
          <w:szCs w:val="24"/>
          <w14:textFill>
            <w14:solidFill>
              <w14:schemeClr w14:val="tx1"/>
            </w14:solidFill>
          </w14:textFill>
        </w:rPr>
      </w:pPr>
      <w:bookmarkStart w:id="120" w:name="OLE_LINK37"/>
      <w:bookmarkStart w:id="121" w:name="OLE_LINK38"/>
      <w:r>
        <w:rPr>
          <w:rFonts w:ascii="Times New Roman"/>
          <w:color w:val="000000" w:themeColor="text1"/>
          <w:szCs w:val="24"/>
          <w14:textFill>
            <w14:solidFill>
              <w14:schemeClr w14:val="tx1"/>
            </w14:solidFill>
          </w14:textFill>
        </w:rPr>
        <w:t>（一）危废委托处置</w:t>
      </w:r>
    </w:p>
    <w:p w14:paraId="70DDA512">
      <w:pPr>
        <w:adjustRightInd w:val="0"/>
        <w:snapToGrid w:val="0"/>
        <w:spacing w:line="480" w:lineRule="exact"/>
        <w:ind w:firstLine="480" w:firstLineChars="200"/>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本项目产生的</w:t>
      </w:r>
      <w:r>
        <w:rPr>
          <w:rFonts w:hint="eastAsia" w:ascii="Times New Roman"/>
          <w:bCs/>
          <w:color w:val="000000" w:themeColor="text1"/>
          <w:szCs w:val="24"/>
          <w14:textFill>
            <w14:solidFill>
              <w14:schemeClr w14:val="tx1"/>
            </w14:solidFill>
          </w14:textFill>
        </w:rPr>
        <w:t>医疗废物</w:t>
      </w:r>
      <w:r>
        <w:rPr>
          <w:rFonts w:ascii="Times New Roman"/>
          <w:color w:val="000000" w:themeColor="text1"/>
          <w:szCs w:val="24"/>
          <w14:textFill>
            <w14:solidFill>
              <w14:schemeClr w14:val="tx1"/>
            </w14:solidFill>
          </w14:textFill>
        </w:rPr>
        <w:t>（</w:t>
      </w:r>
      <w:r>
        <w:rPr>
          <w:rFonts w:hint="eastAsia" w:ascii="Times New Roman"/>
          <w:color w:val="000000" w:themeColor="text1"/>
          <w:szCs w:val="24"/>
          <w14:textFill>
            <w14:solidFill>
              <w14:schemeClr w14:val="tx1"/>
            </w14:solidFill>
          </w14:textFill>
        </w:rPr>
        <w:t>841-001-01</w:t>
      </w:r>
      <w:r>
        <w:rPr>
          <w:rFonts w:ascii="Times New Roman"/>
          <w:color w:val="000000" w:themeColor="text1"/>
          <w:szCs w:val="24"/>
          <w14:textFill>
            <w14:solidFill>
              <w14:schemeClr w14:val="tx1"/>
            </w14:solidFill>
          </w14:textFill>
        </w:rPr>
        <w:t>）属于危险废物，依托</w:t>
      </w:r>
      <w:r>
        <w:rPr>
          <w:rFonts w:hint="eastAsia" w:ascii="Times New Roman"/>
          <w:color w:val="000000" w:themeColor="text1"/>
          <w:szCs w:val="24"/>
          <w14:textFill>
            <w14:solidFill>
              <w14:schemeClr w14:val="tx1"/>
            </w14:solidFill>
          </w14:textFill>
        </w:rPr>
        <w:t>厂区新建</w:t>
      </w:r>
      <w:r>
        <w:rPr>
          <w:rFonts w:ascii="Times New Roman"/>
          <w:color w:val="000000" w:themeColor="text1"/>
          <w:szCs w:val="24"/>
          <w14:textFill>
            <w14:solidFill>
              <w14:schemeClr w14:val="tx1"/>
            </w14:solidFill>
          </w14:textFill>
        </w:rPr>
        <w:t>危废暂存库</w:t>
      </w:r>
      <w:r>
        <w:rPr>
          <w:rFonts w:hint="eastAsia" w:ascii="Times New Roman"/>
          <w:color w:val="000000" w:themeColor="text1"/>
          <w:szCs w:val="24"/>
          <w14:textFill>
            <w14:solidFill>
              <w14:schemeClr w14:val="tx1"/>
            </w14:solidFill>
          </w14:textFill>
        </w:rPr>
        <w:t>进行</w:t>
      </w:r>
      <w:r>
        <w:rPr>
          <w:rFonts w:ascii="Times New Roman"/>
          <w:color w:val="000000" w:themeColor="text1"/>
          <w:szCs w:val="24"/>
          <w14:textFill>
            <w14:solidFill>
              <w14:schemeClr w14:val="tx1"/>
            </w14:solidFill>
          </w14:textFill>
        </w:rPr>
        <w:t>暂存，并委托有资质单位安全处置。</w:t>
      </w:r>
    </w:p>
    <w:bookmarkEnd w:id="120"/>
    <w:bookmarkEnd w:id="121"/>
    <w:p w14:paraId="4DAE78D9">
      <w:pPr>
        <w:adjustRightInd w:val="0"/>
        <w:snapToGrid w:val="0"/>
        <w:spacing w:line="480" w:lineRule="exact"/>
        <w:ind w:firstLine="480" w:firstLineChars="200"/>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（二）危险废物的暂存</w:t>
      </w:r>
    </w:p>
    <w:p w14:paraId="460B84D8">
      <w:pPr>
        <w:adjustRightInd w:val="0"/>
        <w:snapToGrid w:val="0"/>
        <w:spacing w:line="480" w:lineRule="exact"/>
        <w:ind w:firstLine="480" w:firstLineChars="200"/>
        <w:rPr>
          <w:rFonts w:ascii="Times New Roman"/>
          <w:color w:val="FF0000"/>
          <w:szCs w:val="24"/>
        </w:rPr>
      </w:pPr>
      <w:r>
        <w:rPr>
          <w:rFonts w:ascii="Times New Roman"/>
          <w:color w:val="000000" w:themeColor="text1"/>
          <w:szCs w:val="24"/>
          <w14:textFill>
            <w14:solidFill>
              <w14:schemeClr w14:val="tx1"/>
            </w14:solidFill>
          </w14:textFill>
        </w:rPr>
        <w:t>项目</w:t>
      </w:r>
      <w:r>
        <w:rPr>
          <w:rFonts w:hint="eastAsia" w:ascii="Times New Roman"/>
          <w:color w:val="000000" w:themeColor="text1"/>
          <w:szCs w:val="24"/>
          <w14:textFill>
            <w14:solidFill>
              <w14:schemeClr w14:val="tx1"/>
            </w14:solidFill>
          </w14:textFill>
        </w:rPr>
        <w:t>厂区拟新建的</w:t>
      </w:r>
      <w:r>
        <w:rPr>
          <w:rFonts w:hint="eastAsia" w:ascii="Times New Roman"/>
          <w:color w:val="000000" w:themeColor="text1"/>
          <w:szCs w:val="24"/>
          <w:lang w:eastAsia="zh-CN"/>
          <w14:textFill>
            <w14:solidFill>
              <w14:schemeClr w14:val="tx1"/>
            </w14:solidFill>
          </w14:textFill>
        </w:rPr>
        <w:t>5m</w:t>
      </w:r>
      <w:r>
        <w:rPr>
          <w:rFonts w:hint="eastAsia" w:ascii="Times New Roman"/>
          <w:color w:val="000000" w:themeColor="text1"/>
          <w:szCs w:val="24"/>
          <w:vertAlign w:val="superscript"/>
          <w:lang w:eastAsia="zh-CN"/>
          <w14:textFill>
            <w14:solidFill>
              <w14:schemeClr w14:val="tx1"/>
            </w14:solidFill>
          </w14:textFill>
        </w:rPr>
        <w:t>2</w:t>
      </w:r>
      <w:r>
        <w:rPr>
          <w:rFonts w:ascii="Times New Roman"/>
          <w:color w:val="000000" w:themeColor="text1"/>
          <w:szCs w:val="24"/>
          <w14:textFill>
            <w14:solidFill>
              <w14:schemeClr w14:val="tx1"/>
            </w14:solidFill>
          </w14:textFill>
        </w:rPr>
        <w:t>危废暂存库严格按照《危险废物贮存污染控制标准》（GB18597-2023）</w:t>
      </w:r>
      <w:r>
        <w:rPr>
          <w:rFonts w:ascii="Times New Roman"/>
          <w:bCs/>
          <w:color w:val="000000" w:themeColor="text1"/>
          <w:szCs w:val="24"/>
          <w14:textFill>
            <w14:solidFill>
              <w14:schemeClr w14:val="tx1"/>
            </w14:solidFill>
          </w14:textFill>
        </w:rPr>
        <w:t>的要求建设</w:t>
      </w:r>
      <w:r>
        <w:rPr>
          <w:rFonts w:ascii="Times New Roman"/>
          <w:color w:val="000000" w:themeColor="text1"/>
          <w:szCs w:val="24"/>
          <w14:textFill>
            <w14:solidFill>
              <w14:schemeClr w14:val="tx1"/>
            </w14:solidFill>
          </w14:textFill>
        </w:rPr>
        <w:t>，</w:t>
      </w:r>
      <w:r>
        <w:rPr>
          <w:rFonts w:ascii="Times New Roman"/>
          <w:bCs/>
          <w:color w:val="000000" w:themeColor="text1"/>
          <w:szCs w:val="24"/>
          <w14:textFill>
            <w14:solidFill>
              <w14:schemeClr w14:val="tx1"/>
            </w14:solidFill>
          </w14:textFill>
        </w:rPr>
        <w:t>做到“防风、防雨、防晒、防渗漏”，并按要求设置警示标示。危险废物应尽快送往委托单位处理，不宜存放过长时间，确需暂存的，应做到以下几点：①贮存场所应符合《危险废物贮存污染控制标准》（GB18597-2023）规定的贮存控制标准，有符合要求的专用标志。②贮存区内禁止混放不相容危险废物。③贮存区考虑相应的集排水和防渗设施。④贮存区符合消防要求。</w:t>
      </w:r>
      <w:r>
        <w:rPr>
          <w:rFonts w:hint="eastAsia" w:ascii="Times New Roman"/>
          <w:bCs/>
          <w:color w:val="000000" w:themeColor="text1"/>
          <w:szCs w:val="24"/>
          <w14:textFill>
            <w14:solidFill>
              <w14:schemeClr w14:val="tx1"/>
            </w14:solidFill>
          </w14:textFill>
        </w:rPr>
        <w:t>同时</w:t>
      </w:r>
      <w:r>
        <w:rPr>
          <w:rFonts w:ascii="Times New Roman"/>
          <w:color w:val="000000" w:themeColor="text1"/>
          <w:szCs w:val="24"/>
          <w14:textFill>
            <w14:solidFill>
              <w14:schemeClr w14:val="tx1"/>
            </w14:solidFill>
          </w14:textFill>
        </w:rPr>
        <w:t>还应严格执行《省生态环境厅关于印发江苏省危险废物贮存规范化管理专项整治行动方案的通知》（苏环办〔2019〕149号）、《</w:t>
      </w:r>
      <w:r>
        <w:rPr>
          <w:rFonts w:hint="eastAsia" w:ascii="Times New Roman"/>
          <w:color w:val="000000" w:themeColor="text1"/>
          <w:szCs w:val="24"/>
          <w14:textFill>
            <w14:solidFill>
              <w14:schemeClr w14:val="tx1"/>
            </w14:solidFill>
          </w14:textFill>
        </w:rPr>
        <w:t>江苏省固体废物全过程环境监管工作意见</w:t>
      </w:r>
      <w:r>
        <w:rPr>
          <w:rFonts w:ascii="Times New Roman"/>
          <w:color w:val="000000" w:themeColor="text1"/>
          <w:szCs w:val="24"/>
          <w14:textFill>
            <w14:solidFill>
              <w14:schemeClr w14:val="tx1"/>
            </w14:solidFill>
          </w14:textFill>
        </w:rPr>
        <w:t>》（</w:t>
      </w:r>
      <w:r>
        <w:rPr>
          <w:rFonts w:hint="eastAsia" w:ascii="Times New Roman"/>
          <w:color w:val="000000" w:themeColor="text1"/>
          <w:szCs w:val="24"/>
          <w14:textFill>
            <w14:solidFill>
              <w14:schemeClr w14:val="tx1"/>
            </w14:solidFill>
          </w14:textFill>
        </w:rPr>
        <w:t>苏环办〔2024〕16号</w:t>
      </w:r>
      <w:r>
        <w:rPr>
          <w:rFonts w:ascii="Times New Roman"/>
          <w:color w:val="000000" w:themeColor="text1"/>
          <w:szCs w:val="24"/>
          <w14:textFill>
            <w14:solidFill>
              <w14:schemeClr w14:val="tx1"/>
            </w14:solidFill>
          </w14:textFill>
        </w:rPr>
        <w:t>）</w:t>
      </w:r>
      <w:r>
        <w:rPr>
          <w:rFonts w:hint="eastAsia" w:ascii="Times New Roman"/>
          <w:color w:val="000000" w:themeColor="text1"/>
          <w:szCs w:val="24"/>
          <w14:textFill>
            <w14:solidFill>
              <w14:schemeClr w14:val="tx1"/>
            </w14:solidFill>
          </w14:textFill>
        </w:rPr>
        <w:t>及</w:t>
      </w:r>
      <w:r>
        <w:rPr>
          <w:rFonts w:ascii="Times New Roman"/>
          <w:color w:val="000000" w:themeColor="text1"/>
          <w:szCs w:val="24"/>
          <w14:textFill>
            <w14:solidFill>
              <w14:schemeClr w14:val="tx1"/>
            </w14:solidFill>
          </w14:textFill>
        </w:rPr>
        <w:t>《关于做好江苏省危险废物全生命周期监控系统上线运行工作的通知》（苏环办〔2020〕401号）等文件及地方管理部门的要求，切实加强危险废物全过程管理工作。危废暂存库位于厂区北侧，距离办公区隔有</w:t>
      </w:r>
      <w:r>
        <w:rPr>
          <w:rFonts w:hint="eastAsia" w:ascii="Times New Roman"/>
          <w:color w:val="000000" w:themeColor="text1"/>
          <w:szCs w:val="24"/>
          <w14:textFill>
            <w14:solidFill>
              <w14:schemeClr w14:val="tx1"/>
            </w14:solidFill>
          </w14:textFill>
        </w:rPr>
        <w:t>养殖</w:t>
      </w:r>
      <w:r>
        <w:rPr>
          <w:rFonts w:ascii="Times New Roman"/>
          <w:color w:val="000000" w:themeColor="text1"/>
          <w:szCs w:val="24"/>
          <w14:textFill>
            <w14:solidFill>
              <w14:schemeClr w14:val="tx1"/>
            </w14:solidFill>
          </w14:textFill>
        </w:rPr>
        <w:t>区，位置合理可行。危废产生量约</w:t>
      </w:r>
      <w:r>
        <w:rPr>
          <w:rFonts w:hint="eastAsia" w:ascii="Times New Roman"/>
          <w:color w:val="000000" w:themeColor="text1"/>
          <w:szCs w:val="24"/>
          <w14:textFill>
            <w14:solidFill>
              <w14:schemeClr w14:val="tx1"/>
            </w14:solidFill>
          </w14:textFill>
        </w:rPr>
        <w:t>0.</w:t>
      </w:r>
      <w:r>
        <w:rPr>
          <w:rFonts w:hint="eastAsia" w:ascii="Times New Roman"/>
          <w:color w:val="000000" w:themeColor="text1"/>
          <w:szCs w:val="24"/>
          <w:lang w:val="en-US" w:eastAsia="zh-CN"/>
          <w14:textFill>
            <w14:solidFill>
              <w14:schemeClr w14:val="tx1"/>
            </w14:solidFill>
          </w14:textFill>
        </w:rPr>
        <w:t>1</w:t>
      </w:r>
      <w:r>
        <w:rPr>
          <w:rFonts w:ascii="Times New Roman"/>
          <w:color w:val="000000" w:themeColor="text1"/>
          <w:szCs w:val="24"/>
          <w14:textFill>
            <w14:solidFill>
              <w14:schemeClr w14:val="tx1"/>
            </w14:solidFill>
          </w14:textFill>
        </w:rPr>
        <w:t>t/a，暂存于危废暂存库，有足够容积存放，危废暂存库的设计能力满足使用要求。</w:t>
      </w:r>
    </w:p>
    <w:p w14:paraId="623BBD03">
      <w:pPr>
        <w:adjustRightInd w:val="0"/>
        <w:snapToGrid w:val="0"/>
        <w:spacing w:line="480" w:lineRule="exact"/>
        <w:ind w:firstLine="480" w:firstLineChars="200"/>
        <w:rPr>
          <w:rFonts w:ascii="Times New Roman"/>
          <w:color w:val="000000" w:themeColor="text1"/>
          <w:szCs w:val="24"/>
          <w14:textFill>
            <w14:solidFill>
              <w14:schemeClr w14:val="tx1"/>
            </w14:solidFill>
          </w14:textFill>
        </w:rPr>
      </w:pPr>
      <w:bookmarkStart w:id="122" w:name="OLE_LINK39"/>
      <w:r>
        <w:rPr>
          <w:rFonts w:ascii="Times New Roman"/>
          <w:color w:val="000000" w:themeColor="text1"/>
          <w:szCs w:val="24"/>
          <w14:textFill>
            <w14:solidFill>
              <w14:schemeClr w14:val="tx1"/>
            </w14:solidFill>
          </w14:textFill>
        </w:rPr>
        <w:t>根据《环境保护图形标志—固体废物贮存（处置场）》（GB15562.2）、《危险废物贮存污染控制标准》（GB18597-2023）等规定要求，各类固体废物按照相关要求分类收集贮存。</w:t>
      </w:r>
      <w:r>
        <w:rPr>
          <w:rFonts w:hint="eastAsia" w:ascii="Times New Roman"/>
          <w:bCs/>
          <w:color w:val="000000" w:themeColor="text1"/>
          <w:szCs w:val="24"/>
          <w14:textFill>
            <w14:solidFill>
              <w14:schemeClr w14:val="tx1"/>
            </w14:solidFill>
          </w14:textFill>
        </w:rPr>
        <w:t>医疗废物</w:t>
      </w:r>
      <w:r>
        <w:rPr>
          <w:rFonts w:ascii="Times New Roman"/>
          <w:color w:val="000000" w:themeColor="text1"/>
          <w:szCs w:val="24"/>
          <w14:textFill>
            <w14:solidFill>
              <w14:schemeClr w14:val="tx1"/>
            </w14:solidFill>
          </w14:textFill>
        </w:rPr>
        <w:t>贮存于塑料桶或编织袋后可堆放于危废暂存场所。有关危废的包装容器应符合相关规定，与固废无任何反应，对固废无影响。</w:t>
      </w:r>
    </w:p>
    <w:bookmarkEnd w:id="122"/>
    <w:p w14:paraId="5B0B7028">
      <w:pPr>
        <w:adjustRightInd w:val="0"/>
        <w:snapToGrid w:val="0"/>
        <w:spacing w:line="480" w:lineRule="exact"/>
        <w:ind w:firstLine="480" w:firstLineChars="200"/>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因此，本项目产生的危险废物暂存过程中对环境的影响较小。</w:t>
      </w:r>
    </w:p>
    <w:p w14:paraId="5898F3E3">
      <w:pPr>
        <w:adjustRightInd w:val="0"/>
        <w:snapToGrid w:val="0"/>
        <w:spacing w:line="480" w:lineRule="exact"/>
        <w:ind w:firstLine="480" w:firstLineChars="200"/>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（三）运输过程中散落、泄漏的环境影响</w:t>
      </w:r>
    </w:p>
    <w:p w14:paraId="5D66F2B8">
      <w:pPr>
        <w:adjustRightInd w:val="0"/>
        <w:snapToGrid w:val="0"/>
        <w:spacing w:line="480" w:lineRule="exact"/>
        <w:ind w:firstLine="480" w:firstLineChars="200"/>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固体废物运输过程中如果发生散落、泄漏，容易腐化设备、产生恶臭，污染运输沿途环境，若下渗或泄漏进入土壤或地下水，将会造成局部土壤和地下水的污染，因此在运输过程中应按照相关规范加强管理。本项目危废产生后及时送往危废暂存库。产生点主要为</w:t>
      </w:r>
      <w:r>
        <w:rPr>
          <w:rFonts w:hint="eastAsia" w:ascii="Times New Roman"/>
          <w:color w:val="000000" w:themeColor="text1"/>
          <w:szCs w:val="24"/>
          <w14:textFill>
            <w14:solidFill>
              <w14:schemeClr w14:val="tx1"/>
            </w14:solidFill>
          </w14:textFill>
        </w:rPr>
        <w:t>养殖</w:t>
      </w:r>
      <w:r>
        <w:rPr>
          <w:rFonts w:ascii="Times New Roman"/>
          <w:color w:val="000000" w:themeColor="text1"/>
          <w:szCs w:val="24"/>
          <w14:textFill>
            <w14:solidFill>
              <w14:schemeClr w14:val="tx1"/>
            </w14:solidFill>
          </w14:textFill>
        </w:rPr>
        <w:t>区，距离危废暂存库最远为</w:t>
      </w:r>
      <w:r>
        <w:rPr>
          <w:rFonts w:hint="eastAsia" w:ascii="Times New Roman"/>
          <w:color w:val="000000" w:themeColor="text1"/>
          <w:szCs w:val="24"/>
          <w14:textFill>
            <w14:solidFill>
              <w14:schemeClr w14:val="tx1"/>
            </w14:solidFill>
          </w14:textFill>
        </w:rPr>
        <w:t>20</w:t>
      </w:r>
      <w:r>
        <w:rPr>
          <w:rFonts w:ascii="Times New Roman"/>
          <w:color w:val="000000" w:themeColor="text1"/>
          <w:szCs w:val="24"/>
          <w14:textFill>
            <w14:solidFill>
              <w14:schemeClr w14:val="tx1"/>
            </w14:solidFill>
          </w14:textFill>
        </w:rPr>
        <w:t>0m，运输路线均在厂内，周围无敏感点，转移采用底部封闭、无泄漏的平板</w:t>
      </w:r>
      <w:r>
        <w:rPr>
          <w:rFonts w:hint="eastAsia" w:ascii="Times New Roman"/>
          <w:color w:val="000000" w:themeColor="text1"/>
          <w:szCs w:val="24"/>
          <w14:textFill>
            <w14:solidFill>
              <w14:schemeClr w14:val="tx1"/>
            </w14:solidFill>
          </w14:textFill>
        </w:rPr>
        <w:t>小</w:t>
      </w:r>
      <w:r>
        <w:rPr>
          <w:rFonts w:ascii="Times New Roman"/>
          <w:color w:val="000000" w:themeColor="text1"/>
          <w:szCs w:val="24"/>
          <w14:textFill>
            <w14:solidFill>
              <w14:schemeClr w14:val="tx1"/>
            </w14:solidFill>
          </w14:textFill>
        </w:rPr>
        <w:t>车，因此厂内运输发生泄漏、散落的概率极低，厂内运输对周边环境影响极小。</w:t>
      </w:r>
    </w:p>
    <w:p w14:paraId="7D40AE79">
      <w:pPr>
        <w:adjustRightInd w:val="0"/>
        <w:snapToGrid w:val="0"/>
        <w:spacing w:line="480" w:lineRule="exact"/>
        <w:ind w:firstLine="566" w:firstLineChars="236"/>
        <w:rPr>
          <w:rFonts w:ascii="Times New Roman"/>
          <w:bCs/>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（四）</w:t>
      </w:r>
      <w:r>
        <w:rPr>
          <w:rFonts w:ascii="Times New Roman"/>
          <w:bCs/>
          <w:color w:val="000000" w:themeColor="text1"/>
          <w:szCs w:val="24"/>
          <w14:textFill>
            <w14:solidFill>
              <w14:schemeClr w14:val="tx1"/>
            </w14:solidFill>
          </w14:textFill>
        </w:rPr>
        <w:t>危险废物管理措施及规定</w:t>
      </w:r>
    </w:p>
    <w:p w14:paraId="0E327037">
      <w:pPr>
        <w:adjustRightInd w:val="0"/>
        <w:snapToGrid w:val="0"/>
        <w:spacing w:line="480" w:lineRule="exact"/>
        <w:ind w:firstLine="566" w:firstLineChars="236"/>
        <w:rPr>
          <w:rFonts w:ascii="Times New Roman"/>
          <w:bCs/>
          <w:color w:val="000000" w:themeColor="text1"/>
          <w:szCs w:val="24"/>
          <w14:textFill>
            <w14:solidFill>
              <w14:schemeClr w14:val="tx1"/>
            </w14:solidFill>
          </w14:textFill>
        </w:rPr>
      </w:pPr>
      <w:r>
        <w:rPr>
          <w:rFonts w:ascii="Times New Roman"/>
          <w:bCs/>
          <w:color w:val="000000" w:themeColor="text1"/>
          <w:szCs w:val="24"/>
          <w14:textFill>
            <w14:solidFill>
              <w14:schemeClr w14:val="tx1"/>
            </w14:solidFill>
          </w14:textFill>
        </w:rPr>
        <w:t>①建设单位作为固体废物污染防治的责任主体，应建立风险管理及应急救援体系，执行转移联单管理制度及国家和省有关转移管理的相关规定、处置过程安全操作规程、人员培训考核制度、档案管理制度、处置全过程管理制度等。</w:t>
      </w:r>
    </w:p>
    <w:p w14:paraId="292977D3">
      <w:pPr>
        <w:adjustRightInd w:val="0"/>
        <w:snapToGrid w:val="0"/>
        <w:spacing w:line="480" w:lineRule="exact"/>
        <w:ind w:firstLine="566" w:firstLineChars="236"/>
        <w:rPr>
          <w:rFonts w:ascii="Times New Roman"/>
          <w:bCs/>
          <w:color w:val="000000" w:themeColor="text1"/>
          <w:szCs w:val="24"/>
          <w14:textFill>
            <w14:solidFill>
              <w14:schemeClr w14:val="tx1"/>
            </w14:solidFill>
          </w14:textFill>
        </w:rPr>
      </w:pPr>
      <w:r>
        <w:rPr>
          <w:rFonts w:ascii="Times New Roman"/>
          <w:bCs/>
          <w:color w:val="000000" w:themeColor="text1"/>
          <w:szCs w:val="24"/>
          <w14:textFill>
            <w14:solidFill>
              <w14:schemeClr w14:val="tx1"/>
            </w14:solidFill>
          </w14:textFill>
        </w:rPr>
        <w:t>②根据《关于全面开展危险废物转移网上报告工作的通知》（苏环办[2014]44 号）进行危险废物申报登记。建设单位应进行危险废物申报登记。将危险废物的实际产生、贮存、利用、处置等情况纳入生产记录，建立危险废物管理台账和企业内部产生和收集、贮存、转移等部门危险废物交接制度。</w:t>
      </w:r>
    </w:p>
    <w:p w14:paraId="7E2AF27B">
      <w:pPr>
        <w:adjustRightInd w:val="0"/>
        <w:snapToGrid w:val="0"/>
        <w:spacing w:line="480" w:lineRule="exact"/>
        <w:ind w:firstLine="566" w:firstLineChars="236"/>
        <w:rPr>
          <w:rFonts w:ascii="Times New Roman"/>
          <w:bCs/>
          <w:color w:val="000000" w:themeColor="text1"/>
          <w:szCs w:val="24"/>
          <w14:textFill>
            <w14:solidFill>
              <w14:schemeClr w14:val="tx1"/>
            </w14:solidFill>
          </w14:textFill>
        </w:rPr>
      </w:pPr>
      <w:r>
        <w:rPr>
          <w:rFonts w:ascii="Times New Roman"/>
          <w:bCs/>
          <w:color w:val="000000" w:themeColor="text1"/>
          <w:szCs w:val="24"/>
          <w14:textFill>
            <w14:solidFill>
              <w14:schemeClr w14:val="tx1"/>
            </w14:solidFill>
          </w14:textFill>
        </w:rPr>
        <w:t>③规范危险废物贮存场所，按照要求设置警告标志，危废包装、容器和贮存场所应按照《危险废物贮存污染控制标准》（GB18597-2023）有关要求张贴标识。</w:t>
      </w:r>
    </w:p>
    <w:p w14:paraId="6D972F24">
      <w:pPr>
        <w:adjustRightInd w:val="0"/>
        <w:snapToGrid w:val="0"/>
        <w:spacing w:line="480" w:lineRule="exact"/>
        <w:ind w:firstLine="566" w:firstLineChars="236"/>
        <w:rPr>
          <w:rFonts w:ascii="Times New Roman"/>
          <w:bCs/>
          <w:color w:val="000000" w:themeColor="text1"/>
          <w:szCs w:val="24"/>
          <w14:textFill>
            <w14:solidFill>
              <w14:schemeClr w14:val="tx1"/>
            </w14:solidFill>
          </w14:textFill>
        </w:rPr>
      </w:pPr>
      <w:r>
        <w:rPr>
          <w:rFonts w:ascii="Times New Roman"/>
          <w:bCs/>
          <w:color w:val="000000" w:themeColor="text1"/>
          <w:szCs w:val="24"/>
          <w14:textFill>
            <w14:solidFill>
              <w14:schemeClr w14:val="tx1"/>
            </w14:solidFill>
          </w14:textFill>
        </w:rPr>
        <w:t>④建设单位应尽量减少危险固体废物的暂存时间，及时委托有资质公司处理。临时</w:t>
      </w:r>
      <w:r>
        <w:rPr>
          <w:rFonts w:hint="eastAsia" w:ascii="Times New Roman"/>
          <w:bCs/>
          <w:color w:val="000000" w:themeColor="text1"/>
          <w:szCs w:val="24"/>
          <w14:textFill>
            <w14:solidFill>
              <w14:schemeClr w14:val="tx1"/>
            </w14:solidFill>
          </w14:textFill>
        </w:rPr>
        <w:t>暂存</w:t>
      </w:r>
      <w:r>
        <w:rPr>
          <w:rFonts w:ascii="Times New Roman"/>
          <w:bCs/>
          <w:color w:val="000000" w:themeColor="text1"/>
          <w:szCs w:val="24"/>
          <w14:textFill>
            <w14:solidFill>
              <w14:schemeClr w14:val="tx1"/>
            </w14:solidFill>
          </w14:textFill>
        </w:rPr>
        <w:t>期间应根据《江苏省危险废物管理暂行办法》加强管理，危险废物的转运、处理应根据法律法规以及环保部门的具体规定执行。</w:t>
      </w:r>
    </w:p>
    <w:p w14:paraId="486D7865">
      <w:pPr>
        <w:adjustRightInd w:val="0"/>
        <w:snapToGrid w:val="0"/>
        <w:spacing w:line="480" w:lineRule="exact"/>
        <w:ind w:firstLine="566" w:firstLineChars="236"/>
        <w:rPr>
          <w:rFonts w:ascii="Times New Roman"/>
          <w:bCs/>
          <w:color w:val="000000" w:themeColor="text1"/>
          <w:szCs w:val="24"/>
          <w14:textFill>
            <w14:solidFill>
              <w14:schemeClr w14:val="tx1"/>
            </w14:solidFill>
          </w14:textFill>
        </w:rPr>
      </w:pPr>
      <w:r>
        <w:rPr>
          <w:rFonts w:ascii="Times New Roman"/>
          <w:bCs/>
          <w:color w:val="000000" w:themeColor="text1"/>
          <w:szCs w:val="24"/>
          <w14:textFill>
            <w14:solidFill>
              <w14:schemeClr w14:val="tx1"/>
            </w14:solidFill>
          </w14:textFill>
        </w:rPr>
        <w:t>综上所述：本项目产生的危险废物经妥善处理、处置后，可以实现零排放，对周围 环境及人体不会造成影响，亦不会对环境产生二次污染，所采取的治理措施是可行的。</w:t>
      </w:r>
    </w:p>
    <w:p w14:paraId="06D5C5A9">
      <w:pPr>
        <w:pStyle w:val="8"/>
        <w:spacing w:line="480" w:lineRule="exact"/>
      </w:pPr>
      <w:r>
        <w:rPr>
          <w:rFonts w:hint="eastAsia"/>
        </w:rPr>
        <w:t>5</w:t>
      </w:r>
      <w:r>
        <w:t>.</w:t>
      </w:r>
      <w:r>
        <w:rPr>
          <w:rFonts w:hint="eastAsia"/>
        </w:rPr>
        <w:t>5.3.3一般固废</w:t>
      </w:r>
    </w:p>
    <w:p w14:paraId="1B308B48">
      <w:pPr>
        <w:pStyle w:val="49"/>
        <w:spacing w:line="480" w:lineRule="exact"/>
        <w:ind w:firstLine="480"/>
        <w:rPr>
          <w:rFonts w:eastAsia="宋体" w:cs="Times New Roman"/>
          <w:color w:val="000000"/>
          <w:szCs w:val="24"/>
        </w:rPr>
      </w:pPr>
      <w:r>
        <w:rPr>
          <w:rFonts w:eastAsia="宋体" w:cs="Times New Roman"/>
          <w:bCs/>
          <w:color w:val="000000" w:themeColor="text1"/>
          <w:szCs w:val="24"/>
          <w14:textFill>
            <w14:solidFill>
              <w14:schemeClr w14:val="tx1"/>
            </w14:solidFill>
          </w14:textFill>
        </w:rPr>
        <w:t>本项目产生的</w:t>
      </w:r>
      <w:r>
        <w:rPr>
          <w:rFonts w:eastAsia="宋体" w:cs="Times New Roman"/>
          <w:szCs w:val="24"/>
        </w:rPr>
        <w:t>病死鸡25t/a委托</w:t>
      </w:r>
      <w:r>
        <w:rPr>
          <w:rFonts w:eastAsia="宋体" w:cs="Times New Roman"/>
          <w:bCs/>
          <w:szCs w:val="24"/>
        </w:rPr>
        <w:t>泗阳北斗星动物无害化处理有限公司无害化处理，鸡粪4950t/a外售</w:t>
      </w:r>
      <w:r>
        <w:rPr>
          <w:rFonts w:hint="eastAsia" w:eastAsia="宋体" w:cs="Times New Roman"/>
          <w:bCs/>
          <w:szCs w:val="24"/>
          <w:lang w:eastAsia="zh-CN"/>
        </w:rPr>
        <w:t>泗阳巨宇畜禽粪污处理有限公司</w:t>
      </w:r>
      <w:r>
        <w:rPr>
          <w:rFonts w:eastAsia="宋体" w:cs="Times New Roman"/>
          <w:bCs/>
          <w:szCs w:val="24"/>
        </w:rPr>
        <w:t>综合利用，污泥8.4t/a委外资源化利用，</w:t>
      </w:r>
      <w:r>
        <w:rPr>
          <w:rFonts w:eastAsia="宋体" w:cs="Times New Roman"/>
          <w:szCs w:val="24"/>
        </w:rPr>
        <w:t>废包装2t/a、饲料残渣及散落羽毛5t/a</w:t>
      </w:r>
      <w:r>
        <w:rPr>
          <w:rFonts w:eastAsia="宋体" w:cs="Times New Roman"/>
          <w:color w:val="000000"/>
          <w:szCs w:val="24"/>
        </w:rPr>
        <w:t>可由建设单位集中收集外售后综合利用</w:t>
      </w:r>
      <w:r>
        <w:rPr>
          <w:rFonts w:hint="eastAsia" w:eastAsia="宋体" w:cs="Times New Roman"/>
          <w:color w:val="000000"/>
          <w:szCs w:val="24"/>
          <w:lang w:eastAsia="zh-CN"/>
        </w:rPr>
        <w:t>，</w:t>
      </w:r>
      <w:r>
        <w:rPr>
          <w:rFonts w:eastAsia="宋体" w:cs="Times New Roman"/>
          <w:szCs w:val="24"/>
        </w:rPr>
        <w:t>废树脂0.1t/a</w:t>
      </w:r>
      <w:r>
        <w:rPr>
          <w:rFonts w:hint="eastAsia" w:eastAsia="宋体" w:cs="Times New Roman"/>
          <w:szCs w:val="24"/>
          <w:lang w:val="en-US" w:eastAsia="zh-CN"/>
        </w:rPr>
        <w:t>收集后可由生产厂家回收再利用</w:t>
      </w:r>
      <w:r>
        <w:rPr>
          <w:rFonts w:eastAsia="宋体" w:cs="Times New Roman"/>
          <w:color w:val="000000"/>
          <w:szCs w:val="24"/>
        </w:rPr>
        <w:t>。</w:t>
      </w:r>
    </w:p>
    <w:p w14:paraId="055EE4D5">
      <w:pPr>
        <w:pStyle w:val="49"/>
        <w:spacing w:line="480" w:lineRule="exact"/>
        <w:ind w:firstLine="480"/>
        <w:rPr>
          <w:bCs/>
          <w:color w:val="000000" w:themeColor="text1"/>
          <w:szCs w:val="24"/>
          <w14:textFill>
            <w14:solidFill>
              <w14:schemeClr w14:val="tx1"/>
            </w14:solidFill>
          </w14:textFill>
        </w:rPr>
      </w:pPr>
      <w:r>
        <w:rPr>
          <w:rFonts w:eastAsia="宋体" w:cs="Times New Roman"/>
          <w:bCs/>
          <w:color w:val="000000" w:themeColor="text1"/>
          <w:szCs w:val="24"/>
          <w14:textFill>
            <w14:solidFill>
              <w14:schemeClr w14:val="tx1"/>
            </w14:solidFill>
          </w14:textFill>
        </w:rPr>
        <w:t>本项目拟在厂区新建一座50m</w:t>
      </w:r>
      <w:r>
        <w:rPr>
          <w:rFonts w:eastAsia="宋体" w:cs="Times New Roman"/>
          <w:bCs/>
          <w:color w:val="000000" w:themeColor="text1"/>
          <w:szCs w:val="24"/>
          <w:vertAlign w:val="superscript"/>
          <w14:textFill>
            <w14:solidFill>
              <w14:schemeClr w14:val="tx1"/>
            </w14:solidFill>
          </w14:textFill>
        </w:rPr>
        <w:t>2</w:t>
      </w:r>
      <w:r>
        <w:rPr>
          <w:rFonts w:eastAsia="宋体" w:cs="Times New Roman"/>
          <w:bCs/>
          <w:color w:val="000000" w:themeColor="text1"/>
          <w:szCs w:val="24"/>
          <w14:textFill>
            <w14:solidFill>
              <w14:schemeClr w14:val="tx1"/>
            </w14:solidFill>
          </w14:textFill>
        </w:rPr>
        <w:t>的一般固废仓库和一座600m</w:t>
      </w:r>
      <w:r>
        <w:rPr>
          <w:rFonts w:eastAsia="宋体" w:cs="Times New Roman"/>
          <w:bCs/>
          <w:color w:val="000000" w:themeColor="text1"/>
          <w:szCs w:val="24"/>
          <w:vertAlign w:val="superscript"/>
          <w14:textFill>
            <w14:solidFill>
              <w14:schemeClr w14:val="tx1"/>
            </w14:solidFill>
          </w14:textFill>
        </w:rPr>
        <w:t>2</w:t>
      </w:r>
      <w:r>
        <w:rPr>
          <w:rFonts w:eastAsia="宋体" w:cs="Times New Roman"/>
          <w:bCs/>
          <w:color w:val="000000" w:themeColor="text1"/>
          <w:szCs w:val="24"/>
          <w14:textFill>
            <w14:solidFill>
              <w14:schemeClr w14:val="tx1"/>
            </w14:solidFill>
          </w14:textFill>
        </w:rPr>
        <w:t>的鸡粪暂存库，</w:t>
      </w:r>
      <w:r>
        <w:rPr>
          <w:rFonts w:eastAsia="宋体" w:cs="Times New Roman"/>
        </w:rPr>
        <w:t>项目鸡粪日产日清不在鸡粪</w:t>
      </w:r>
      <w:r>
        <w:rPr>
          <w:rFonts w:hint="eastAsia" w:eastAsia="宋体" w:cs="Times New Roman"/>
        </w:rPr>
        <w:t>暂存库</w:t>
      </w:r>
      <w:r>
        <w:rPr>
          <w:rFonts w:eastAsia="宋体" w:cs="Times New Roman"/>
        </w:rPr>
        <w:t>内长时间存放。项目产生</w:t>
      </w:r>
      <w:r>
        <w:rPr>
          <w:rFonts w:eastAsia="宋体" w:cs="Times New Roman"/>
          <w:szCs w:val="24"/>
        </w:rPr>
        <w:t>病死鸡及时送至</w:t>
      </w:r>
      <w:r>
        <w:rPr>
          <w:rFonts w:eastAsia="宋体" w:cs="Times New Roman"/>
          <w:bCs/>
          <w:szCs w:val="24"/>
        </w:rPr>
        <w:t>泗阳北斗星动物无害化处理有限公司</w:t>
      </w:r>
      <w:r>
        <w:rPr>
          <w:rFonts w:eastAsia="宋体" w:cs="Times New Roman"/>
          <w:szCs w:val="24"/>
        </w:rPr>
        <w:t>进行处理，如遇特殊情况无法出场，则暂存于固废间的冰柜中制冷，而后再运送至</w:t>
      </w:r>
      <w:r>
        <w:rPr>
          <w:rFonts w:eastAsia="宋体" w:cs="Times New Roman"/>
          <w:bCs/>
          <w:szCs w:val="24"/>
        </w:rPr>
        <w:t>泗阳北斗星动物无害化处理有限公司</w:t>
      </w:r>
      <w:r>
        <w:rPr>
          <w:rFonts w:eastAsia="宋体" w:cs="Times New Roman"/>
          <w:szCs w:val="24"/>
        </w:rPr>
        <w:t>进行无害化处置</w:t>
      </w:r>
      <w:r>
        <w:rPr>
          <w:rFonts w:hint="eastAsia" w:eastAsia="宋体" w:cs="Times New Roman"/>
          <w:szCs w:val="24"/>
        </w:rPr>
        <w:t>，其余</w:t>
      </w:r>
      <w:r>
        <w:rPr>
          <w:bCs/>
          <w:color w:val="000000" w:themeColor="text1"/>
          <w:szCs w:val="24"/>
          <w14:textFill>
            <w14:solidFill>
              <w14:schemeClr w14:val="tx1"/>
            </w14:solidFill>
          </w14:textFill>
        </w:rPr>
        <w:t>一般固废依托</w:t>
      </w:r>
      <w:r>
        <w:rPr>
          <w:rFonts w:hint="eastAsia"/>
          <w:bCs/>
          <w:color w:val="000000" w:themeColor="text1"/>
          <w:szCs w:val="24"/>
          <w14:textFill>
            <w14:solidFill>
              <w14:schemeClr w14:val="tx1"/>
            </w14:solidFill>
          </w14:textFill>
        </w:rPr>
        <w:t>拟新建的5</w:t>
      </w:r>
      <w:r>
        <w:rPr>
          <w:bCs/>
          <w:color w:val="000000" w:themeColor="text1"/>
          <w:szCs w:val="24"/>
          <w14:textFill>
            <w14:solidFill>
              <w14:schemeClr w14:val="tx1"/>
            </w14:solidFill>
          </w14:textFill>
        </w:rPr>
        <w:t>0m</w:t>
      </w:r>
      <w:r>
        <w:rPr>
          <w:bCs/>
          <w:color w:val="000000" w:themeColor="text1"/>
          <w:szCs w:val="24"/>
          <w:vertAlign w:val="superscript"/>
          <w14:textFill>
            <w14:solidFill>
              <w14:schemeClr w14:val="tx1"/>
            </w14:solidFill>
          </w14:textFill>
        </w:rPr>
        <w:t>2</w:t>
      </w:r>
      <w:r>
        <w:rPr>
          <w:bCs/>
          <w:color w:val="000000" w:themeColor="text1"/>
          <w:szCs w:val="24"/>
          <w14:textFill>
            <w14:solidFill>
              <w14:schemeClr w14:val="tx1"/>
            </w14:solidFill>
          </w14:textFill>
        </w:rPr>
        <w:t>的一般固废仓库暂存</w:t>
      </w:r>
      <w:r>
        <w:rPr>
          <w:rFonts w:hint="eastAsia"/>
          <w:bCs/>
          <w:color w:val="000000" w:themeColor="text1"/>
          <w:szCs w:val="24"/>
          <w14:textFill>
            <w14:solidFill>
              <w14:schemeClr w14:val="tx1"/>
            </w14:solidFill>
          </w14:textFill>
        </w:rPr>
        <w:t>，</w:t>
      </w:r>
      <w:r>
        <w:rPr>
          <w:bCs/>
          <w:color w:val="000000" w:themeColor="text1"/>
          <w:szCs w:val="24"/>
          <w14:textFill>
            <w14:solidFill>
              <w14:schemeClr w14:val="tx1"/>
            </w14:solidFill>
          </w14:textFill>
        </w:rPr>
        <w:t>可满足本项目一般固废暂存需要</w:t>
      </w:r>
      <w:r>
        <w:rPr>
          <w:rFonts w:hint="eastAsia"/>
          <w:bCs/>
          <w:color w:val="000000" w:themeColor="text1"/>
          <w:szCs w:val="24"/>
          <w14:textFill>
            <w14:solidFill>
              <w14:schemeClr w14:val="tx1"/>
            </w14:solidFill>
          </w14:textFill>
        </w:rPr>
        <w:t>。</w:t>
      </w:r>
      <w:r>
        <w:rPr>
          <w:bCs/>
          <w:color w:val="000000" w:themeColor="text1"/>
          <w:szCs w:val="24"/>
          <w14:textFill>
            <w14:solidFill>
              <w14:schemeClr w14:val="tx1"/>
            </w14:solidFill>
          </w14:textFill>
        </w:rPr>
        <w:t>项目一般固废暂存场所采取防火、防扬散、防流失措施，地面硬化并进行防渗、防腐处理。项目固废经采取合理处置措施，不外排，因此对周围环境基本无影响。</w:t>
      </w:r>
    </w:p>
    <w:p w14:paraId="3695ABC4">
      <w:pPr>
        <w:pStyle w:val="7"/>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5.5.4固体废物处置的管理对策和建议</w:t>
      </w:r>
    </w:p>
    <w:p w14:paraId="4919EB6D">
      <w:pPr>
        <w:adjustRightInd w:val="0"/>
        <w:snapToGrid w:val="0"/>
        <w:spacing w:line="480" w:lineRule="exact"/>
        <w:ind w:firstLine="480" w:firstLineChars="200"/>
        <w:rPr>
          <w:rFonts w:ascii="Times New Roman" w:hAnsi="Times New Roman" w:eastAsia="宋体" w:cs="Times New Roman"/>
          <w:color w:val="000000"/>
          <w:szCs w:val="24"/>
        </w:rPr>
      </w:pPr>
      <w:r>
        <w:rPr>
          <w:rFonts w:ascii="Times New Roman" w:hAnsi="Times New Roman" w:eastAsia="宋体" w:cs="Times New Roman"/>
          <w:color w:val="000000"/>
          <w:szCs w:val="24"/>
        </w:rPr>
        <w:t>根据《国家危险废物名录》，危废在外运前，危险废物的收集、暂存和保管均应符合《危险废物贮存污染控制标准》（GB18597-2023）要求：</w:t>
      </w:r>
    </w:p>
    <w:p w14:paraId="71E282F8">
      <w:pPr>
        <w:adjustRightInd w:val="0"/>
        <w:snapToGrid w:val="0"/>
        <w:spacing w:line="480" w:lineRule="exact"/>
        <w:ind w:firstLine="480" w:firstLineChars="200"/>
        <w:rPr>
          <w:rFonts w:ascii="Times New Roman" w:hAnsi="Times New Roman" w:eastAsia="宋体" w:cs="Times New Roman"/>
          <w:color w:val="000000"/>
          <w:szCs w:val="24"/>
        </w:rPr>
      </w:pPr>
      <w:r>
        <w:rPr>
          <w:rFonts w:ascii="Times New Roman" w:hAnsi="Times New Roman" w:eastAsia="宋体" w:cs="Times New Roman"/>
          <w:color w:val="000000"/>
          <w:szCs w:val="24"/>
        </w:rPr>
        <w:t>1、危险废物的储存容器均应具有耐腐蚀、耐压、密封和不与所贮存的废物发生反应等特性；</w:t>
      </w:r>
    </w:p>
    <w:p w14:paraId="72F34F61">
      <w:pPr>
        <w:adjustRightInd w:val="0"/>
        <w:snapToGrid w:val="0"/>
        <w:spacing w:line="480" w:lineRule="exact"/>
        <w:ind w:firstLine="480" w:firstLineChars="200"/>
        <w:rPr>
          <w:rFonts w:ascii="Times New Roman" w:hAnsi="Times New Roman" w:eastAsia="宋体" w:cs="Times New Roman"/>
          <w:color w:val="000000"/>
          <w:szCs w:val="24"/>
        </w:rPr>
      </w:pPr>
      <w:r>
        <w:rPr>
          <w:rFonts w:ascii="Times New Roman" w:hAnsi="Times New Roman" w:eastAsia="宋体" w:cs="Times New Roman"/>
          <w:color w:val="000000"/>
          <w:szCs w:val="24"/>
        </w:rPr>
        <w:t>2、贮存容器保证完好无损并具有明显标志；</w:t>
      </w:r>
    </w:p>
    <w:p w14:paraId="7658B1D6">
      <w:pPr>
        <w:adjustRightInd w:val="0"/>
        <w:snapToGrid w:val="0"/>
        <w:spacing w:line="480" w:lineRule="exact"/>
        <w:ind w:firstLine="480" w:firstLineChars="200"/>
        <w:rPr>
          <w:rFonts w:ascii="Times New Roman" w:hAnsi="Times New Roman" w:eastAsia="宋体" w:cs="Times New Roman"/>
          <w:color w:val="000000"/>
          <w:szCs w:val="24"/>
        </w:rPr>
      </w:pPr>
      <w:r>
        <w:rPr>
          <w:rFonts w:ascii="Times New Roman" w:hAnsi="Times New Roman" w:eastAsia="宋体" w:cs="Times New Roman"/>
          <w:color w:val="000000"/>
          <w:szCs w:val="24"/>
        </w:rPr>
        <w:t>3、不相容的危险废物均分开存放；</w:t>
      </w:r>
    </w:p>
    <w:p w14:paraId="1A2038F3">
      <w:pPr>
        <w:adjustRightInd w:val="0"/>
        <w:snapToGrid w:val="0"/>
        <w:spacing w:line="480" w:lineRule="exact"/>
        <w:ind w:firstLine="480" w:firstLineChars="200"/>
        <w:rPr>
          <w:rFonts w:ascii="Times New Roman" w:hAnsi="Times New Roman" w:eastAsia="宋体" w:cs="Times New Roman"/>
          <w:color w:val="000000"/>
          <w:szCs w:val="24"/>
        </w:rPr>
      </w:pPr>
      <w:r>
        <w:rPr>
          <w:rFonts w:ascii="Times New Roman" w:hAnsi="Times New Roman" w:eastAsia="宋体" w:cs="Times New Roman"/>
          <w:color w:val="000000"/>
          <w:szCs w:val="24"/>
        </w:rPr>
        <w:t>4、储存场地设置危险废物明显标志，危险废物暂存场所应设有符合《危险废物识别标志设置技术规范》（HJ 1276-2022）的识别标志。</w:t>
      </w:r>
    </w:p>
    <w:p w14:paraId="74CEA41B">
      <w:pPr>
        <w:adjustRightInd w:val="0"/>
        <w:snapToGrid w:val="0"/>
        <w:spacing w:line="480" w:lineRule="exact"/>
        <w:ind w:firstLine="480" w:firstLineChars="200"/>
        <w:rPr>
          <w:rFonts w:ascii="Times New Roman" w:hAnsi="Times New Roman" w:eastAsia="宋体" w:cs="Times New Roman"/>
          <w:color w:val="000000"/>
          <w:szCs w:val="24"/>
        </w:rPr>
      </w:pPr>
      <w:r>
        <w:rPr>
          <w:rFonts w:ascii="Times New Roman" w:hAnsi="Times New Roman" w:eastAsia="宋体" w:cs="Times New Roman"/>
          <w:color w:val="000000"/>
          <w:szCs w:val="24"/>
        </w:rPr>
        <w:t>5、禁止将危险废物与一般固体废物、生活垃圾及其它废物混合堆放。</w:t>
      </w:r>
    </w:p>
    <w:p w14:paraId="3B2DF55D">
      <w:pPr>
        <w:adjustRightInd w:val="0"/>
        <w:snapToGrid w:val="0"/>
        <w:spacing w:line="480" w:lineRule="exact"/>
        <w:ind w:firstLine="480" w:firstLineChars="200"/>
        <w:rPr>
          <w:rFonts w:ascii="Times New Roman" w:hAnsi="Times New Roman" w:eastAsia="宋体" w:cs="Times New Roman"/>
          <w:color w:val="000000"/>
          <w:szCs w:val="24"/>
        </w:rPr>
      </w:pPr>
      <w:r>
        <w:rPr>
          <w:rFonts w:ascii="Times New Roman" w:hAnsi="Times New Roman" w:eastAsia="宋体" w:cs="Times New Roman"/>
          <w:color w:val="000000"/>
          <w:szCs w:val="24"/>
        </w:rPr>
        <w:t>项目应设有专人专职负责危险废物的收集、暂存和保管，加强对危险废物的管理，保证得到及时处理，防止造成二次污染。固体废物处理处置前在厂内的堆放、贮存场所应按照国家固体废物贮存有关要求设置，危险废物应分类收集、贮存，防止危险废物与一般工业固体废物、生活垃圾混放后，引发危险废物的二次污染；各种固体废物在厂内堆放和转移输运过程应防止对环境造成影响，堆放场所采取防火、防扬散、防流失、防渗漏或者其他防止污染环境的措施后，降低对环境的影响。</w:t>
      </w:r>
    </w:p>
    <w:p w14:paraId="606F91A6">
      <w:pPr>
        <w:pStyle w:val="4"/>
        <w:spacing w:after="0" w:line="480" w:lineRule="exact"/>
        <w:jc w:val="both"/>
        <w:rPr>
          <w:color w:val="000000" w:themeColor="text1"/>
          <w14:textFill>
            <w14:solidFill>
              <w14:schemeClr w14:val="tx1"/>
            </w14:solidFill>
          </w14:textFill>
        </w:rPr>
      </w:pPr>
      <w:bookmarkStart w:id="123" w:name="_Toc21013"/>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地下水环境影响评价</w:t>
      </w:r>
      <w:bookmarkEnd w:id="123"/>
    </w:p>
    <w:p w14:paraId="2B8FD4A9">
      <w:pPr>
        <w:widowControl/>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污染物对地下水的影响主要是由于降雨或废水排放等通过垂直渗透进入包气带，进入包气带的污染物在物理、化学和生物作用下经吸附、转化、迁移和分解后进入地下水。因此，包气带是联接地面污染物与地下含水层的主要通道和过渡带，既是污染物媒介体，又是污染物的净化场所和防护层。地下水能否被污染以及污染物的种类和性质。一般说来，土壤粒细而紧密，渗透性差，则污染慢；反之，颗粒大松散，渗透性能良好则污染重。</w:t>
      </w:r>
    </w:p>
    <w:p w14:paraId="7A2F003D">
      <w:pPr>
        <w:pStyle w:val="7"/>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项目场地工程地质及水文地质条件</w:t>
      </w:r>
    </w:p>
    <w:p w14:paraId="1F47B21C">
      <w:pPr>
        <w:pStyle w:val="82"/>
        <w:spacing w:line="480" w:lineRule="exact"/>
        <w:rPr>
          <w:rFonts w:cs="Times New Roman"/>
          <w:color w:val="auto"/>
        </w:rPr>
      </w:pPr>
      <w:r>
        <w:rPr>
          <w:rFonts w:cs="Times New Roman"/>
          <w:color w:val="auto"/>
        </w:rPr>
        <w:t>评价范围在区域上属于</w:t>
      </w:r>
      <w:r>
        <w:rPr>
          <w:rFonts w:hint="eastAsia" w:cs="Times New Roman"/>
          <w:color w:val="auto"/>
        </w:rPr>
        <w:t>宿迁市</w:t>
      </w:r>
      <w:r>
        <w:rPr>
          <w:rFonts w:cs="Times New Roman"/>
          <w:color w:val="auto"/>
        </w:rPr>
        <w:t>，对区域地下水环境概况进行资料调查及现场勘察后概述如下。</w:t>
      </w:r>
    </w:p>
    <w:p w14:paraId="63539CBF">
      <w:pPr>
        <w:pStyle w:val="82"/>
        <w:spacing w:line="480" w:lineRule="exact"/>
        <w:rPr>
          <w:rFonts w:cs="Times New Roman"/>
          <w:color w:val="auto"/>
        </w:rPr>
      </w:pPr>
      <w:r>
        <w:rPr>
          <w:rFonts w:hint="eastAsia" w:cs="Times New Roman"/>
          <w:color w:val="auto"/>
        </w:rPr>
        <w:t>宿迁市</w:t>
      </w:r>
      <w:r>
        <w:rPr>
          <w:rFonts w:cs="Times New Roman"/>
          <w:color w:val="auto"/>
        </w:rPr>
        <w:t>境内地势平坦，岩性大多为粉砂、亚粘土、亚砂土组成。在150m深度内，孔隙水发育；根据含水层岩性、成因时代及水力特征，一般可分为潜水含水层、一、二承压含水层（组）。</w:t>
      </w:r>
    </w:p>
    <w:p w14:paraId="6CFF270D">
      <w:pPr>
        <w:pStyle w:val="82"/>
        <w:spacing w:line="480" w:lineRule="exact"/>
        <w:rPr>
          <w:rFonts w:cs="Times New Roman"/>
          <w:color w:val="auto"/>
        </w:rPr>
      </w:pPr>
      <w:r>
        <w:rPr>
          <w:rFonts w:cs="Times New Roman"/>
          <w:color w:val="auto"/>
        </w:rPr>
        <w:t>（1）全新统冲积潜水含水层：</w:t>
      </w:r>
    </w:p>
    <w:p w14:paraId="05848B53">
      <w:pPr>
        <w:pStyle w:val="82"/>
        <w:spacing w:line="480" w:lineRule="exact"/>
        <w:rPr>
          <w:rFonts w:cs="Times New Roman"/>
          <w:color w:val="auto"/>
        </w:rPr>
      </w:pPr>
      <w:r>
        <w:rPr>
          <w:rFonts w:cs="Times New Roman"/>
          <w:color w:val="auto"/>
        </w:rPr>
        <w:t>境内均有分布，岩性主要为淡黄色，淡灰色，松散的亚砂土或粉砂，间夹有薄层亚粘土透镜体。含水层厚度一般在5～10m，水位埋深在2～3m。含水层底板为含钙质结核及铁锰质结核之褐黄色亚粘土。单位涌水量为0.02～0.04L/s•m，矿化度为0.5～1.0g/L。潜水与地表水有互相补给的关系。</w:t>
      </w:r>
    </w:p>
    <w:p w14:paraId="02F1D02F">
      <w:pPr>
        <w:pStyle w:val="82"/>
        <w:numPr>
          <w:ilvl w:val="0"/>
          <w:numId w:val="11"/>
        </w:numPr>
        <w:spacing w:line="480" w:lineRule="exact"/>
        <w:rPr>
          <w:rFonts w:cs="Times New Roman"/>
          <w:color w:val="auto"/>
        </w:rPr>
      </w:pPr>
      <w:r>
        <w:rPr>
          <w:rFonts w:cs="Times New Roman"/>
          <w:color w:val="auto"/>
        </w:rPr>
        <w:t>中上更新统第一承压含水层：</w:t>
      </w:r>
    </w:p>
    <w:p w14:paraId="31B68622">
      <w:pPr>
        <w:pStyle w:val="82"/>
        <w:spacing w:line="480" w:lineRule="exact"/>
        <w:rPr>
          <w:rFonts w:cs="Times New Roman"/>
          <w:color w:val="auto"/>
        </w:rPr>
      </w:pPr>
      <w:r>
        <w:rPr>
          <w:rFonts w:cs="Times New Roman"/>
          <w:color w:val="auto"/>
        </w:rPr>
        <w:t>境内均有分布，顶板埋深30～40m，主要岩性为黄褐色松散的中砂，粗砂层。厚度一般10～20m，富水性较好，单位涌水量为0.75～1.5L/s•m，水质为重碳酸钙水，矿化度为0.5g/L左右。pH值7.5～8。承压水水头一般在标高19～22.5m。</w:t>
      </w:r>
    </w:p>
    <w:p w14:paraId="6567F330">
      <w:pPr>
        <w:pStyle w:val="82"/>
        <w:spacing w:line="480" w:lineRule="exact"/>
        <w:rPr>
          <w:rFonts w:cs="Times New Roman"/>
          <w:color w:val="auto"/>
        </w:rPr>
      </w:pPr>
      <w:r>
        <w:rPr>
          <w:rFonts w:cs="Times New Roman"/>
          <w:color w:val="auto"/>
        </w:rPr>
        <w:t>（3）新第三系第二承压含水层（组）：</w:t>
      </w:r>
    </w:p>
    <w:p w14:paraId="6897889A">
      <w:pPr>
        <w:pStyle w:val="82"/>
        <w:spacing w:line="480" w:lineRule="exact"/>
        <w:rPr>
          <w:rFonts w:cs="Times New Roman"/>
          <w:color w:val="auto"/>
        </w:rPr>
      </w:pPr>
      <w:r>
        <w:rPr>
          <w:rFonts w:cs="Times New Roman"/>
          <w:color w:val="auto"/>
        </w:rPr>
        <w:t>境内均有分布，顶板埋深40～50m，主要由上新统灰白、灰绿色中砂、细砂、粗砂组成。且含砾石，成分以石英为主，长石多被风化为高岭土。各含水层之间有4～6m之灰白、灰绿色亚粘土透镜体。含水组厚度达30～50m，是一个很好的含水组，其顶板为第四系黄褐色亚粘土。单位涌水量为1.5～5.0L/s•m。单井最大出水量可达3500m</w:t>
      </w:r>
      <w:r>
        <w:rPr>
          <w:rFonts w:cs="Times New Roman"/>
          <w:color w:val="auto"/>
          <w:vertAlign w:val="superscript"/>
        </w:rPr>
        <w:t>3</w:t>
      </w:r>
      <w:r>
        <w:rPr>
          <w:rFonts w:cs="Times New Roman"/>
          <w:color w:val="auto"/>
        </w:rPr>
        <w:t>/d。水质为重碳酸氯化物钙钠或钙镁水。矿化度在0.3～0.7g/L。pH值7～7.5，承压水头一般在标高19.8～21.5m，与第一层含水层间有稳定隔水层存在。</w:t>
      </w:r>
    </w:p>
    <w:p w14:paraId="76EED814">
      <w:pPr>
        <w:pStyle w:val="82"/>
        <w:spacing w:line="480" w:lineRule="exact"/>
        <w:rPr>
          <w:rFonts w:cs="Times New Roman"/>
          <w:color w:val="auto"/>
        </w:rPr>
      </w:pPr>
      <w:r>
        <w:rPr>
          <w:rFonts w:cs="Times New Roman"/>
          <w:color w:val="auto"/>
        </w:rPr>
        <w:t>（4）场地地层概况</w:t>
      </w:r>
    </w:p>
    <w:p w14:paraId="40786CE6">
      <w:pPr>
        <w:pStyle w:val="82"/>
        <w:spacing w:line="480" w:lineRule="exact"/>
        <w:rPr>
          <w:rFonts w:cs="Times New Roman"/>
          <w:color w:val="auto"/>
        </w:rPr>
      </w:pPr>
      <w:r>
        <w:rPr>
          <w:rFonts w:cs="Times New Roman"/>
          <w:color w:val="auto"/>
        </w:rPr>
        <w:t>该区域地质条件均一稳定，拟建场地30.45m深度范围内的地基土属第四纪全新世（Qa）及晚更新世（Q3）沉积层，主要由粘性土、粉土及砂土组成，沉积类型以冲积为主，其次为湖积、湖沼积、冲湖积，按其沉积年代、成因类型及其物理力学性质的差异可划分为①、②、③、⑤、⑥、⑦、⑨及⑩等8个主要层次，其中①、⑦、⑨层根据土性差异再细分为若干亚层。剖面图见</w:t>
      </w:r>
      <w:r>
        <w:rPr>
          <w:rFonts w:cs="Times New Roman"/>
          <w:b/>
          <w:bCs/>
          <w:color w:val="auto"/>
        </w:rPr>
        <w:t>图5.</w:t>
      </w:r>
      <w:r>
        <w:rPr>
          <w:rFonts w:hint="eastAsia" w:cs="Times New Roman"/>
          <w:b/>
          <w:bCs/>
          <w:color w:val="auto"/>
        </w:rPr>
        <w:t>6</w:t>
      </w:r>
      <w:r>
        <w:rPr>
          <w:rFonts w:cs="Times New Roman"/>
          <w:b/>
          <w:bCs/>
          <w:color w:val="auto"/>
        </w:rPr>
        <w:t>-1</w:t>
      </w:r>
      <w:r>
        <w:rPr>
          <w:rFonts w:cs="Times New Roman"/>
          <w:color w:val="auto"/>
        </w:rPr>
        <w:t>和</w:t>
      </w:r>
      <w:r>
        <w:rPr>
          <w:rFonts w:cs="Times New Roman"/>
          <w:b/>
          <w:bCs/>
          <w:color w:val="auto"/>
        </w:rPr>
        <w:t>图5.</w:t>
      </w:r>
      <w:r>
        <w:rPr>
          <w:rFonts w:hint="eastAsia" w:cs="Times New Roman"/>
          <w:b/>
          <w:bCs/>
          <w:color w:val="auto"/>
        </w:rPr>
        <w:t>6</w:t>
      </w:r>
      <w:r>
        <w:rPr>
          <w:rFonts w:cs="Times New Roman"/>
          <w:b/>
          <w:bCs/>
          <w:color w:val="auto"/>
        </w:rPr>
        <w:t>-2</w:t>
      </w:r>
      <w:r>
        <w:rPr>
          <w:rFonts w:cs="Times New Roman"/>
          <w:color w:val="auto"/>
        </w:rPr>
        <w:t>。详见下列描述：</w:t>
      </w:r>
    </w:p>
    <w:p w14:paraId="4629603C">
      <w:pPr>
        <w:pStyle w:val="82"/>
        <w:spacing w:line="480" w:lineRule="exact"/>
        <w:rPr>
          <w:rFonts w:cs="Times New Roman"/>
          <w:color w:val="auto"/>
        </w:rPr>
      </w:pPr>
      <w:r>
        <w:rPr>
          <w:rFonts w:cs="Times New Roman"/>
          <w:color w:val="auto"/>
        </w:rPr>
        <w:t>第①1层素填土，以粉土为主，夹粘性土、植物根茎，场地东北侧表层为新近填土，东南角表层以碎混凝土块、砖块等建筑垃圾为主。一般层厚在0.60m~3.0m之间，平均层厚约为1.37m。</w:t>
      </w:r>
    </w:p>
    <w:p w14:paraId="39CF7455">
      <w:pPr>
        <w:pStyle w:val="82"/>
        <w:spacing w:line="480" w:lineRule="exact"/>
        <w:rPr>
          <w:rFonts w:cs="Times New Roman"/>
          <w:color w:val="auto"/>
        </w:rPr>
      </w:pPr>
      <w:r>
        <w:rPr>
          <w:rFonts w:cs="Times New Roman"/>
          <w:color w:val="auto"/>
        </w:rPr>
        <w:t>第①2层洪填土，含腐殖物、有机质等，主要为粉土与淤泥的混合物。分布于暗洪区域。一般层厚在0.40m~1.70m之间，平均层厚约为0.80m。</w:t>
      </w:r>
    </w:p>
    <w:p w14:paraId="4425BD4A">
      <w:pPr>
        <w:pStyle w:val="82"/>
        <w:spacing w:line="480" w:lineRule="exact"/>
        <w:rPr>
          <w:rFonts w:cs="Times New Roman"/>
          <w:color w:val="auto"/>
        </w:rPr>
      </w:pPr>
      <w:r>
        <w:rPr>
          <w:rFonts w:cs="Times New Roman"/>
          <w:color w:val="auto"/>
        </w:rPr>
        <w:t>第②层粉土，灰黄色，含云母、贝壳碎屑，夹少量粘性土。稍密一中密状态，中等压缩性，土性尚均匀。层顶埋深一般在自然地面以下0.60m-3.30m之间，相应层顶标高在18.75m-21.74m之间，一般层厚在0.80m-2.80m之间，平均层厚约为1.78m。局部填土较厚区域缺失。</w:t>
      </w:r>
    </w:p>
    <w:p w14:paraId="255D62A7">
      <w:pPr>
        <w:pStyle w:val="82"/>
        <w:spacing w:line="480" w:lineRule="exact"/>
        <w:rPr>
          <w:rFonts w:cs="Times New Roman"/>
          <w:color w:val="auto"/>
        </w:rPr>
      </w:pPr>
      <w:r>
        <w:rPr>
          <w:rFonts w:cs="Times New Roman"/>
          <w:color w:val="auto"/>
        </w:rPr>
        <w:t>第③层粉上夹粉质粘土，灰黄一灰色，含云母、贝壳碎屑，夹多量粘性土。稍密至中密状态，中等压缩性，土性不均匀。层顶埋深一般在自然地面以下1.90m~4.10m之间，相应层顶标高在18.26m~20.26m之间，一般层厚在1.40m~4.50m之间，平均层厚约为2.99m。</w:t>
      </w:r>
    </w:p>
    <w:p w14:paraId="5609F695">
      <w:pPr>
        <w:pStyle w:val="82"/>
        <w:spacing w:line="480" w:lineRule="exact"/>
        <w:rPr>
          <w:rFonts w:cs="Times New Roman"/>
          <w:color w:val="auto"/>
        </w:rPr>
      </w:pPr>
      <w:r>
        <w:rPr>
          <w:rFonts w:cs="Times New Roman"/>
          <w:color w:val="auto"/>
        </w:rPr>
        <w:t>第⑤层淤泥质粉质粘土，灰色，含云母、有机质，局部夹少量粉土薄层。流塑状态，高等压缩性，土性尚均匀。层顶埋深一般在自然地面以下4.70m-7.50m之间，相应层顶标高在14.76m-17.51m之间，一般层厚在2.20m-5.70m之间，平均层厚约为3.37m。</w:t>
      </w:r>
    </w:p>
    <w:p w14:paraId="542EC108">
      <w:pPr>
        <w:pStyle w:val="82"/>
        <w:spacing w:line="480" w:lineRule="exact"/>
        <w:rPr>
          <w:rFonts w:cs="Times New Roman"/>
          <w:color w:val="auto"/>
        </w:rPr>
      </w:pPr>
      <w:r>
        <w:rPr>
          <w:rFonts w:cs="Times New Roman"/>
          <w:color w:val="auto"/>
        </w:rPr>
        <w:t>第⑥层粘土，青灰一灰黄色，含氧化铁结核、具灰色条纹，局部层底夹少量粉土。可塑一硬塑状态，中等压缩性，土性均匀。层顶埋深一般在自然地面以下8.50m~11.10m之问，相应层顶标高在11.51m~13.68m之间，一般层厚在1.30m~5.00m之间，平均层厚约为2.86m。</w:t>
      </w:r>
    </w:p>
    <w:p w14:paraId="1CD4EA16">
      <w:pPr>
        <w:pStyle w:val="82"/>
        <w:spacing w:line="480" w:lineRule="exact"/>
        <w:rPr>
          <w:rFonts w:cs="Times New Roman"/>
          <w:color w:val="auto"/>
        </w:rPr>
      </w:pPr>
      <w:r>
        <w:rPr>
          <w:rFonts w:cs="Times New Roman"/>
          <w:color w:val="auto"/>
        </w:rPr>
        <w:t>第⑦层可根据土性差异分为两个亚层：</w:t>
      </w:r>
    </w:p>
    <w:p w14:paraId="6B90BFE7">
      <w:pPr>
        <w:pStyle w:val="82"/>
        <w:spacing w:line="480" w:lineRule="exact"/>
        <w:rPr>
          <w:rFonts w:cs="Times New Roman"/>
          <w:color w:val="auto"/>
        </w:rPr>
      </w:pPr>
      <w:r>
        <w:rPr>
          <w:rFonts w:cs="Times New Roman"/>
          <w:color w:val="auto"/>
        </w:rPr>
        <w:t>第⑦1层粉土，灰黄色，含云母、贝壳碎屑，局部夹多量粘性土薄层。中密~密实状态，中等压缩性，土性欠均匀。层顶埋深一般在自然地面以下11.00m-14.60m之间，相应层顶标高在7.40m-10.89m之间，一般层厚在0.60m-4.30m之间，平均层厚约为2.65m，场地东侧局部区域缺失该层；</w:t>
      </w:r>
    </w:p>
    <w:p w14:paraId="0DFACE91">
      <w:pPr>
        <w:pStyle w:val="82"/>
        <w:spacing w:line="480" w:lineRule="exact"/>
        <w:rPr>
          <w:rFonts w:cs="Times New Roman"/>
          <w:color w:val="auto"/>
        </w:rPr>
      </w:pPr>
      <w:r>
        <w:rPr>
          <w:rFonts w:cs="Times New Roman"/>
          <w:color w:val="auto"/>
        </w:rPr>
        <w:t>第⑦2层粉质粘土，灰黄色，含氧化铁结核、云母碎屑，局部夹少量粉土。可塑状态，中等压缩性，土性尚均匀。层顶埋深一般在自然地面以下11.50m~17.90m之间，相应层顶标高在6.09m~10.53m之问，一般层厚在0.90m~4.50m之间，平均层厚约为2.23m，场地东侧第⑨2层分布区域多缺失该层。</w:t>
      </w:r>
    </w:p>
    <w:p w14:paraId="61760EE7">
      <w:pPr>
        <w:pStyle w:val="82"/>
        <w:spacing w:line="480" w:lineRule="exact"/>
        <w:rPr>
          <w:rFonts w:cs="Times New Roman"/>
          <w:color w:val="auto"/>
        </w:rPr>
      </w:pPr>
      <w:r>
        <w:rPr>
          <w:rFonts w:cs="Times New Roman"/>
          <w:color w:val="auto"/>
        </w:rPr>
        <w:t>第⑨层可根据土性差异分为三个亚层：</w:t>
      </w:r>
    </w:p>
    <w:p w14:paraId="398B6CB7">
      <w:pPr>
        <w:pStyle w:val="82"/>
        <w:spacing w:line="480" w:lineRule="exact"/>
        <w:rPr>
          <w:rFonts w:cs="Times New Roman"/>
          <w:color w:val="auto"/>
        </w:rPr>
      </w:pPr>
      <w:r>
        <w:rPr>
          <w:rFonts w:cs="Times New Roman"/>
          <w:color w:val="auto"/>
        </w:rPr>
        <w:t>第⑨1层粉质粘土夹粉土，灰黄色，含氧化铁结核、具灰色条纹，局部层顶夹少量粉土薄层、结石等。可塑状态，中等压缩性，土性尚均匀。层顶埋深一般在自然地面以下15.20m~19.20m之间，相应层顶标高3.73m}-6.86m之间，一般层厚在l.l0m~6.00m之间，平均层厚约为4.02m；</w:t>
      </w:r>
    </w:p>
    <w:p w14:paraId="57AA07E8">
      <w:pPr>
        <w:pStyle w:val="82"/>
        <w:spacing w:line="480" w:lineRule="exact"/>
        <w:rPr>
          <w:rFonts w:cs="Times New Roman"/>
          <w:color w:val="auto"/>
        </w:rPr>
      </w:pPr>
      <w:r>
        <w:rPr>
          <w:rFonts w:cs="Times New Roman"/>
          <w:color w:val="auto"/>
        </w:rPr>
        <w:t>第⑨2层粉砂，灰黄色，由石英、长石、云母等矿物组成，夹粘性土、结石等，以粗颗粒为主。密实状态，中等一低等压缩性，级配不良，土性均匀致密。层顶埋深一般在自然地面以下13.50m~21.90m之间，相应层顶标高在0.31m~9.11m之间，一般层厚在1.40m~9.50m之间，平均层厚约为6.93m。分布于场地东侧；</w:t>
      </w:r>
    </w:p>
    <w:p w14:paraId="396774F8">
      <w:pPr>
        <w:pStyle w:val="82"/>
        <w:spacing w:line="480" w:lineRule="exact"/>
        <w:rPr>
          <w:rFonts w:cs="Times New Roman"/>
          <w:color w:val="auto"/>
        </w:rPr>
      </w:pPr>
      <w:r>
        <w:rPr>
          <w:rFonts w:cs="Times New Roman"/>
          <w:color w:val="auto"/>
        </w:rPr>
        <w:t>第⑨3层粘土，灰黄色，含氧化铁结核、具灰色条纹，在22m~25m深度夹多量结石，结石粒径一般约1cm~11cm。可塑一硬塑状态，中等压缩性，土性尚均匀。层顶埋深一般在自然地面以下20.10m~23.90m之间，相应层顶标高在一1.55m~-1.92m之间，一般层厚在5.70m~9.10m之间，平均层厚约为7.41m，本次勘察局部区域未揭穿该层。</w:t>
      </w:r>
    </w:p>
    <w:p w14:paraId="3A0F76DB">
      <w:pPr>
        <w:pStyle w:val="82"/>
        <w:spacing w:line="480" w:lineRule="exact"/>
        <w:rPr>
          <w:rFonts w:cs="Times New Roman"/>
          <w:color w:val="auto"/>
        </w:rPr>
      </w:pPr>
      <w:r>
        <w:rPr>
          <w:rFonts w:cs="Times New Roman"/>
          <w:color w:val="auto"/>
        </w:rPr>
        <w:t>第⑩层细砂，灰黄色，由石英、长石、云母等矿物组成，局部夹少量粉土，以粗颗粒为主。密实状态，中等一低等压缩性，土性均匀致密。层顶埋深一般在自然地面以下27.10m~29.80m之间，相应层顶标高在-7.87m~5.02m之间。勘察在30.45m深度范围内未揭穿该层。</w:t>
      </w:r>
    </w:p>
    <w:p w14:paraId="19C3B318">
      <w:pPr>
        <w:pStyle w:val="103"/>
      </w:pPr>
      <w:r>
        <w:rPr>
          <w:position w:val="-168"/>
          <w:sz w:val="20"/>
          <w:szCs w:val="20"/>
        </w:rPr>
        <w:drawing>
          <wp:inline distT="0" distB="0" distL="114300" distR="114300">
            <wp:extent cx="5817235" cy="4584065"/>
            <wp:effectExtent l="0" t="0" r="12065" b="6985"/>
            <wp:docPr id="17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2"/>
                    <pic:cNvPicPr>
                      <a:picLocks noChangeAspect="1"/>
                    </pic:cNvPicPr>
                  </pic:nvPicPr>
                  <pic:blipFill>
                    <a:blip r:embed="rId78"/>
                    <a:stretch>
                      <a:fillRect/>
                    </a:stretch>
                  </pic:blipFill>
                  <pic:spPr>
                    <a:xfrm>
                      <a:off x="0" y="0"/>
                      <a:ext cx="5817235" cy="4584065"/>
                    </a:xfrm>
                    <a:prstGeom prst="rect">
                      <a:avLst/>
                    </a:prstGeom>
                    <a:noFill/>
                    <a:ln>
                      <a:noFill/>
                    </a:ln>
                  </pic:spPr>
                </pic:pic>
              </a:graphicData>
            </a:graphic>
          </wp:inline>
        </w:drawing>
      </w:r>
    </w:p>
    <w:p w14:paraId="2C2331EB">
      <w:pPr>
        <w:pStyle w:val="83"/>
        <w:rPr>
          <w:rFonts w:hint="default"/>
          <w:szCs w:val="24"/>
        </w:rPr>
      </w:pPr>
      <w:r>
        <w:rPr>
          <w:szCs w:val="24"/>
        </w:rPr>
        <w:t>图5.6-1  地质剖面图</w:t>
      </w:r>
    </w:p>
    <w:p w14:paraId="6AB848DB">
      <w:pPr>
        <w:pStyle w:val="83"/>
        <w:rPr>
          <w:rFonts w:hint="default"/>
          <w:szCs w:val="24"/>
        </w:rPr>
        <w:sectPr>
          <w:pgSz w:w="11906" w:h="16838"/>
          <w:pgMar w:top="1417" w:right="1417" w:bottom="1417" w:left="1417" w:header="1021" w:footer="1134" w:gutter="0"/>
          <w:pgNumType w:fmt="decimal"/>
          <w:cols w:space="425" w:num="1"/>
          <w:docGrid w:type="lines" w:linePitch="326" w:charSpace="0"/>
        </w:sectPr>
      </w:pPr>
    </w:p>
    <w:p w14:paraId="07E452D2">
      <w:pPr>
        <w:pStyle w:val="83"/>
        <w:rPr>
          <w:rFonts w:hint="default"/>
          <w:szCs w:val="24"/>
        </w:rPr>
      </w:pPr>
      <w:r>
        <w:rPr>
          <w:rFonts w:hint="default"/>
          <w:position w:val="-160"/>
          <w:sz w:val="20"/>
        </w:rPr>
        <w:drawing>
          <wp:inline distT="0" distB="0" distL="114300" distR="114300">
            <wp:extent cx="8882380" cy="5079365"/>
            <wp:effectExtent l="9525" t="9525" r="23495" b="16510"/>
            <wp:docPr id="17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4"/>
                    <pic:cNvPicPr>
                      <a:picLocks noChangeAspect="1"/>
                    </pic:cNvPicPr>
                  </pic:nvPicPr>
                  <pic:blipFill>
                    <a:blip r:embed="rId79"/>
                    <a:stretch>
                      <a:fillRect/>
                    </a:stretch>
                  </pic:blipFill>
                  <pic:spPr>
                    <a:xfrm>
                      <a:off x="0" y="0"/>
                      <a:ext cx="8882380" cy="507936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688EA9F5">
      <w:pPr>
        <w:pStyle w:val="83"/>
        <w:rPr>
          <w:rFonts w:hint="default"/>
          <w:szCs w:val="24"/>
        </w:rPr>
        <w:sectPr>
          <w:pgSz w:w="16838" w:h="11906" w:orient="landscape"/>
          <w:pgMar w:top="1417" w:right="1417" w:bottom="1417" w:left="1417" w:header="1021" w:footer="1134" w:gutter="0"/>
          <w:pgNumType w:fmt="decimal"/>
          <w:cols w:space="425" w:num="1"/>
          <w:docGrid w:type="lines" w:linePitch="326" w:charSpace="0"/>
        </w:sectPr>
      </w:pPr>
      <w:r>
        <w:rPr>
          <w:szCs w:val="24"/>
        </w:rPr>
        <w:t>图5.6-2  地质剖面图</w:t>
      </w:r>
    </w:p>
    <w:p w14:paraId="19A93004">
      <w:pPr>
        <w:pStyle w:val="7"/>
        <w:spacing w:line="480" w:lineRule="exact"/>
      </w:pPr>
      <w:r>
        <w:rPr>
          <w:rFonts w:hint="eastAsia"/>
        </w:rPr>
        <w:t>5</w:t>
      </w:r>
      <w:r>
        <w:t>.</w:t>
      </w:r>
      <w:r>
        <w:rPr>
          <w:rFonts w:hint="eastAsia"/>
        </w:rPr>
        <w:t>6</w:t>
      </w:r>
      <w:r>
        <w:t xml:space="preserve">.2 </w:t>
      </w:r>
      <w:r>
        <w:rPr>
          <w:rFonts w:hint="eastAsia"/>
        </w:rPr>
        <w:t>场地地质条件</w:t>
      </w:r>
    </w:p>
    <w:p w14:paraId="404A124D">
      <w:pPr>
        <w:widowControl/>
        <w:spacing w:line="480" w:lineRule="exact"/>
        <w:ind w:firstLine="480" w:firstLineChars="200"/>
      </w:pPr>
      <w:r>
        <w:rPr>
          <w:rFonts w:hint="eastAsia"/>
        </w:rPr>
        <w:t>本地区隶属黄淮冲积平原地貌单元，表层经人工改造推平，现地势较平坦，多为农田。场地地下水以孔隙潜水为主，孔隙微承压水次之。</w:t>
      </w:r>
    </w:p>
    <w:p w14:paraId="150DD959">
      <w:pPr>
        <w:pStyle w:val="7"/>
        <w:spacing w:line="480" w:lineRule="exact"/>
      </w:pPr>
      <w:r>
        <w:rPr>
          <w:rFonts w:hint="eastAsia"/>
        </w:rPr>
        <w:t>5</w:t>
      </w:r>
      <w:r>
        <w:t>.</w:t>
      </w:r>
      <w:r>
        <w:rPr>
          <w:rFonts w:hint="eastAsia"/>
        </w:rPr>
        <w:t>6.3地下水补给、径流、排泄条件</w:t>
      </w:r>
    </w:p>
    <w:p w14:paraId="44AFFE6D">
      <w:pPr>
        <w:spacing w:line="480" w:lineRule="exact"/>
        <w:ind w:firstLine="482"/>
        <w:rPr>
          <w:rFonts w:ascii="Times New Roman" w:hAnsi="Times New Roman" w:cs="Times New Roman"/>
          <w:color w:val="000000"/>
          <w:szCs w:val="24"/>
        </w:rPr>
      </w:pPr>
      <w:r>
        <w:rPr>
          <w:rFonts w:ascii="Times New Roman" w:hAnsi="Times New Roman" w:cs="Times New Roman"/>
          <w:color w:val="000000"/>
          <w:szCs w:val="24"/>
        </w:rPr>
        <w:t>（1）孔隙潜水根据宿迁地区区域水文资料：宿迁地区潜水常年最高水位在自然地面以下约 0.5 m，常年最低水位在自然地面以下约 2.5m，水位变化幅度约 2.0m，主要赋存于浅层粉土、粘性土、填土中，富水性一般，主要受大气降水入渗及地表水迁流补给。勘探期间测得钻孔内稳定水位（混合水位）埋深在 2.40m~3.20m 之间，相应标高在 18.79m~19.93m 之间，初见水位埋深与稳定水位相当。勘察期间在钻孔旁另开浅孔测得潜水初见水位埋深在 2.10m~2.50m 之间，稳定水位埋深在 2.00m~2.20m 之间，相应标高在 19.62m~20.42m 之间。</w:t>
      </w:r>
    </w:p>
    <w:p w14:paraId="4648256F">
      <w:pPr>
        <w:spacing w:line="480" w:lineRule="exact"/>
        <w:ind w:firstLine="482"/>
        <w:rPr>
          <w:rFonts w:ascii="Times New Roman" w:hAnsi="Times New Roman" w:cs="Times New Roman"/>
          <w:color w:val="000000"/>
          <w:szCs w:val="24"/>
        </w:rPr>
      </w:pPr>
      <w:r>
        <w:rPr>
          <w:rFonts w:ascii="Times New Roman" w:hAnsi="Times New Roman" w:cs="Times New Roman"/>
          <w:color w:val="000000"/>
          <w:szCs w:val="24"/>
        </w:rPr>
        <w:t>（2）孔隙微承压水</w:t>
      </w:r>
    </w:p>
    <w:p w14:paraId="4FCDEBDA">
      <w:pPr>
        <w:spacing w:line="480" w:lineRule="exact"/>
        <w:ind w:firstLine="482"/>
        <w:rPr>
          <w:rFonts w:ascii="Times New Roman" w:hAnsi="Times New Roman" w:cs="Times New Roman"/>
          <w:color w:val="000000"/>
          <w:szCs w:val="24"/>
        </w:rPr>
      </w:pPr>
      <w:r>
        <w:rPr>
          <w:rFonts w:ascii="Times New Roman" w:hAnsi="Times New Roman" w:cs="Times New Roman"/>
          <w:color w:val="000000"/>
          <w:szCs w:val="24"/>
        </w:rPr>
        <w:t>第⑦1 层粉土、第⑨2 层粉砂、第⑩层细砂为本场地承压水含水层，其中第⑦1 层粉 土层及第⑨2 层粉砂为浅层微承压含水层，微承水对本工程基本无影响。</w:t>
      </w:r>
    </w:p>
    <w:p w14:paraId="4A63358E">
      <w:pPr>
        <w:spacing w:line="480" w:lineRule="exact"/>
        <w:ind w:firstLine="482"/>
        <w:rPr>
          <w:rFonts w:ascii="Times New Roman" w:hAnsi="Times New Roman" w:cs="Times New Roman"/>
          <w:color w:val="000000"/>
          <w:szCs w:val="24"/>
        </w:rPr>
      </w:pPr>
      <w:r>
        <w:rPr>
          <w:rFonts w:ascii="Times New Roman" w:hAnsi="Times New Roman" w:cs="Times New Roman"/>
          <w:color w:val="000000"/>
          <w:szCs w:val="24"/>
        </w:rPr>
        <w:t>（3）地下水水位</w:t>
      </w:r>
    </w:p>
    <w:p w14:paraId="6387D14C">
      <w:pPr>
        <w:spacing w:line="480" w:lineRule="exact"/>
        <w:ind w:firstLine="482"/>
        <w:rPr>
          <w:rFonts w:ascii="Times New Roman" w:hAnsi="Times New Roman" w:cs="Times New Roman"/>
          <w:color w:val="000000"/>
          <w:szCs w:val="24"/>
        </w:rPr>
      </w:pPr>
      <w:r>
        <w:rPr>
          <w:rFonts w:ascii="Times New Roman" w:hAnsi="Times New Roman" w:cs="Times New Roman"/>
          <w:color w:val="000000"/>
          <w:szCs w:val="24"/>
        </w:rPr>
        <w:t>潜水稳定水位埋深 0.50m～0.90m，水位标高 21.75～21.83m；根据区域水文地质资料，孔隙潜水年变幅1.00m 左右，场地丰水期潜水最高水位一般埋深 0.5m。</w:t>
      </w:r>
    </w:p>
    <w:p w14:paraId="4197DB99">
      <w:pPr>
        <w:pStyle w:val="7"/>
        <w:spacing w:line="480" w:lineRule="exact"/>
      </w:pPr>
      <w:r>
        <w:rPr>
          <w:rFonts w:hint="eastAsia"/>
        </w:rPr>
        <w:t>5</w:t>
      </w:r>
      <w:r>
        <w:t>.</w:t>
      </w:r>
      <w:r>
        <w:rPr>
          <w:rFonts w:hint="eastAsia"/>
        </w:rPr>
        <w:t>6.4地下水环境影响预测与评价</w:t>
      </w:r>
    </w:p>
    <w:p w14:paraId="56C2A98C">
      <w:pPr>
        <w:adjustRightInd w:val="0"/>
        <w:spacing w:line="480" w:lineRule="exact"/>
        <w:ind w:firstLine="480" w:firstLineChars="200"/>
        <w:rPr>
          <w:rFonts w:ascii="Times New Roman" w:hAnsi="Times New Roman" w:cs="Times New Roman"/>
          <w:szCs w:val="24"/>
        </w:rPr>
      </w:pPr>
      <w:r>
        <w:rPr>
          <w:rFonts w:ascii="Times New Roman" w:hAnsi="Times New Roman" w:cs="Times New Roman"/>
          <w:szCs w:val="24"/>
        </w:rPr>
        <w:t>（一）地下水污染途径分析</w:t>
      </w:r>
    </w:p>
    <w:p w14:paraId="7477F465">
      <w:pPr>
        <w:adjustRightInd w:val="0"/>
        <w:spacing w:line="480" w:lineRule="exact"/>
        <w:ind w:firstLine="480" w:firstLineChars="200"/>
        <w:rPr>
          <w:rFonts w:ascii="Times New Roman" w:hAnsi="Times New Roman" w:cs="Times New Roman"/>
          <w:szCs w:val="24"/>
        </w:rPr>
      </w:pPr>
      <w:r>
        <w:rPr>
          <w:rFonts w:ascii="Times New Roman" w:hAnsi="Times New Roman" w:cs="Times New Roman"/>
          <w:szCs w:val="24"/>
        </w:rPr>
        <w:t>地下水污染途径是指污染物从污染源进入到地下水中所经过的路径。地下水污染途径是多种多样的，大致可归为四类：①间歇入渗型。②连续入渗型。③越流型。④径流型。</w:t>
      </w:r>
    </w:p>
    <w:p w14:paraId="77B34AE0">
      <w:pPr>
        <w:adjustRightInd w:val="0"/>
        <w:spacing w:line="480" w:lineRule="exact"/>
        <w:ind w:firstLine="480" w:firstLineChars="200"/>
        <w:rPr>
          <w:rFonts w:ascii="Times New Roman" w:hAnsi="Times New Roman" w:cs="Times New Roman"/>
          <w:szCs w:val="24"/>
        </w:rPr>
      </w:pPr>
      <w:r>
        <w:rPr>
          <w:rFonts w:ascii="Times New Roman" w:hAnsi="Times New Roman" w:cs="Times New Roman"/>
          <w:szCs w:val="24"/>
        </w:rPr>
        <w:t>本项目对地下水形成污染的途径主要为连续入渗型。其特点是污染物随不断地经包气带渗入含水层，这种情况下或者包气带完全饱水，呈连续入渗的形式，或者是包气带上部的表土层完全饱水呈连续渗流形式，而其下部（下包气带）呈非饱水的淋雨状的渗流形式渗入含水层。这种类型的污染对象主要也是浅层含水层。</w:t>
      </w:r>
    </w:p>
    <w:p w14:paraId="33457FE9">
      <w:pPr>
        <w:adjustRightInd w:val="0"/>
        <w:spacing w:line="480" w:lineRule="exact"/>
        <w:ind w:firstLine="480" w:firstLineChars="200"/>
        <w:rPr>
          <w:rFonts w:ascii="Times New Roman" w:hAnsi="Times New Roman" w:cs="Times New Roman"/>
          <w:szCs w:val="24"/>
        </w:rPr>
      </w:pPr>
      <w:r>
        <w:rPr>
          <w:rFonts w:ascii="Times New Roman" w:hAnsi="Times New Roman" w:cs="Times New Roman"/>
          <w:szCs w:val="24"/>
        </w:rPr>
        <w:t>承压含水层由于上部有隔水顶板，本区域的污染源不在补给区分布，不会污染承压含水层。</w:t>
      </w:r>
    </w:p>
    <w:p w14:paraId="116C5CD3">
      <w:pPr>
        <w:adjustRightInd w:val="0"/>
        <w:spacing w:line="480" w:lineRule="exact"/>
        <w:ind w:firstLine="480" w:firstLineChars="200"/>
        <w:rPr>
          <w:rFonts w:ascii="Times New Roman" w:hAnsi="Times New Roman" w:cs="Times New Roman"/>
          <w:szCs w:val="24"/>
        </w:rPr>
      </w:pPr>
      <w:r>
        <w:rPr>
          <w:rFonts w:ascii="Times New Roman" w:hAnsi="Times New Roman" w:cs="Times New Roman"/>
          <w:szCs w:val="24"/>
        </w:rPr>
        <w:t>（二）项目污染地下水因素与工况分析</w:t>
      </w:r>
    </w:p>
    <w:p w14:paraId="14ABCD6F">
      <w:pPr>
        <w:adjustRightInd w:val="0"/>
        <w:spacing w:line="480" w:lineRule="exact"/>
        <w:ind w:firstLine="480" w:firstLineChars="200"/>
        <w:rPr>
          <w:rFonts w:ascii="Times New Roman" w:hAnsi="Times New Roman" w:cs="Times New Roman"/>
          <w:szCs w:val="24"/>
        </w:rPr>
      </w:pPr>
      <w:r>
        <w:rPr>
          <w:rFonts w:ascii="Times New Roman" w:hAnsi="Times New Roman" w:cs="Times New Roman"/>
          <w:szCs w:val="24"/>
        </w:rPr>
        <w:t>①正常工况下，厂区的污水防渗措施到位，污水管道运输正常的情况下，对地下水无渗漏，基本无污染。</w:t>
      </w:r>
    </w:p>
    <w:p w14:paraId="26CAD10C">
      <w:pPr>
        <w:adjustRightInd w:val="0"/>
        <w:spacing w:line="480" w:lineRule="exact"/>
        <w:ind w:firstLine="480" w:firstLineChars="200"/>
        <w:rPr>
          <w:rFonts w:ascii="Times New Roman" w:hAnsi="Times New Roman" w:cs="Times New Roman"/>
          <w:szCs w:val="24"/>
        </w:rPr>
      </w:pPr>
      <w:r>
        <w:rPr>
          <w:rFonts w:ascii="Times New Roman" w:hAnsi="Times New Roman" w:cs="Times New Roman"/>
          <w:szCs w:val="24"/>
        </w:rPr>
        <w:t>②</w:t>
      </w:r>
      <w:r>
        <w:rPr>
          <w:rFonts w:ascii="Times New Roman" w:hAnsi="Times New Roman" w:cs="Times New Roman"/>
          <w:color w:val="000000"/>
          <w:szCs w:val="24"/>
        </w:rPr>
        <w:t>非正常工况下，若污水站池体、化粪池底部长期受压，基础发生不均匀沉降，混凝土开裂，污水渗入地下造成污染，主要污染物为高猛酸盐指数等。</w:t>
      </w:r>
    </w:p>
    <w:p w14:paraId="151643E1">
      <w:pPr>
        <w:adjustRightInd w:val="0"/>
        <w:spacing w:line="480" w:lineRule="exact"/>
        <w:ind w:firstLine="480" w:firstLineChars="200"/>
        <w:rPr>
          <w:rFonts w:ascii="Times New Roman" w:hAnsi="Times New Roman" w:cs="Times New Roman"/>
          <w:szCs w:val="24"/>
        </w:rPr>
      </w:pPr>
      <w:r>
        <w:rPr>
          <w:rFonts w:ascii="Times New Roman" w:hAnsi="Times New Roman" w:cs="Times New Roman"/>
          <w:szCs w:val="24"/>
        </w:rPr>
        <w:t>（三）预测情景与预测模型</w:t>
      </w:r>
    </w:p>
    <w:p w14:paraId="02572685">
      <w:pPr>
        <w:adjustRightInd w:val="0"/>
        <w:spacing w:line="480" w:lineRule="exact"/>
        <w:ind w:firstLine="480" w:firstLineChars="200"/>
        <w:rPr>
          <w:rFonts w:ascii="Times New Roman" w:hAnsi="Times New Roman" w:cs="Times New Roman"/>
          <w:szCs w:val="24"/>
        </w:rPr>
      </w:pPr>
      <w:r>
        <w:rPr>
          <w:rFonts w:ascii="Times New Roman" w:hAnsi="Times New Roman" w:cs="Times New Roman"/>
          <w:szCs w:val="24"/>
        </w:rPr>
        <w:t>正常情况下，厂区基本不产生地下水污染，故不做预测。</w:t>
      </w:r>
    </w:p>
    <w:p w14:paraId="1443A7CC">
      <w:pPr>
        <w:spacing w:line="480" w:lineRule="exact"/>
        <w:ind w:firstLine="480"/>
        <w:rPr>
          <w:rFonts w:ascii="Times New Roman" w:hAnsi="Times New Roman" w:cs="Times New Roman"/>
          <w:color w:val="000000"/>
          <w:szCs w:val="24"/>
        </w:rPr>
      </w:pPr>
      <w:r>
        <w:rPr>
          <w:rFonts w:ascii="Times New Roman" w:hAnsi="Times New Roman" w:cs="Times New Roman"/>
          <w:color w:val="000000"/>
          <w:szCs w:val="24"/>
        </w:rPr>
        <w:t>非正常工况下，若厂区污水处理系统的池底发生开裂、渗漏等现象，在这种情况下，污染物将对地下水造成点源污染，可能下渗至孔隙潜水及承压层中，从而在含水层中进行运移。</w:t>
      </w:r>
    </w:p>
    <w:p w14:paraId="5CFF608D">
      <w:pPr>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潜水含水层较承压含水层易于污染，是建设项目需要考虑的最敏感含水层，因此作为本次影响预测的目的层。根据本项目对地下水影响的实际，考虑项目污水处理系统对地下水进行影响预测。预测情形设置为污水站</w:t>
      </w:r>
      <w:r>
        <w:rPr>
          <w:rFonts w:hint="eastAsia" w:ascii="Times New Roman" w:hAnsi="Times New Roman" w:cs="Times New Roman"/>
          <w:color w:val="000000"/>
          <w:szCs w:val="24"/>
        </w:rPr>
        <w:t>集水</w:t>
      </w:r>
      <w:r>
        <w:rPr>
          <w:rFonts w:ascii="Times New Roman" w:hAnsi="Times New Roman" w:cs="Times New Roman"/>
          <w:color w:val="000000"/>
          <w:szCs w:val="24"/>
        </w:rPr>
        <w:t>池发生破损渗漏导致污水连续泄漏对地下水的影响。</w:t>
      </w:r>
    </w:p>
    <w:p w14:paraId="034FA3CA">
      <w:pPr>
        <w:adjustRightInd w:val="0"/>
        <w:spacing w:line="480" w:lineRule="exact"/>
        <w:ind w:firstLine="480" w:firstLineChars="200"/>
        <w:rPr>
          <w:rFonts w:ascii="Times New Roman" w:hAnsi="Times New Roman" w:cs="Times New Roman"/>
          <w:szCs w:val="24"/>
        </w:rPr>
      </w:pPr>
      <w:r>
        <w:rPr>
          <w:rFonts w:ascii="Times New Roman" w:hAnsi="Times New Roman" w:cs="Times New Roman"/>
          <w:szCs w:val="24"/>
        </w:rPr>
        <w:t>1）预测情景</w:t>
      </w:r>
    </w:p>
    <w:p w14:paraId="29C0ED53">
      <w:pPr>
        <w:spacing w:line="480" w:lineRule="exact"/>
        <w:ind w:firstLine="480"/>
        <w:rPr>
          <w:rFonts w:ascii="Times New Roman" w:hAnsi="Times New Roman" w:cs="Times New Roman"/>
          <w:color w:val="000000"/>
          <w:szCs w:val="24"/>
        </w:rPr>
      </w:pPr>
      <w:r>
        <w:rPr>
          <w:rFonts w:ascii="Times New Roman" w:hAnsi="Times New Roman" w:cs="Times New Roman"/>
          <w:color w:val="000000"/>
          <w:szCs w:val="24"/>
        </w:rPr>
        <w:t>本项目污水站</w:t>
      </w:r>
      <w:r>
        <w:rPr>
          <w:rFonts w:hint="eastAsia" w:ascii="Times New Roman" w:hAnsi="Times New Roman" w:cs="Times New Roman"/>
          <w:color w:val="000000"/>
          <w:szCs w:val="24"/>
        </w:rPr>
        <w:t>集水</w:t>
      </w:r>
      <w:r>
        <w:rPr>
          <w:rFonts w:ascii="Times New Roman" w:hAnsi="Times New Roman" w:cs="Times New Roman"/>
          <w:color w:val="000000"/>
          <w:szCs w:val="24"/>
        </w:rPr>
        <w:t>池假定由于腐蚀或地质作用，有关池底出现渗漏现象。污水在下渗过程中，虽有过包气带的过滤及吸附作用，但仍然会有污染物进入浅层潜水层，从而对浅层潜水造成污染。一旦出现污水渗漏事故，势必会在本项目场地周围的地表形成一个基本固定的污染源，从而对周围和下游地区潜水产生长期污染。通过分析特征因子的浓度和对地下水环境的影响程度，根据标准指数法的排序，选取COD作为预测因子。虽然COD在地表含量较高，但实验数据显示进入地下水后含量极低，会被沿途生物消耗掉，因此我们用高锰酸盐指数替代，其含量可以反映地下水中有机污染物的大小。因此，本项目选取高锰酸盐指数作为预测因子，高锰酸盐指数浓度以COD浓度的50%计。发生污水连续泄漏时，COD浓度为进水浓度，其中COD为</w:t>
      </w:r>
      <w:r>
        <w:rPr>
          <w:rFonts w:hint="eastAsia" w:ascii="Times New Roman" w:hAnsi="Times New Roman" w:cs="Times New Roman"/>
          <w:color w:val="000000"/>
          <w:szCs w:val="24"/>
        </w:rPr>
        <w:t>905.6</w:t>
      </w:r>
      <w:r>
        <w:rPr>
          <w:rFonts w:ascii="Times New Roman" w:hAnsi="Times New Roman" w:cs="Times New Roman"/>
          <w:color w:val="000000"/>
          <w:szCs w:val="24"/>
        </w:rPr>
        <w:t>mg/L，则高锰酸盐指数为4</w:t>
      </w:r>
      <w:r>
        <w:rPr>
          <w:rFonts w:hint="eastAsia" w:ascii="Times New Roman" w:hAnsi="Times New Roman" w:cs="Times New Roman"/>
          <w:color w:val="000000"/>
          <w:szCs w:val="24"/>
        </w:rPr>
        <w:t>52.8</w:t>
      </w:r>
      <w:r>
        <w:rPr>
          <w:rFonts w:ascii="Times New Roman" w:hAnsi="Times New Roman" w:cs="Times New Roman"/>
          <w:color w:val="000000"/>
          <w:szCs w:val="24"/>
        </w:rPr>
        <w:t xml:space="preserve">mg/L。假设污水渗漏后污染物完全进入浅层承压含水层，预测时长为100d、1000d及10年。 </w:t>
      </w:r>
    </w:p>
    <w:p w14:paraId="4D4B429C">
      <w:pPr>
        <w:adjustRightInd w:val="0"/>
        <w:spacing w:line="480" w:lineRule="exact"/>
        <w:ind w:firstLine="480" w:firstLineChars="200"/>
        <w:rPr>
          <w:rFonts w:ascii="Times New Roman" w:hAnsi="Times New Roman" w:cs="Times New Roman"/>
          <w:szCs w:val="24"/>
        </w:rPr>
      </w:pPr>
      <w:r>
        <w:rPr>
          <w:rFonts w:ascii="Times New Roman" w:hAnsi="Times New Roman" w:cs="Times New Roman"/>
          <w:szCs w:val="24"/>
        </w:rPr>
        <w:t>2）预测模式</w:t>
      </w:r>
    </w:p>
    <w:p w14:paraId="42CB095E">
      <w:pPr>
        <w:adjustRightInd w:val="0"/>
        <w:spacing w:line="480" w:lineRule="exact"/>
        <w:ind w:firstLine="480" w:firstLineChars="200"/>
        <w:rPr>
          <w:rFonts w:ascii="Times New Roman" w:hAnsi="Times New Roman" w:cs="Times New Roman"/>
          <w:szCs w:val="24"/>
        </w:rPr>
      </w:pPr>
      <w:r>
        <w:rPr>
          <w:rFonts w:ascii="Times New Roman" w:hAnsi="Times New Roman" w:cs="Times New Roman"/>
          <w:szCs w:val="24"/>
        </w:rPr>
        <w:t>预测采用《环境影响评价技术导则  地下水环境》（HJ610-2016）推荐的一维稳定流动一维水动力弥散问题，概化条件为一维半无限长多孔介质柱体，示踪剂瞬时注入。其解析解为：</w:t>
      </w:r>
    </w:p>
    <w:p w14:paraId="1567069C">
      <w:pPr>
        <w:adjustRightInd w:val="0"/>
        <w:spacing w:line="240" w:lineRule="auto"/>
        <w:ind w:firstLine="560"/>
        <w:jc w:val="center"/>
        <w:rPr>
          <w:rFonts w:ascii="Times New Roman" w:hAnsi="Times New Roman" w:cs="Times New Roman"/>
          <w:position w:val="-30"/>
          <w:szCs w:val="24"/>
        </w:rPr>
      </w:pPr>
      <w:r>
        <w:rPr>
          <w:rFonts w:ascii="Times New Roman" w:hAnsi="Times New Roman" w:cs="Times New Roman"/>
          <w:color w:val="000000"/>
          <w:szCs w:val="24"/>
        </w:rPr>
        <w:drawing>
          <wp:inline distT="0" distB="0" distL="114300" distR="114300">
            <wp:extent cx="2792095" cy="620395"/>
            <wp:effectExtent l="0" t="0" r="8255" b="8255"/>
            <wp:docPr id="17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5"/>
                    <pic:cNvPicPr>
                      <a:picLocks noChangeAspect="1"/>
                    </pic:cNvPicPr>
                  </pic:nvPicPr>
                  <pic:blipFill>
                    <a:blip r:embed="rId80"/>
                    <a:stretch>
                      <a:fillRect/>
                    </a:stretch>
                  </pic:blipFill>
                  <pic:spPr>
                    <a:xfrm>
                      <a:off x="0" y="0"/>
                      <a:ext cx="2792095" cy="620395"/>
                    </a:xfrm>
                    <a:prstGeom prst="rect">
                      <a:avLst/>
                    </a:prstGeom>
                    <a:noFill/>
                    <a:ln>
                      <a:noFill/>
                    </a:ln>
                  </pic:spPr>
                </pic:pic>
              </a:graphicData>
            </a:graphic>
          </wp:inline>
        </w:drawing>
      </w:r>
    </w:p>
    <w:p w14:paraId="606F28A2">
      <w:pPr>
        <w:pStyle w:val="82"/>
        <w:snapToGrid/>
        <w:spacing w:line="480" w:lineRule="exact"/>
        <w:rPr>
          <w:rFonts w:cs="Times New Roman"/>
          <w:color w:val="000000"/>
        </w:rPr>
      </w:pPr>
      <w:r>
        <w:rPr>
          <w:rFonts w:cs="Times New Roman"/>
          <w:color w:val="000000"/>
        </w:rPr>
        <w:t>式中：x—预测点距污染源强的距离，m；</w:t>
      </w:r>
    </w:p>
    <w:p w14:paraId="46514781">
      <w:pPr>
        <w:pStyle w:val="82"/>
        <w:snapToGrid/>
        <w:spacing w:line="480" w:lineRule="exact"/>
        <w:rPr>
          <w:rFonts w:cs="Times New Roman"/>
          <w:color w:val="000000"/>
        </w:rPr>
      </w:pPr>
      <w:r>
        <w:rPr>
          <w:rFonts w:cs="Times New Roman"/>
          <w:color w:val="000000"/>
        </w:rPr>
        <w:t>t—预测时间，d；</w:t>
      </w:r>
    </w:p>
    <w:p w14:paraId="51FECFA9">
      <w:pPr>
        <w:pStyle w:val="82"/>
        <w:snapToGrid/>
        <w:spacing w:line="480" w:lineRule="exact"/>
        <w:rPr>
          <w:rFonts w:cs="Times New Roman"/>
          <w:color w:val="000000"/>
        </w:rPr>
      </w:pPr>
      <w:r>
        <w:rPr>
          <w:rFonts w:cs="Times New Roman"/>
          <w:color w:val="000000"/>
        </w:rPr>
        <w:t>C—t时刻x处的污染物浓度，mg/L；</w:t>
      </w:r>
    </w:p>
    <w:p w14:paraId="173EE3F2">
      <w:pPr>
        <w:pStyle w:val="82"/>
        <w:snapToGrid/>
        <w:spacing w:line="480" w:lineRule="exact"/>
        <w:rPr>
          <w:rFonts w:cs="Times New Roman"/>
          <w:color w:val="000000"/>
        </w:rPr>
      </w:pPr>
      <w:r>
        <w:rPr>
          <w:rFonts w:cs="Times New Roman"/>
          <w:color w:val="000000"/>
        </w:rPr>
        <w:t>C0—地下水污染源强浓度，mg/L，CODcr浓度为200mg/L；</w:t>
      </w:r>
    </w:p>
    <w:p w14:paraId="16CEC0B3">
      <w:pPr>
        <w:pStyle w:val="82"/>
        <w:snapToGrid/>
        <w:spacing w:line="480" w:lineRule="exact"/>
        <w:rPr>
          <w:rFonts w:cs="Times New Roman"/>
          <w:color w:val="000000"/>
        </w:rPr>
      </w:pPr>
      <w:r>
        <w:rPr>
          <w:rFonts w:cs="Times New Roman"/>
          <w:color w:val="000000"/>
        </w:rPr>
        <w:t>u—水流速度，m/d；</w:t>
      </w:r>
    </w:p>
    <w:p w14:paraId="3B83D8B4">
      <w:pPr>
        <w:pStyle w:val="82"/>
        <w:snapToGrid/>
        <w:spacing w:line="480" w:lineRule="exact"/>
        <w:rPr>
          <w:rFonts w:cs="Times New Roman"/>
          <w:color w:val="000000"/>
        </w:rPr>
      </w:pPr>
      <w:r>
        <w:rPr>
          <w:rFonts w:cs="Times New Roman"/>
          <w:color w:val="000000"/>
        </w:rPr>
        <w:t>DL—纵向弥散系数，m</w:t>
      </w:r>
      <w:r>
        <w:rPr>
          <w:rFonts w:cs="Times New Roman"/>
          <w:color w:val="000000"/>
          <w:vertAlign w:val="superscript"/>
        </w:rPr>
        <w:t>2</w:t>
      </w:r>
      <w:r>
        <w:rPr>
          <w:rFonts w:cs="Times New Roman"/>
          <w:color w:val="000000"/>
        </w:rPr>
        <w:t>/d；</w:t>
      </w:r>
    </w:p>
    <w:p w14:paraId="1478EFC0">
      <w:pPr>
        <w:pStyle w:val="82"/>
        <w:snapToGrid/>
        <w:spacing w:line="480" w:lineRule="exact"/>
        <w:rPr>
          <w:rFonts w:cs="Times New Roman"/>
          <w:color w:val="000000"/>
        </w:rPr>
      </w:pPr>
      <w:r>
        <w:rPr>
          <w:rFonts w:cs="Times New Roman"/>
          <w:color w:val="000000"/>
        </w:rPr>
        <w:t>erfc()—余误差函数。</w:t>
      </w:r>
    </w:p>
    <w:p w14:paraId="2F13930B">
      <w:pPr>
        <w:adjustRightInd w:val="0"/>
        <w:spacing w:line="480" w:lineRule="exact"/>
        <w:ind w:firstLine="480" w:firstLineChars="200"/>
        <w:rPr>
          <w:rFonts w:ascii="Times New Roman" w:hAnsi="Times New Roman" w:cs="Times New Roman"/>
          <w:szCs w:val="24"/>
        </w:rPr>
      </w:pPr>
      <w:r>
        <w:rPr>
          <w:rFonts w:ascii="Times New Roman" w:hAnsi="Times New Roman" w:cs="Times New Roman"/>
          <w:szCs w:val="24"/>
        </w:rPr>
        <w:t>3）水文地质参数</w:t>
      </w:r>
    </w:p>
    <w:p w14:paraId="6ACE1F2B">
      <w:pPr>
        <w:adjustRightInd w:val="0"/>
        <w:spacing w:line="480" w:lineRule="exact"/>
        <w:ind w:firstLine="480" w:firstLineChars="200"/>
        <w:rPr>
          <w:rFonts w:ascii="Times New Roman" w:hAnsi="Times New Roman" w:cs="Times New Roman"/>
          <w:szCs w:val="24"/>
        </w:rPr>
      </w:pPr>
      <w:r>
        <w:rPr>
          <w:rFonts w:ascii="Times New Roman" w:hAnsi="Times New Roman" w:cs="Times New Roman"/>
          <w:szCs w:val="24"/>
        </w:rPr>
        <w:t>①渗透参数</w:t>
      </w:r>
    </w:p>
    <w:p w14:paraId="4A4B8B3E">
      <w:pPr>
        <w:adjustRightInd w:val="0"/>
        <w:spacing w:line="480" w:lineRule="exact"/>
        <w:ind w:firstLine="480" w:firstLineChars="200"/>
        <w:rPr>
          <w:rFonts w:ascii="Times New Roman" w:hAnsi="Times New Roman" w:cs="Times New Roman"/>
          <w:szCs w:val="24"/>
        </w:rPr>
      </w:pPr>
      <w:r>
        <w:rPr>
          <w:rFonts w:ascii="Times New Roman" w:hAnsi="Times New Roman" w:cs="Times New Roman"/>
          <w:szCs w:val="24"/>
        </w:rPr>
        <w:t>根据地区工程试验，结合室内土工试验，渗透系数取值见表5.</w:t>
      </w:r>
      <w:r>
        <w:rPr>
          <w:rFonts w:hint="eastAsia" w:ascii="Times New Roman" w:hAnsi="Times New Roman" w:cs="Times New Roman"/>
          <w:szCs w:val="24"/>
        </w:rPr>
        <w:t>6</w:t>
      </w:r>
      <w:r>
        <w:rPr>
          <w:rFonts w:ascii="Times New Roman" w:hAnsi="Times New Roman" w:cs="Times New Roman"/>
          <w:szCs w:val="24"/>
        </w:rPr>
        <w:t>-1。</w:t>
      </w:r>
    </w:p>
    <w:p w14:paraId="08BF2B3D">
      <w:pPr>
        <w:pStyle w:val="11"/>
        <w:adjustRightInd w:val="0"/>
        <w:spacing w:line="480" w:lineRule="exact"/>
        <w:ind w:firstLine="482"/>
        <w:jc w:val="center"/>
        <w:rPr>
          <w:rFonts w:cs="Times New Roman"/>
          <w:b/>
          <w:bCs/>
          <w:sz w:val="24"/>
          <w:szCs w:val="24"/>
        </w:rPr>
      </w:pPr>
      <w:r>
        <w:rPr>
          <w:rFonts w:cs="Times New Roman"/>
          <w:b/>
          <w:bCs/>
          <w:sz w:val="24"/>
          <w:szCs w:val="24"/>
        </w:rPr>
        <w:t>表5.</w:t>
      </w:r>
      <w:r>
        <w:rPr>
          <w:rFonts w:hint="eastAsia" w:cs="Times New Roman"/>
          <w:b/>
          <w:bCs/>
          <w:sz w:val="24"/>
          <w:szCs w:val="24"/>
        </w:rPr>
        <w:t>6</w:t>
      </w:r>
      <w:r>
        <w:rPr>
          <w:rFonts w:cs="Times New Roman"/>
          <w:b/>
          <w:bCs/>
          <w:sz w:val="24"/>
          <w:szCs w:val="24"/>
        </w:rPr>
        <w:t>-1  几种土的经验系数</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4466"/>
        <w:gridCol w:w="4822"/>
      </w:tblGrid>
      <w:tr w14:paraId="04C07C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2404" w:type="pct"/>
            <w:vAlign w:val="center"/>
          </w:tcPr>
          <w:p w14:paraId="0C52245A">
            <w:pPr>
              <w:adjustRightInd w:val="0"/>
              <w:snapToGrid w:val="0"/>
              <w:spacing w:line="280" w:lineRule="exact"/>
              <w:jc w:val="center"/>
              <w:rPr>
                <w:rFonts w:ascii="Times New Roman" w:eastAsia="宋体"/>
                <w:sz w:val="21"/>
                <w:szCs w:val="21"/>
              </w:rPr>
            </w:pPr>
            <w:r>
              <w:rPr>
                <w:rFonts w:ascii="Times New Roman" w:eastAsia="宋体"/>
                <w:sz w:val="21"/>
                <w:szCs w:val="21"/>
              </w:rPr>
              <w:t>地层名称</w:t>
            </w:r>
          </w:p>
        </w:tc>
        <w:tc>
          <w:tcPr>
            <w:tcW w:w="2596" w:type="pct"/>
            <w:vAlign w:val="center"/>
          </w:tcPr>
          <w:p w14:paraId="6F033309">
            <w:pPr>
              <w:autoSpaceDE w:val="0"/>
              <w:autoSpaceDN w:val="0"/>
              <w:adjustRightInd w:val="0"/>
              <w:snapToGrid w:val="0"/>
              <w:spacing w:line="280" w:lineRule="exact"/>
              <w:jc w:val="center"/>
              <w:rPr>
                <w:rFonts w:ascii="Times New Roman" w:eastAsia="宋体"/>
                <w:sz w:val="21"/>
                <w:szCs w:val="21"/>
                <w:lang w:val="zh-CN"/>
              </w:rPr>
            </w:pPr>
            <w:r>
              <w:rPr>
                <w:rFonts w:ascii="Times New Roman" w:eastAsia="宋体"/>
                <w:sz w:val="21"/>
                <w:szCs w:val="21"/>
                <w:lang w:val="zh-CN"/>
              </w:rPr>
              <w:t>渗透系数值</w:t>
            </w:r>
            <w:r>
              <w:rPr>
                <w:rFonts w:ascii="Times New Roman" w:eastAsia="宋体"/>
                <w:i/>
                <w:iCs/>
                <w:sz w:val="21"/>
                <w:szCs w:val="21"/>
              </w:rPr>
              <w:t>K</w:t>
            </w:r>
            <w:r>
              <w:rPr>
                <w:rFonts w:ascii="Times New Roman" w:eastAsia="宋体"/>
                <w:sz w:val="21"/>
                <w:szCs w:val="21"/>
                <w:vertAlign w:val="subscript"/>
              </w:rPr>
              <w:t xml:space="preserve"> v  </w:t>
            </w:r>
            <w:r>
              <w:rPr>
                <w:rFonts w:ascii="Times New Roman" w:eastAsia="宋体"/>
                <w:sz w:val="21"/>
                <w:szCs w:val="21"/>
              </w:rPr>
              <w:t>(cm/s)</w:t>
            </w:r>
          </w:p>
        </w:tc>
      </w:tr>
      <w:tr w14:paraId="10A8AF4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2404" w:type="pct"/>
            <w:vAlign w:val="center"/>
          </w:tcPr>
          <w:p w14:paraId="02E228A7">
            <w:pPr>
              <w:adjustRightInd w:val="0"/>
              <w:snapToGrid w:val="0"/>
              <w:spacing w:line="280" w:lineRule="exact"/>
              <w:jc w:val="center"/>
              <w:rPr>
                <w:rFonts w:ascii="Times New Roman" w:eastAsia="宋体"/>
                <w:sz w:val="21"/>
                <w:szCs w:val="21"/>
              </w:rPr>
            </w:pPr>
            <w:r>
              <w:rPr>
                <w:rFonts w:ascii="Times New Roman" w:eastAsia="宋体"/>
                <w:sz w:val="21"/>
                <w:szCs w:val="21"/>
              </w:rPr>
              <w:t>粉土</w:t>
            </w:r>
          </w:p>
        </w:tc>
        <w:tc>
          <w:tcPr>
            <w:tcW w:w="2596" w:type="pct"/>
            <w:vAlign w:val="center"/>
          </w:tcPr>
          <w:p w14:paraId="507C6EB6">
            <w:pPr>
              <w:autoSpaceDE w:val="0"/>
              <w:autoSpaceDN w:val="0"/>
              <w:adjustRightInd w:val="0"/>
              <w:snapToGrid w:val="0"/>
              <w:spacing w:line="280" w:lineRule="exact"/>
              <w:jc w:val="center"/>
              <w:rPr>
                <w:rFonts w:ascii="Times New Roman" w:eastAsia="宋体"/>
                <w:sz w:val="21"/>
                <w:szCs w:val="21"/>
              </w:rPr>
            </w:pPr>
            <w:r>
              <w:rPr>
                <w:rFonts w:ascii="Times New Roman" w:eastAsia="宋体"/>
                <w:sz w:val="21"/>
                <w:szCs w:val="21"/>
              </w:rPr>
              <w:t>5.0×10</w:t>
            </w:r>
            <w:r>
              <w:rPr>
                <w:rFonts w:ascii="Times New Roman" w:eastAsia="宋体"/>
                <w:sz w:val="21"/>
                <w:szCs w:val="21"/>
                <w:vertAlign w:val="superscript"/>
              </w:rPr>
              <w:t>-6</w:t>
            </w:r>
          </w:p>
        </w:tc>
      </w:tr>
      <w:tr w14:paraId="1C1746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2404" w:type="pct"/>
            <w:vAlign w:val="center"/>
          </w:tcPr>
          <w:p w14:paraId="0C22C968">
            <w:pPr>
              <w:adjustRightInd w:val="0"/>
              <w:snapToGrid w:val="0"/>
              <w:spacing w:line="280" w:lineRule="exact"/>
              <w:jc w:val="center"/>
              <w:rPr>
                <w:rFonts w:ascii="Times New Roman" w:eastAsia="宋体"/>
                <w:sz w:val="21"/>
                <w:szCs w:val="21"/>
              </w:rPr>
            </w:pPr>
            <w:r>
              <w:rPr>
                <w:rFonts w:ascii="Times New Roman" w:eastAsia="宋体"/>
                <w:sz w:val="21"/>
                <w:szCs w:val="21"/>
              </w:rPr>
              <w:t>粘土</w:t>
            </w:r>
          </w:p>
        </w:tc>
        <w:tc>
          <w:tcPr>
            <w:tcW w:w="2596" w:type="pct"/>
            <w:vAlign w:val="center"/>
          </w:tcPr>
          <w:p w14:paraId="67FF8C91">
            <w:pPr>
              <w:autoSpaceDE w:val="0"/>
              <w:autoSpaceDN w:val="0"/>
              <w:adjustRightInd w:val="0"/>
              <w:snapToGrid w:val="0"/>
              <w:spacing w:line="280" w:lineRule="exact"/>
              <w:jc w:val="center"/>
              <w:rPr>
                <w:rFonts w:ascii="Times New Roman" w:eastAsia="宋体"/>
                <w:sz w:val="21"/>
                <w:szCs w:val="21"/>
              </w:rPr>
            </w:pPr>
            <w:r>
              <w:rPr>
                <w:rFonts w:ascii="Times New Roman" w:eastAsia="宋体"/>
                <w:sz w:val="21"/>
                <w:szCs w:val="21"/>
              </w:rPr>
              <w:t>1.0×10</w:t>
            </w:r>
            <w:r>
              <w:rPr>
                <w:rFonts w:ascii="Times New Roman" w:eastAsia="宋体"/>
                <w:sz w:val="21"/>
                <w:szCs w:val="21"/>
                <w:vertAlign w:val="superscript"/>
              </w:rPr>
              <w:t>-6</w:t>
            </w:r>
          </w:p>
        </w:tc>
      </w:tr>
      <w:tr w14:paraId="23F3D29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2404" w:type="pct"/>
            <w:vAlign w:val="center"/>
          </w:tcPr>
          <w:p w14:paraId="297A099C">
            <w:pPr>
              <w:adjustRightInd w:val="0"/>
              <w:snapToGrid w:val="0"/>
              <w:spacing w:line="280" w:lineRule="exact"/>
              <w:jc w:val="center"/>
              <w:rPr>
                <w:rFonts w:ascii="Times New Roman" w:eastAsia="宋体"/>
                <w:sz w:val="21"/>
                <w:szCs w:val="21"/>
              </w:rPr>
            </w:pPr>
            <w:r>
              <w:rPr>
                <w:rFonts w:ascii="Times New Roman" w:eastAsia="宋体"/>
                <w:sz w:val="21"/>
                <w:szCs w:val="21"/>
              </w:rPr>
              <w:t>淤泥质粉质粘土</w:t>
            </w:r>
          </w:p>
        </w:tc>
        <w:tc>
          <w:tcPr>
            <w:tcW w:w="2596" w:type="pct"/>
            <w:vAlign w:val="center"/>
          </w:tcPr>
          <w:p w14:paraId="02A1B066">
            <w:pPr>
              <w:autoSpaceDE w:val="0"/>
              <w:autoSpaceDN w:val="0"/>
              <w:adjustRightInd w:val="0"/>
              <w:snapToGrid w:val="0"/>
              <w:spacing w:line="280" w:lineRule="exact"/>
              <w:jc w:val="center"/>
              <w:rPr>
                <w:rFonts w:ascii="Times New Roman" w:eastAsia="宋体"/>
                <w:sz w:val="21"/>
                <w:szCs w:val="21"/>
              </w:rPr>
            </w:pPr>
            <w:r>
              <w:rPr>
                <w:rFonts w:ascii="Times New Roman" w:eastAsia="宋体"/>
                <w:sz w:val="21"/>
                <w:szCs w:val="21"/>
              </w:rPr>
              <w:t>5.0×10</w:t>
            </w:r>
            <w:r>
              <w:rPr>
                <w:rFonts w:ascii="Times New Roman" w:eastAsia="宋体"/>
                <w:sz w:val="21"/>
                <w:szCs w:val="21"/>
                <w:vertAlign w:val="superscript"/>
              </w:rPr>
              <w:t>-5</w:t>
            </w:r>
          </w:p>
        </w:tc>
      </w:tr>
      <w:tr w14:paraId="507ABF6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2404" w:type="pct"/>
            <w:vAlign w:val="center"/>
          </w:tcPr>
          <w:p w14:paraId="1F3F6D97">
            <w:pPr>
              <w:adjustRightInd w:val="0"/>
              <w:snapToGrid w:val="0"/>
              <w:spacing w:line="280" w:lineRule="exact"/>
              <w:jc w:val="center"/>
              <w:rPr>
                <w:rFonts w:ascii="Times New Roman" w:eastAsia="宋体"/>
                <w:sz w:val="21"/>
                <w:szCs w:val="21"/>
              </w:rPr>
            </w:pPr>
            <w:r>
              <w:rPr>
                <w:rFonts w:ascii="Times New Roman" w:eastAsia="宋体"/>
                <w:sz w:val="21"/>
                <w:szCs w:val="21"/>
              </w:rPr>
              <w:t>粘土</w:t>
            </w:r>
          </w:p>
        </w:tc>
        <w:tc>
          <w:tcPr>
            <w:tcW w:w="2596" w:type="pct"/>
            <w:vAlign w:val="center"/>
          </w:tcPr>
          <w:p w14:paraId="6A193B86">
            <w:pPr>
              <w:adjustRightInd w:val="0"/>
              <w:snapToGrid w:val="0"/>
              <w:spacing w:line="280" w:lineRule="exact"/>
              <w:jc w:val="center"/>
              <w:rPr>
                <w:rFonts w:ascii="Times New Roman" w:eastAsia="宋体"/>
                <w:sz w:val="21"/>
                <w:szCs w:val="21"/>
              </w:rPr>
            </w:pPr>
            <w:r>
              <w:rPr>
                <w:rFonts w:ascii="Times New Roman" w:eastAsia="宋体"/>
                <w:sz w:val="21"/>
                <w:szCs w:val="21"/>
              </w:rPr>
              <w:t>5.0×10</w:t>
            </w:r>
            <w:r>
              <w:rPr>
                <w:rFonts w:ascii="Times New Roman" w:eastAsia="宋体"/>
                <w:sz w:val="21"/>
                <w:szCs w:val="21"/>
                <w:vertAlign w:val="superscript"/>
              </w:rPr>
              <w:t>-7</w:t>
            </w:r>
          </w:p>
        </w:tc>
      </w:tr>
    </w:tbl>
    <w:p w14:paraId="05B47E8A">
      <w:pPr>
        <w:adjustRightInd w:val="0"/>
        <w:snapToGrid w:val="0"/>
        <w:spacing w:line="480" w:lineRule="exact"/>
        <w:ind w:firstLine="480" w:firstLineChars="200"/>
        <w:rPr>
          <w:rFonts w:ascii="Times New Roman"/>
          <w:szCs w:val="24"/>
        </w:rPr>
      </w:pPr>
      <w:r>
        <w:rPr>
          <w:rFonts w:ascii="Times New Roman"/>
          <w:szCs w:val="24"/>
        </w:rPr>
        <w:t>因此，本项目区的渗透系数平均值及水力坡度见表5.</w:t>
      </w:r>
      <w:r>
        <w:rPr>
          <w:rFonts w:hint="eastAsia" w:ascii="Times New Roman"/>
          <w:szCs w:val="24"/>
        </w:rPr>
        <w:t>6</w:t>
      </w:r>
      <w:r>
        <w:rPr>
          <w:rFonts w:ascii="Times New Roman"/>
          <w:szCs w:val="24"/>
        </w:rPr>
        <w:t>-</w:t>
      </w:r>
      <w:r>
        <w:rPr>
          <w:rFonts w:hint="eastAsia" w:ascii="Times New Roman"/>
          <w:szCs w:val="24"/>
        </w:rPr>
        <w:t>2</w:t>
      </w:r>
      <w:r>
        <w:rPr>
          <w:rFonts w:ascii="Times New Roman"/>
          <w:szCs w:val="24"/>
        </w:rPr>
        <w:t>。</w:t>
      </w:r>
    </w:p>
    <w:p w14:paraId="559EB79C">
      <w:pPr>
        <w:pStyle w:val="11"/>
        <w:adjustRightInd w:val="0"/>
        <w:snapToGrid w:val="0"/>
        <w:spacing w:line="480" w:lineRule="exact"/>
        <w:ind w:firstLine="482"/>
        <w:jc w:val="center"/>
        <w:rPr>
          <w:b/>
          <w:bCs/>
          <w:sz w:val="24"/>
          <w:szCs w:val="24"/>
        </w:rPr>
      </w:pPr>
      <w:r>
        <w:rPr>
          <w:b/>
          <w:bCs/>
          <w:sz w:val="24"/>
          <w:szCs w:val="24"/>
        </w:rPr>
        <w:t>表5.</w:t>
      </w:r>
      <w:r>
        <w:rPr>
          <w:rFonts w:hint="eastAsia"/>
          <w:b/>
          <w:bCs/>
          <w:sz w:val="24"/>
          <w:szCs w:val="24"/>
        </w:rPr>
        <w:t>6</w:t>
      </w:r>
      <w:r>
        <w:rPr>
          <w:b/>
          <w:bCs/>
          <w:sz w:val="24"/>
          <w:szCs w:val="24"/>
        </w:rPr>
        <w:t>-</w:t>
      </w:r>
      <w:r>
        <w:rPr>
          <w:rFonts w:hint="eastAsia"/>
          <w:b/>
          <w:bCs/>
          <w:sz w:val="24"/>
          <w:szCs w:val="24"/>
        </w:rPr>
        <w:t>2</w:t>
      </w:r>
      <w:r>
        <w:rPr>
          <w:b/>
          <w:bCs/>
          <w:sz w:val="24"/>
          <w:szCs w:val="24"/>
        </w:rPr>
        <w:t xml:space="preserve">  渗透系数及水力坡度</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03"/>
        <w:gridCol w:w="3097"/>
        <w:gridCol w:w="3288"/>
      </w:tblGrid>
      <w:tr w14:paraId="07CA27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3" w:type="pct"/>
            <w:vAlign w:val="center"/>
          </w:tcPr>
          <w:p w14:paraId="169ECEC1">
            <w:pPr>
              <w:adjustRightInd w:val="0"/>
              <w:snapToGrid w:val="0"/>
              <w:spacing w:line="280" w:lineRule="exact"/>
              <w:jc w:val="center"/>
              <w:rPr>
                <w:rFonts w:ascii="Times New Roman" w:eastAsia="宋体"/>
                <w:sz w:val="21"/>
                <w:szCs w:val="21"/>
              </w:rPr>
            </w:pPr>
            <w:r>
              <w:rPr>
                <w:rFonts w:ascii="Times New Roman" w:eastAsia="宋体"/>
                <w:sz w:val="21"/>
                <w:szCs w:val="21"/>
              </w:rPr>
              <w:t>项目</w:t>
            </w:r>
          </w:p>
        </w:tc>
        <w:tc>
          <w:tcPr>
            <w:tcW w:w="1667" w:type="pct"/>
            <w:vAlign w:val="center"/>
          </w:tcPr>
          <w:p w14:paraId="45759ADF">
            <w:pPr>
              <w:adjustRightInd w:val="0"/>
              <w:snapToGrid w:val="0"/>
              <w:spacing w:line="280" w:lineRule="exact"/>
              <w:jc w:val="center"/>
              <w:rPr>
                <w:rFonts w:ascii="Times New Roman" w:eastAsia="宋体"/>
                <w:sz w:val="21"/>
                <w:szCs w:val="21"/>
              </w:rPr>
            </w:pPr>
            <w:r>
              <w:rPr>
                <w:rFonts w:ascii="Times New Roman" w:eastAsia="宋体"/>
                <w:sz w:val="21"/>
                <w:szCs w:val="21"/>
              </w:rPr>
              <w:t>渗透系数(cm/s)</w:t>
            </w:r>
          </w:p>
        </w:tc>
        <w:tc>
          <w:tcPr>
            <w:tcW w:w="1770" w:type="pct"/>
            <w:vAlign w:val="center"/>
          </w:tcPr>
          <w:p w14:paraId="5C7707D5">
            <w:pPr>
              <w:autoSpaceDE w:val="0"/>
              <w:autoSpaceDN w:val="0"/>
              <w:adjustRightInd w:val="0"/>
              <w:snapToGrid w:val="0"/>
              <w:spacing w:line="280" w:lineRule="exact"/>
              <w:jc w:val="center"/>
              <w:rPr>
                <w:rFonts w:ascii="Times New Roman" w:eastAsia="宋体"/>
                <w:sz w:val="21"/>
                <w:szCs w:val="21"/>
                <w:lang w:val="zh-CN"/>
              </w:rPr>
            </w:pPr>
            <w:r>
              <w:rPr>
                <w:rFonts w:ascii="Times New Roman" w:eastAsia="宋体"/>
                <w:sz w:val="21"/>
                <w:szCs w:val="21"/>
                <w:lang w:val="zh-CN"/>
              </w:rPr>
              <w:t>水力坡度（‰）</w:t>
            </w:r>
          </w:p>
        </w:tc>
      </w:tr>
      <w:tr w14:paraId="352BE5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3" w:type="pct"/>
            <w:vAlign w:val="center"/>
          </w:tcPr>
          <w:p w14:paraId="5C2B20C4">
            <w:pPr>
              <w:adjustRightInd w:val="0"/>
              <w:snapToGrid w:val="0"/>
              <w:spacing w:line="280" w:lineRule="exact"/>
              <w:jc w:val="center"/>
              <w:rPr>
                <w:rFonts w:ascii="Times New Roman" w:eastAsia="宋体"/>
                <w:sz w:val="21"/>
                <w:szCs w:val="21"/>
              </w:rPr>
            </w:pPr>
            <w:r>
              <w:rPr>
                <w:rFonts w:ascii="Times New Roman" w:eastAsia="宋体"/>
                <w:sz w:val="21"/>
                <w:szCs w:val="21"/>
              </w:rPr>
              <w:t>项目建设区含水层</w:t>
            </w:r>
          </w:p>
        </w:tc>
        <w:tc>
          <w:tcPr>
            <w:tcW w:w="1667" w:type="pct"/>
            <w:vAlign w:val="center"/>
          </w:tcPr>
          <w:p w14:paraId="0E3110B0">
            <w:pPr>
              <w:adjustRightInd w:val="0"/>
              <w:snapToGrid w:val="0"/>
              <w:spacing w:line="280" w:lineRule="exact"/>
              <w:jc w:val="center"/>
              <w:rPr>
                <w:rFonts w:ascii="Times New Roman" w:eastAsia="宋体"/>
                <w:sz w:val="21"/>
                <w:szCs w:val="21"/>
              </w:rPr>
            </w:pPr>
            <w:r>
              <w:rPr>
                <w:rFonts w:ascii="Times New Roman" w:eastAsia="宋体"/>
                <w:sz w:val="21"/>
                <w:szCs w:val="21"/>
              </w:rPr>
              <w:t>2.08×10</w:t>
            </w:r>
            <w:r>
              <w:rPr>
                <w:rFonts w:ascii="Times New Roman" w:eastAsia="宋体"/>
                <w:sz w:val="21"/>
                <w:szCs w:val="21"/>
                <w:vertAlign w:val="superscript"/>
              </w:rPr>
              <w:t>-5</w:t>
            </w:r>
          </w:p>
        </w:tc>
        <w:tc>
          <w:tcPr>
            <w:tcW w:w="1770" w:type="pct"/>
            <w:vAlign w:val="center"/>
          </w:tcPr>
          <w:p w14:paraId="6431F77D">
            <w:pPr>
              <w:autoSpaceDE w:val="0"/>
              <w:autoSpaceDN w:val="0"/>
              <w:adjustRightInd w:val="0"/>
              <w:snapToGrid w:val="0"/>
              <w:spacing w:line="280" w:lineRule="exact"/>
              <w:jc w:val="center"/>
              <w:rPr>
                <w:rFonts w:ascii="Times New Roman" w:eastAsia="宋体"/>
                <w:sz w:val="21"/>
                <w:szCs w:val="21"/>
              </w:rPr>
            </w:pPr>
            <w:r>
              <w:rPr>
                <w:rFonts w:ascii="Times New Roman" w:eastAsia="宋体"/>
                <w:sz w:val="21"/>
                <w:szCs w:val="21"/>
              </w:rPr>
              <w:t>2</w:t>
            </w:r>
          </w:p>
        </w:tc>
      </w:tr>
    </w:tbl>
    <w:p w14:paraId="2DE873CB">
      <w:pPr>
        <w:adjustRightInd w:val="0"/>
        <w:snapToGrid w:val="0"/>
        <w:spacing w:line="480" w:lineRule="exact"/>
        <w:ind w:firstLine="480" w:firstLineChars="200"/>
        <w:rPr>
          <w:rFonts w:ascii="Times New Roman"/>
          <w:szCs w:val="24"/>
        </w:rPr>
      </w:pPr>
      <w:r>
        <w:rPr>
          <w:szCs w:val="24"/>
        </w:rPr>
        <w:t>②</w:t>
      </w:r>
      <w:r>
        <w:rPr>
          <w:rFonts w:ascii="Times New Roman"/>
          <w:szCs w:val="24"/>
        </w:rPr>
        <w:t>孔隙度的确定</w:t>
      </w:r>
    </w:p>
    <w:p w14:paraId="741631AD">
      <w:pPr>
        <w:adjustRightInd w:val="0"/>
        <w:snapToGrid w:val="0"/>
        <w:spacing w:line="480" w:lineRule="exact"/>
        <w:ind w:firstLine="480"/>
        <w:rPr>
          <w:rFonts w:ascii="Times New Roman"/>
          <w:color w:val="000000"/>
          <w:szCs w:val="24"/>
        </w:rPr>
      </w:pPr>
      <w:r>
        <w:rPr>
          <w:rFonts w:ascii="Times New Roman"/>
          <w:color w:val="000000"/>
          <w:szCs w:val="24"/>
        </w:rPr>
        <w:t>根据地勘资料提供的孔隙比e数据，计算得出该区域的土壤孔隙度n取得平均值为0.455，有效孔隙度按0.22计。</w:t>
      </w:r>
    </w:p>
    <w:p w14:paraId="7A04BE33">
      <w:pPr>
        <w:adjustRightInd w:val="0"/>
        <w:snapToGrid w:val="0"/>
        <w:spacing w:line="480" w:lineRule="exact"/>
        <w:ind w:firstLine="480"/>
        <w:rPr>
          <w:rFonts w:ascii="Times New Roman"/>
          <w:color w:val="000000"/>
          <w:szCs w:val="24"/>
        </w:rPr>
      </w:pPr>
      <w:r>
        <w:rPr>
          <w:rFonts w:ascii="Times New Roman"/>
          <w:color w:val="000000"/>
          <w:szCs w:val="24"/>
        </w:rPr>
        <w:t>③弥散度的确定</w:t>
      </w:r>
    </w:p>
    <w:p w14:paraId="1530DDD0">
      <w:pPr>
        <w:adjustRightInd w:val="0"/>
        <w:snapToGrid w:val="0"/>
        <w:spacing w:line="480" w:lineRule="exact"/>
        <w:ind w:firstLine="480"/>
        <w:rPr>
          <w:rFonts w:ascii="Times New Roman"/>
          <w:color w:val="000000"/>
          <w:szCs w:val="24"/>
        </w:rPr>
      </w:pPr>
      <w:r>
        <w:rPr>
          <w:rFonts w:ascii="Times New Roman"/>
          <w:color w:val="000000"/>
          <w:szCs w:val="24"/>
        </w:rPr>
        <w:t>纵向弥散系数DL是纵向弥散度αL与孔隙平均流速的乘积：DL=αL×Vm，实验表明，αL主要依赖于平均粒径和均匀系数(d60/d10)。孙讷正著《地下水污染-数学模型和数值方法》弥散度的实验数据见表5.</w:t>
      </w:r>
      <w:r>
        <w:rPr>
          <w:rFonts w:hint="eastAsia" w:ascii="Times New Roman"/>
          <w:color w:val="000000"/>
          <w:szCs w:val="24"/>
        </w:rPr>
        <w:t>6</w:t>
      </w:r>
      <w:r>
        <w:rPr>
          <w:rFonts w:ascii="Times New Roman"/>
          <w:color w:val="000000"/>
          <w:szCs w:val="24"/>
        </w:rPr>
        <w:t>-3。</w:t>
      </w:r>
    </w:p>
    <w:p w14:paraId="2D556CF9">
      <w:pPr>
        <w:adjustRightInd w:val="0"/>
        <w:snapToGrid w:val="0"/>
        <w:spacing w:line="480" w:lineRule="exact"/>
        <w:ind w:firstLine="482"/>
        <w:jc w:val="center"/>
        <w:rPr>
          <w:rFonts w:ascii="Times New Roman"/>
          <w:b/>
          <w:bCs/>
          <w:color w:val="000000"/>
          <w:szCs w:val="24"/>
        </w:rPr>
      </w:pPr>
      <w:r>
        <w:rPr>
          <w:rFonts w:ascii="Times New Roman"/>
          <w:b/>
          <w:bCs/>
          <w:color w:val="000000"/>
          <w:szCs w:val="24"/>
        </w:rPr>
        <w:t>表5.</w:t>
      </w:r>
      <w:r>
        <w:rPr>
          <w:rFonts w:hint="eastAsia" w:ascii="Times New Roman"/>
          <w:b/>
          <w:bCs/>
          <w:color w:val="000000"/>
          <w:szCs w:val="24"/>
        </w:rPr>
        <w:t>6</w:t>
      </w:r>
      <w:r>
        <w:rPr>
          <w:rFonts w:ascii="Times New Roman"/>
          <w:b/>
          <w:bCs/>
          <w:color w:val="000000"/>
          <w:szCs w:val="24"/>
        </w:rPr>
        <w:t>-3 纵向弥散系数DL与平均流速表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826"/>
        <w:gridCol w:w="1696"/>
        <w:gridCol w:w="1410"/>
        <w:gridCol w:w="1187"/>
        <w:gridCol w:w="1475"/>
        <w:gridCol w:w="1694"/>
      </w:tblGrid>
      <w:tr w14:paraId="33033D2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83" w:type="pct"/>
            <w:vAlign w:val="center"/>
          </w:tcPr>
          <w:p w14:paraId="533C2DF7">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粒径变化范围（mm）</w:t>
            </w:r>
          </w:p>
        </w:tc>
        <w:tc>
          <w:tcPr>
            <w:tcW w:w="913" w:type="pct"/>
            <w:vAlign w:val="center"/>
          </w:tcPr>
          <w:p w14:paraId="2624B43B">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平均粒径d50（mm）</w:t>
            </w:r>
          </w:p>
        </w:tc>
        <w:tc>
          <w:tcPr>
            <w:tcW w:w="759" w:type="pct"/>
            <w:vAlign w:val="center"/>
          </w:tcPr>
          <w:p w14:paraId="3981774C">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均匀系数</w:t>
            </w:r>
          </w:p>
        </w:tc>
        <w:tc>
          <w:tcPr>
            <w:tcW w:w="639" w:type="pct"/>
            <w:vAlign w:val="center"/>
          </w:tcPr>
          <w:p w14:paraId="4532AFB5">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指数m</w:t>
            </w:r>
          </w:p>
        </w:tc>
        <w:tc>
          <w:tcPr>
            <w:tcW w:w="794" w:type="pct"/>
            <w:vAlign w:val="center"/>
          </w:tcPr>
          <w:p w14:paraId="084D2483">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纵向弥散度α</w:t>
            </w:r>
            <w:r>
              <w:rPr>
                <w:rFonts w:ascii="Times New Roman" w:eastAsia="宋体"/>
                <w:color w:val="000000"/>
                <w:sz w:val="21"/>
                <w:szCs w:val="21"/>
                <w:vertAlign w:val="subscript"/>
              </w:rPr>
              <w:t>L</w:t>
            </w:r>
            <w:r>
              <w:rPr>
                <w:rFonts w:ascii="Times New Roman" w:eastAsia="宋体"/>
                <w:color w:val="000000"/>
                <w:sz w:val="21"/>
                <w:szCs w:val="21"/>
              </w:rPr>
              <w:t>（m）</w:t>
            </w:r>
          </w:p>
        </w:tc>
        <w:tc>
          <w:tcPr>
            <w:tcW w:w="912" w:type="pct"/>
            <w:vAlign w:val="center"/>
          </w:tcPr>
          <w:p w14:paraId="6DAD54A3">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最小平均流速（m/d）</w:t>
            </w:r>
          </w:p>
        </w:tc>
      </w:tr>
      <w:tr w14:paraId="1E146B5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83" w:type="pct"/>
            <w:vAlign w:val="center"/>
          </w:tcPr>
          <w:p w14:paraId="7C003F87">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0.4~0.7</w:t>
            </w:r>
          </w:p>
        </w:tc>
        <w:tc>
          <w:tcPr>
            <w:tcW w:w="913" w:type="pct"/>
            <w:vAlign w:val="center"/>
          </w:tcPr>
          <w:p w14:paraId="75C0250A">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0.61</w:t>
            </w:r>
          </w:p>
        </w:tc>
        <w:tc>
          <w:tcPr>
            <w:tcW w:w="759" w:type="pct"/>
            <w:vAlign w:val="center"/>
          </w:tcPr>
          <w:p w14:paraId="7A54E7A5">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1.55</w:t>
            </w:r>
          </w:p>
        </w:tc>
        <w:tc>
          <w:tcPr>
            <w:tcW w:w="639" w:type="pct"/>
            <w:vAlign w:val="center"/>
          </w:tcPr>
          <w:p w14:paraId="1CD5E02C">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1.09</w:t>
            </w:r>
          </w:p>
        </w:tc>
        <w:tc>
          <w:tcPr>
            <w:tcW w:w="794" w:type="pct"/>
            <w:vAlign w:val="center"/>
          </w:tcPr>
          <w:p w14:paraId="279D62B9">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3.96×10</w:t>
            </w:r>
            <w:r>
              <w:rPr>
                <w:rFonts w:ascii="Times New Roman" w:eastAsia="宋体"/>
                <w:color w:val="000000"/>
                <w:sz w:val="21"/>
                <w:szCs w:val="21"/>
                <w:vertAlign w:val="superscript"/>
              </w:rPr>
              <w:t>-3</w:t>
            </w:r>
          </w:p>
        </w:tc>
        <w:tc>
          <w:tcPr>
            <w:tcW w:w="912" w:type="pct"/>
            <w:vAlign w:val="center"/>
          </w:tcPr>
          <w:p w14:paraId="2D07380D">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≤0.864</w:t>
            </w:r>
          </w:p>
        </w:tc>
      </w:tr>
      <w:tr w14:paraId="7C428FB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83" w:type="pct"/>
            <w:vAlign w:val="center"/>
          </w:tcPr>
          <w:p w14:paraId="12F6563D">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0.5~1.5</w:t>
            </w:r>
          </w:p>
        </w:tc>
        <w:tc>
          <w:tcPr>
            <w:tcW w:w="913" w:type="pct"/>
            <w:vAlign w:val="center"/>
          </w:tcPr>
          <w:p w14:paraId="29763C4F">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0.75</w:t>
            </w:r>
          </w:p>
        </w:tc>
        <w:tc>
          <w:tcPr>
            <w:tcW w:w="759" w:type="pct"/>
            <w:vAlign w:val="center"/>
          </w:tcPr>
          <w:p w14:paraId="66A2718D">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1.85</w:t>
            </w:r>
          </w:p>
        </w:tc>
        <w:tc>
          <w:tcPr>
            <w:tcW w:w="639" w:type="pct"/>
            <w:vAlign w:val="center"/>
          </w:tcPr>
          <w:p w14:paraId="0519346C">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1.10</w:t>
            </w:r>
          </w:p>
        </w:tc>
        <w:tc>
          <w:tcPr>
            <w:tcW w:w="794" w:type="pct"/>
            <w:vAlign w:val="center"/>
          </w:tcPr>
          <w:p w14:paraId="450E5B0F">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5.78×10</w:t>
            </w:r>
            <w:r>
              <w:rPr>
                <w:rFonts w:ascii="Times New Roman" w:eastAsia="宋体"/>
                <w:color w:val="000000"/>
                <w:sz w:val="21"/>
                <w:szCs w:val="21"/>
                <w:vertAlign w:val="superscript"/>
              </w:rPr>
              <w:t>-3</w:t>
            </w:r>
          </w:p>
        </w:tc>
        <w:tc>
          <w:tcPr>
            <w:tcW w:w="912" w:type="pct"/>
            <w:vAlign w:val="center"/>
          </w:tcPr>
          <w:p w14:paraId="36DC56F3">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6.9</w:t>
            </w:r>
          </w:p>
        </w:tc>
      </w:tr>
      <w:tr w14:paraId="54D46BB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83" w:type="pct"/>
            <w:vAlign w:val="center"/>
          </w:tcPr>
          <w:p w14:paraId="5B088E53">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1~2</w:t>
            </w:r>
          </w:p>
        </w:tc>
        <w:tc>
          <w:tcPr>
            <w:tcW w:w="913" w:type="pct"/>
            <w:vAlign w:val="center"/>
          </w:tcPr>
          <w:p w14:paraId="284CBB52">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1.6</w:t>
            </w:r>
          </w:p>
        </w:tc>
        <w:tc>
          <w:tcPr>
            <w:tcW w:w="759" w:type="pct"/>
            <w:vAlign w:val="center"/>
          </w:tcPr>
          <w:p w14:paraId="6015B702">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1.6</w:t>
            </w:r>
          </w:p>
        </w:tc>
        <w:tc>
          <w:tcPr>
            <w:tcW w:w="639" w:type="pct"/>
            <w:vAlign w:val="center"/>
          </w:tcPr>
          <w:p w14:paraId="49D3AFF7">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1.10</w:t>
            </w:r>
          </w:p>
        </w:tc>
        <w:tc>
          <w:tcPr>
            <w:tcW w:w="794" w:type="pct"/>
            <w:vAlign w:val="center"/>
          </w:tcPr>
          <w:p w14:paraId="75B1A225">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8.8×10</w:t>
            </w:r>
            <w:r>
              <w:rPr>
                <w:rFonts w:ascii="Times New Roman" w:eastAsia="宋体"/>
                <w:color w:val="000000"/>
                <w:sz w:val="21"/>
                <w:szCs w:val="21"/>
                <w:vertAlign w:val="superscript"/>
              </w:rPr>
              <w:t>-3</w:t>
            </w:r>
          </w:p>
        </w:tc>
        <w:tc>
          <w:tcPr>
            <w:tcW w:w="912" w:type="pct"/>
            <w:vAlign w:val="center"/>
          </w:tcPr>
          <w:p w14:paraId="019120A0">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12.96</w:t>
            </w:r>
          </w:p>
        </w:tc>
      </w:tr>
      <w:tr w14:paraId="7570473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83" w:type="pct"/>
            <w:vAlign w:val="center"/>
          </w:tcPr>
          <w:p w14:paraId="6663D693">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2~3</w:t>
            </w:r>
          </w:p>
        </w:tc>
        <w:tc>
          <w:tcPr>
            <w:tcW w:w="913" w:type="pct"/>
            <w:vAlign w:val="center"/>
          </w:tcPr>
          <w:p w14:paraId="049808A4">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2.7</w:t>
            </w:r>
          </w:p>
        </w:tc>
        <w:tc>
          <w:tcPr>
            <w:tcW w:w="759" w:type="pct"/>
            <w:vAlign w:val="center"/>
          </w:tcPr>
          <w:p w14:paraId="2ABF62AF">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1.3</w:t>
            </w:r>
          </w:p>
        </w:tc>
        <w:tc>
          <w:tcPr>
            <w:tcW w:w="639" w:type="pct"/>
            <w:vAlign w:val="center"/>
          </w:tcPr>
          <w:p w14:paraId="0B503945">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1.09</w:t>
            </w:r>
          </w:p>
        </w:tc>
        <w:tc>
          <w:tcPr>
            <w:tcW w:w="794" w:type="pct"/>
            <w:vAlign w:val="center"/>
          </w:tcPr>
          <w:p w14:paraId="7757F19A">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1.3×10</w:t>
            </w:r>
            <w:r>
              <w:rPr>
                <w:rFonts w:ascii="Times New Roman" w:eastAsia="宋体"/>
                <w:color w:val="000000"/>
                <w:sz w:val="21"/>
                <w:szCs w:val="21"/>
                <w:vertAlign w:val="superscript"/>
              </w:rPr>
              <w:t>-2</w:t>
            </w:r>
          </w:p>
        </w:tc>
        <w:tc>
          <w:tcPr>
            <w:tcW w:w="912" w:type="pct"/>
            <w:vAlign w:val="center"/>
          </w:tcPr>
          <w:p w14:paraId="19226411">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17.28</w:t>
            </w:r>
          </w:p>
        </w:tc>
      </w:tr>
      <w:tr w14:paraId="1CE2CD2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83" w:type="pct"/>
            <w:vAlign w:val="center"/>
          </w:tcPr>
          <w:p w14:paraId="6B4F7AD3">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5~7</w:t>
            </w:r>
          </w:p>
        </w:tc>
        <w:tc>
          <w:tcPr>
            <w:tcW w:w="913" w:type="pct"/>
            <w:vAlign w:val="center"/>
          </w:tcPr>
          <w:p w14:paraId="38330C51">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6.3</w:t>
            </w:r>
          </w:p>
        </w:tc>
        <w:tc>
          <w:tcPr>
            <w:tcW w:w="759" w:type="pct"/>
            <w:vAlign w:val="center"/>
          </w:tcPr>
          <w:p w14:paraId="32F87243">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1.3</w:t>
            </w:r>
          </w:p>
        </w:tc>
        <w:tc>
          <w:tcPr>
            <w:tcW w:w="639" w:type="pct"/>
            <w:vAlign w:val="center"/>
          </w:tcPr>
          <w:p w14:paraId="7BF0209A">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1.09</w:t>
            </w:r>
          </w:p>
        </w:tc>
        <w:tc>
          <w:tcPr>
            <w:tcW w:w="794" w:type="pct"/>
            <w:vAlign w:val="center"/>
          </w:tcPr>
          <w:p w14:paraId="72615531">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1.67×10</w:t>
            </w:r>
            <w:r>
              <w:rPr>
                <w:rFonts w:ascii="Times New Roman" w:eastAsia="宋体"/>
                <w:color w:val="000000"/>
                <w:sz w:val="21"/>
                <w:szCs w:val="21"/>
                <w:vertAlign w:val="superscript"/>
              </w:rPr>
              <w:t>-2</w:t>
            </w:r>
          </w:p>
        </w:tc>
        <w:tc>
          <w:tcPr>
            <w:tcW w:w="912" w:type="pct"/>
            <w:vAlign w:val="center"/>
          </w:tcPr>
          <w:p w14:paraId="4A868235">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25.82</w:t>
            </w:r>
          </w:p>
        </w:tc>
      </w:tr>
      <w:tr w14:paraId="56D437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83" w:type="pct"/>
            <w:vAlign w:val="center"/>
          </w:tcPr>
          <w:p w14:paraId="70979D85">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0.5~2</w:t>
            </w:r>
          </w:p>
        </w:tc>
        <w:tc>
          <w:tcPr>
            <w:tcW w:w="913" w:type="pct"/>
            <w:vAlign w:val="center"/>
          </w:tcPr>
          <w:p w14:paraId="15C37AC7">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1.0</w:t>
            </w:r>
          </w:p>
        </w:tc>
        <w:tc>
          <w:tcPr>
            <w:tcW w:w="759" w:type="pct"/>
            <w:vAlign w:val="center"/>
          </w:tcPr>
          <w:p w14:paraId="74A6D104">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2</w:t>
            </w:r>
          </w:p>
        </w:tc>
        <w:tc>
          <w:tcPr>
            <w:tcW w:w="639" w:type="pct"/>
            <w:vAlign w:val="center"/>
          </w:tcPr>
          <w:p w14:paraId="5F8C7157">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1.08</w:t>
            </w:r>
          </w:p>
        </w:tc>
        <w:tc>
          <w:tcPr>
            <w:tcW w:w="794" w:type="pct"/>
            <w:vAlign w:val="center"/>
          </w:tcPr>
          <w:p w14:paraId="37AC2FB6">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3.11×10</w:t>
            </w:r>
            <w:r>
              <w:rPr>
                <w:rFonts w:ascii="Times New Roman" w:eastAsia="宋体"/>
                <w:color w:val="000000"/>
                <w:sz w:val="21"/>
                <w:szCs w:val="21"/>
                <w:vertAlign w:val="superscript"/>
              </w:rPr>
              <w:t>-3</w:t>
            </w:r>
          </w:p>
        </w:tc>
        <w:tc>
          <w:tcPr>
            <w:tcW w:w="912" w:type="pct"/>
            <w:vAlign w:val="center"/>
          </w:tcPr>
          <w:p w14:paraId="6123C34C">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432</w:t>
            </w:r>
          </w:p>
        </w:tc>
      </w:tr>
      <w:tr w14:paraId="3A40EAE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83" w:type="pct"/>
            <w:vAlign w:val="center"/>
          </w:tcPr>
          <w:p w14:paraId="6B1F095C">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0.2~5</w:t>
            </w:r>
          </w:p>
        </w:tc>
        <w:tc>
          <w:tcPr>
            <w:tcW w:w="913" w:type="pct"/>
            <w:vAlign w:val="center"/>
          </w:tcPr>
          <w:p w14:paraId="5F260109">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1.0</w:t>
            </w:r>
          </w:p>
        </w:tc>
        <w:tc>
          <w:tcPr>
            <w:tcW w:w="759" w:type="pct"/>
            <w:vAlign w:val="center"/>
          </w:tcPr>
          <w:p w14:paraId="46153419">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5</w:t>
            </w:r>
          </w:p>
        </w:tc>
        <w:tc>
          <w:tcPr>
            <w:tcW w:w="639" w:type="pct"/>
            <w:vAlign w:val="center"/>
          </w:tcPr>
          <w:p w14:paraId="0DA0D7AA">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1.08</w:t>
            </w:r>
          </w:p>
        </w:tc>
        <w:tc>
          <w:tcPr>
            <w:tcW w:w="794" w:type="pct"/>
            <w:vAlign w:val="center"/>
          </w:tcPr>
          <w:p w14:paraId="15305D51">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8.3×10</w:t>
            </w:r>
            <w:r>
              <w:rPr>
                <w:rFonts w:ascii="Times New Roman" w:eastAsia="宋体"/>
                <w:color w:val="000000"/>
                <w:sz w:val="21"/>
                <w:szCs w:val="21"/>
                <w:vertAlign w:val="superscript"/>
              </w:rPr>
              <w:t>-3</w:t>
            </w:r>
          </w:p>
        </w:tc>
        <w:tc>
          <w:tcPr>
            <w:tcW w:w="912" w:type="pct"/>
            <w:vAlign w:val="center"/>
          </w:tcPr>
          <w:p w14:paraId="70F45B19">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432</w:t>
            </w:r>
          </w:p>
        </w:tc>
      </w:tr>
      <w:tr w14:paraId="5B5DAB4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83" w:type="pct"/>
            <w:vAlign w:val="center"/>
          </w:tcPr>
          <w:p w14:paraId="171FD093">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0.1~10</w:t>
            </w:r>
          </w:p>
        </w:tc>
        <w:tc>
          <w:tcPr>
            <w:tcW w:w="913" w:type="pct"/>
            <w:vAlign w:val="center"/>
          </w:tcPr>
          <w:p w14:paraId="31F7A1EF">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1.0</w:t>
            </w:r>
          </w:p>
        </w:tc>
        <w:tc>
          <w:tcPr>
            <w:tcW w:w="759" w:type="pct"/>
            <w:vAlign w:val="center"/>
          </w:tcPr>
          <w:p w14:paraId="35D7080C">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10</w:t>
            </w:r>
          </w:p>
        </w:tc>
        <w:tc>
          <w:tcPr>
            <w:tcW w:w="639" w:type="pct"/>
            <w:vAlign w:val="center"/>
          </w:tcPr>
          <w:p w14:paraId="350DD0F5">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1.07</w:t>
            </w:r>
          </w:p>
        </w:tc>
        <w:tc>
          <w:tcPr>
            <w:tcW w:w="794" w:type="pct"/>
            <w:vAlign w:val="center"/>
          </w:tcPr>
          <w:p w14:paraId="216F9B65">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1.63×10</w:t>
            </w:r>
            <w:r>
              <w:rPr>
                <w:rFonts w:ascii="Times New Roman" w:eastAsia="宋体"/>
                <w:color w:val="000000"/>
                <w:sz w:val="21"/>
                <w:szCs w:val="21"/>
                <w:vertAlign w:val="superscript"/>
              </w:rPr>
              <w:t>-2</w:t>
            </w:r>
          </w:p>
        </w:tc>
        <w:tc>
          <w:tcPr>
            <w:tcW w:w="912" w:type="pct"/>
            <w:vAlign w:val="center"/>
          </w:tcPr>
          <w:p w14:paraId="35F95B6A">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432</w:t>
            </w:r>
          </w:p>
        </w:tc>
      </w:tr>
      <w:tr w14:paraId="62B1DA2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83" w:type="pct"/>
            <w:vAlign w:val="center"/>
          </w:tcPr>
          <w:p w14:paraId="4BD1649E">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0.05~20</w:t>
            </w:r>
          </w:p>
        </w:tc>
        <w:tc>
          <w:tcPr>
            <w:tcW w:w="913" w:type="pct"/>
            <w:vAlign w:val="center"/>
          </w:tcPr>
          <w:p w14:paraId="5C440150">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1.0</w:t>
            </w:r>
          </w:p>
        </w:tc>
        <w:tc>
          <w:tcPr>
            <w:tcW w:w="759" w:type="pct"/>
            <w:vAlign w:val="center"/>
          </w:tcPr>
          <w:p w14:paraId="78A4FB1C">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20</w:t>
            </w:r>
          </w:p>
        </w:tc>
        <w:tc>
          <w:tcPr>
            <w:tcW w:w="639" w:type="pct"/>
            <w:vAlign w:val="center"/>
          </w:tcPr>
          <w:p w14:paraId="4AF2C4D4">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1.07</w:t>
            </w:r>
          </w:p>
        </w:tc>
        <w:tc>
          <w:tcPr>
            <w:tcW w:w="794" w:type="pct"/>
            <w:vAlign w:val="center"/>
          </w:tcPr>
          <w:p w14:paraId="3D64D3E3">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7.07×10</w:t>
            </w:r>
            <w:r>
              <w:rPr>
                <w:rFonts w:ascii="Times New Roman" w:eastAsia="宋体"/>
                <w:color w:val="000000"/>
                <w:sz w:val="21"/>
                <w:szCs w:val="21"/>
                <w:vertAlign w:val="superscript"/>
              </w:rPr>
              <w:t>-2</w:t>
            </w:r>
          </w:p>
        </w:tc>
        <w:tc>
          <w:tcPr>
            <w:tcW w:w="912" w:type="pct"/>
            <w:vAlign w:val="center"/>
          </w:tcPr>
          <w:p w14:paraId="1E2F5A0E">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432</w:t>
            </w:r>
          </w:p>
        </w:tc>
      </w:tr>
    </w:tbl>
    <w:p w14:paraId="4C25F908">
      <w:pPr>
        <w:adjustRightInd w:val="0"/>
        <w:snapToGrid w:val="0"/>
        <w:spacing w:line="480" w:lineRule="exact"/>
        <w:ind w:firstLine="480"/>
        <w:rPr>
          <w:rFonts w:ascii="Times New Roman"/>
          <w:color w:val="000000"/>
          <w:szCs w:val="24"/>
        </w:rPr>
      </w:pPr>
      <w:r>
        <w:rPr>
          <w:rFonts w:ascii="Times New Roman"/>
          <w:color w:val="000000"/>
          <w:szCs w:val="24"/>
        </w:rPr>
        <w:t>根据项目所在地为粉质粘土，即0.075mm粒径不超过50%总量的细粒土，可以参考表格中的有关数据进行估算。本项目的纵向弥散度αL取3.96×10</w:t>
      </w:r>
      <w:r>
        <w:rPr>
          <w:rFonts w:ascii="Times New Roman"/>
          <w:color w:val="000000"/>
          <w:szCs w:val="24"/>
          <w:vertAlign w:val="superscript"/>
        </w:rPr>
        <w:t>-3</w:t>
      </w:r>
      <w:r>
        <w:rPr>
          <w:rFonts w:ascii="Times New Roman"/>
          <w:color w:val="000000"/>
          <w:szCs w:val="24"/>
        </w:rPr>
        <w:t>m，流速取0.864m/d，计算得到DL=3.4×10</w:t>
      </w:r>
      <w:r>
        <w:rPr>
          <w:rFonts w:ascii="Times New Roman"/>
          <w:color w:val="000000"/>
          <w:szCs w:val="24"/>
          <w:vertAlign w:val="superscript"/>
        </w:rPr>
        <w:t>-3</w:t>
      </w:r>
      <w:r>
        <w:rPr>
          <w:rFonts w:ascii="Times New Roman"/>
          <w:color w:val="000000"/>
          <w:szCs w:val="24"/>
        </w:rPr>
        <w:t>m</w:t>
      </w:r>
      <w:r>
        <w:rPr>
          <w:rFonts w:ascii="Times New Roman"/>
          <w:color w:val="000000"/>
          <w:szCs w:val="24"/>
          <w:vertAlign w:val="superscript"/>
        </w:rPr>
        <w:t>2</w:t>
      </w:r>
      <w:r>
        <w:rPr>
          <w:rFonts w:ascii="Times New Roman"/>
          <w:color w:val="000000"/>
          <w:szCs w:val="24"/>
        </w:rPr>
        <w:t>/d，实际的DL一般比理论的要大1～2个数量级，本项目的DL取0.034估算。</w:t>
      </w:r>
    </w:p>
    <w:p w14:paraId="1D76022E">
      <w:pPr>
        <w:adjustRightInd w:val="0"/>
        <w:snapToGrid w:val="0"/>
        <w:spacing w:line="480" w:lineRule="exact"/>
        <w:ind w:firstLine="600" w:firstLineChars="250"/>
        <w:jc w:val="left"/>
        <w:rPr>
          <w:rFonts w:ascii="Times New Roman"/>
          <w:color w:val="000000"/>
          <w:szCs w:val="24"/>
        </w:rPr>
      </w:pPr>
      <w:r>
        <w:rPr>
          <w:rFonts w:ascii="Times New Roman"/>
          <w:color w:val="000000"/>
          <w:szCs w:val="24"/>
        </w:rPr>
        <w:t>地下水实际流速和弥散系数的确定按下列方法取得：</w:t>
      </w:r>
    </w:p>
    <w:p w14:paraId="37DEF1D2">
      <w:pPr>
        <w:adjustRightInd w:val="0"/>
        <w:snapToGrid w:val="0"/>
        <w:spacing w:line="480" w:lineRule="exact"/>
        <w:ind w:firstLine="600" w:firstLineChars="250"/>
        <w:jc w:val="left"/>
        <w:rPr>
          <w:rFonts w:ascii="Times New Roman"/>
          <w:color w:val="000000"/>
          <w:szCs w:val="24"/>
        </w:rPr>
      </w:pPr>
      <w:r>
        <w:rPr>
          <w:rFonts w:ascii="Times New Roman"/>
          <w:color w:val="000000"/>
          <w:szCs w:val="24"/>
        </w:rPr>
        <w:t>U＝K×I/n；DL＝aL×Um；DT＝aT×Um</w:t>
      </w:r>
    </w:p>
    <w:p w14:paraId="7025A325">
      <w:pPr>
        <w:adjustRightInd w:val="0"/>
        <w:snapToGrid w:val="0"/>
        <w:spacing w:line="480" w:lineRule="exact"/>
        <w:ind w:firstLine="600" w:firstLineChars="250"/>
        <w:jc w:val="left"/>
        <w:rPr>
          <w:rFonts w:ascii="Times New Roman"/>
          <w:color w:val="000000"/>
          <w:szCs w:val="24"/>
        </w:rPr>
      </w:pPr>
      <w:r>
        <w:rPr>
          <w:rFonts w:ascii="Times New Roman"/>
          <w:color w:val="000000"/>
          <w:szCs w:val="24"/>
        </w:rPr>
        <w:t>其中：U—地下水实际流速，m/d；K—渗透系数，m/d；I—水力坡度；n—孔隙度；m—指数；DL—纵向弥散系数，m</w:t>
      </w:r>
      <w:r>
        <w:rPr>
          <w:rFonts w:ascii="Times New Roman"/>
          <w:color w:val="000000"/>
          <w:szCs w:val="24"/>
          <w:vertAlign w:val="superscript"/>
        </w:rPr>
        <w:t>2</w:t>
      </w:r>
      <w:r>
        <w:rPr>
          <w:rFonts w:ascii="Times New Roman"/>
          <w:color w:val="000000"/>
          <w:szCs w:val="24"/>
        </w:rPr>
        <w:t>/d；DT—横向弥散系数，m</w:t>
      </w:r>
      <w:r>
        <w:rPr>
          <w:rFonts w:ascii="Times New Roman"/>
          <w:color w:val="000000"/>
          <w:szCs w:val="24"/>
          <w:vertAlign w:val="superscript"/>
        </w:rPr>
        <w:t>2</w:t>
      </w:r>
      <w:r>
        <w:rPr>
          <w:rFonts w:ascii="Times New Roman"/>
          <w:color w:val="000000"/>
          <w:szCs w:val="24"/>
        </w:rPr>
        <w:t>/d；aL—纵向弥散度；aT—横向弥散度。计算参数结果见表5.</w:t>
      </w:r>
      <w:r>
        <w:rPr>
          <w:rFonts w:hint="eastAsia" w:ascii="Times New Roman"/>
          <w:color w:val="000000"/>
          <w:szCs w:val="24"/>
        </w:rPr>
        <w:t>6</w:t>
      </w:r>
      <w:r>
        <w:rPr>
          <w:rFonts w:ascii="Times New Roman"/>
          <w:color w:val="000000"/>
          <w:szCs w:val="24"/>
        </w:rPr>
        <w:t>-4。</w:t>
      </w:r>
    </w:p>
    <w:p w14:paraId="426CB9F1">
      <w:pPr>
        <w:adjustRightInd w:val="0"/>
        <w:snapToGrid w:val="0"/>
        <w:spacing w:line="480" w:lineRule="exact"/>
        <w:ind w:firstLine="482"/>
        <w:jc w:val="center"/>
        <w:rPr>
          <w:rFonts w:ascii="Times New Roman"/>
          <w:b/>
          <w:color w:val="000000"/>
          <w:szCs w:val="24"/>
        </w:rPr>
      </w:pPr>
      <w:r>
        <w:rPr>
          <w:rFonts w:ascii="Times New Roman"/>
          <w:b/>
          <w:color w:val="000000"/>
          <w:szCs w:val="24"/>
        </w:rPr>
        <w:t>表5.</w:t>
      </w:r>
      <w:r>
        <w:rPr>
          <w:rFonts w:hint="eastAsia" w:ascii="Times New Roman"/>
          <w:b/>
          <w:color w:val="000000"/>
          <w:szCs w:val="24"/>
        </w:rPr>
        <w:t>6</w:t>
      </w:r>
      <w:r>
        <w:rPr>
          <w:rFonts w:ascii="Times New Roman"/>
          <w:b/>
          <w:color w:val="000000"/>
          <w:szCs w:val="24"/>
        </w:rPr>
        <w:t>-4  计算参数一览表</w:t>
      </w:r>
    </w:p>
    <w:tbl>
      <w:tblPr>
        <w:tblStyle w:val="4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989"/>
        <w:gridCol w:w="867"/>
        <w:gridCol w:w="922"/>
        <w:gridCol w:w="1098"/>
        <w:gridCol w:w="1184"/>
        <w:gridCol w:w="1200"/>
        <w:gridCol w:w="1672"/>
      </w:tblGrid>
      <w:tr w14:paraId="7F2F0F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0" w:type="dxa"/>
            <w:vMerge w:val="restart"/>
            <w:tcBorders>
              <w:top w:val="single" w:color="auto" w:sz="12" w:space="0"/>
              <w:left w:val="nil"/>
              <w:bottom w:val="single" w:color="auto" w:sz="4" w:space="0"/>
              <w:tl2br w:val="single" w:color="auto" w:sz="4" w:space="0"/>
            </w:tcBorders>
            <w:vAlign w:val="center"/>
          </w:tcPr>
          <w:p w14:paraId="2A1EDDA8">
            <w:pPr>
              <w:pStyle w:val="90"/>
              <w:adjustRightInd w:val="0"/>
              <w:snapToGrid w:val="0"/>
              <w:spacing w:line="300" w:lineRule="exact"/>
              <w:ind w:firstLine="0"/>
              <w:jc w:val="right"/>
              <w:rPr>
                <w:rFonts w:eastAsia="宋体"/>
                <w:color w:val="000000"/>
                <w:sz w:val="21"/>
                <w:szCs w:val="21"/>
              </w:rPr>
            </w:pPr>
            <w:r>
              <w:rPr>
                <w:rFonts w:eastAsia="宋体"/>
                <w:color w:val="000000"/>
                <w:sz w:val="21"/>
                <w:szCs w:val="21"/>
              </w:rPr>
              <w:t>参数</w:t>
            </w:r>
          </w:p>
          <w:p w14:paraId="79F0C85A">
            <w:pPr>
              <w:pStyle w:val="90"/>
              <w:adjustRightInd w:val="0"/>
              <w:snapToGrid w:val="0"/>
              <w:spacing w:line="300" w:lineRule="exact"/>
              <w:ind w:firstLine="0"/>
              <w:jc w:val="center"/>
              <w:rPr>
                <w:rFonts w:eastAsia="宋体"/>
                <w:color w:val="000000"/>
                <w:sz w:val="21"/>
                <w:szCs w:val="21"/>
              </w:rPr>
            </w:pPr>
          </w:p>
          <w:p w14:paraId="09646747">
            <w:pPr>
              <w:pStyle w:val="90"/>
              <w:adjustRightInd w:val="0"/>
              <w:snapToGrid w:val="0"/>
              <w:spacing w:line="300" w:lineRule="exact"/>
              <w:ind w:firstLine="0"/>
              <w:jc w:val="left"/>
              <w:rPr>
                <w:rFonts w:eastAsia="宋体"/>
                <w:color w:val="000000"/>
                <w:sz w:val="21"/>
                <w:szCs w:val="21"/>
              </w:rPr>
            </w:pPr>
            <w:r>
              <w:rPr>
                <w:rFonts w:eastAsia="宋体"/>
                <w:color w:val="000000"/>
                <w:sz w:val="21"/>
                <w:szCs w:val="21"/>
              </w:rPr>
              <w:t>含水层</w:t>
            </w:r>
          </w:p>
        </w:tc>
        <w:tc>
          <w:tcPr>
            <w:tcW w:w="989" w:type="dxa"/>
            <w:vMerge w:val="restart"/>
            <w:tcBorders>
              <w:top w:val="single" w:color="auto" w:sz="12" w:space="0"/>
              <w:bottom w:val="single" w:color="auto" w:sz="4" w:space="0"/>
            </w:tcBorders>
            <w:vAlign w:val="center"/>
          </w:tcPr>
          <w:p w14:paraId="64EE3C3D">
            <w:pPr>
              <w:pStyle w:val="90"/>
              <w:adjustRightInd w:val="0"/>
              <w:snapToGrid w:val="0"/>
              <w:spacing w:line="300" w:lineRule="exact"/>
              <w:ind w:firstLine="0"/>
              <w:jc w:val="center"/>
              <w:rPr>
                <w:rFonts w:eastAsia="宋体"/>
                <w:color w:val="000000"/>
                <w:sz w:val="21"/>
                <w:szCs w:val="21"/>
              </w:rPr>
            </w:pPr>
            <w:r>
              <w:rPr>
                <w:rFonts w:eastAsia="宋体"/>
                <w:color w:val="000000"/>
                <w:sz w:val="21"/>
                <w:szCs w:val="21"/>
              </w:rPr>
              <w:t>渗透系数（m/d）</w:t>
            </w:r>
          </w:p>
        </w:tc>
        <w:tc>
          <w:tcPr>
            <w:tcW w:w="867" w:type="dxa"/>
            <w:vMerge w:val="restart"/>
            <w:tcBorders>
              <w:top w:val="single" w:color="auto" w:sz="12" w:space="0"/>
              <w:bottom w:val="single" w:color="auto" w:sz="4" w:space="0"/>
            </w:tcBorders>
            <w:vAlign w:val="center"/>
          </w:tcPr>
          <w:p w14:paraId="65015ADA">
            <w:pPr>
              <w:pStyle w:val="90"/>
              <w:adjustRightInd w:val="0"/>
              <w:snapToGrid w:val="0"/>
              <w:spacing w:line="300" w:lineRule="exact"/>
              <w:ind w:firstLine="0"/>
              <w:jc w:val="center"/>
              <w:rPr>
                <w:rFonts w:eastAsia="宋体"/>
                <w:color w:val="000000"/>
                <w:sz w:val="21"/>
                <w:szCs w:val="21"/>
              </w:rPr>
            </w:pPr>
            <w:r>
              <w:rPr>
                <w:rFonts w:eastAsia="宋体"/>
                <w:color w:val="000000"/>
                <w:sz w:val="21"/>
                <w:szCs w:val="21"/>
              </w:rPr>
              <w:t>有效孔隙度</w:t>
            </w:r>
          </w:p>
        </w:tc>
        <w:tc>
          <w:tcPr>
            <w:tcW w:w="922" w:type="dxa"/>
            <w:vMerge w:val="restart"/>
            <w:tcBorders>
              <w:top w:val="single" w:color="auto" w:sz="12" w:space="0"/>
              <w:bottom w:val="single" w:color="auto" w:sz="4" w:space="0"/>
            </w:tcBorders>
            <w:vAlign w:val="center"/>
          </w:tcPr>
          <w:p w14:paraId="29C2AF74">
            <w:pPr>
              <w:pStyle w:val="90"/>
              <w:adjustRightInd w:val="0"/>
              <w:snapToGrid w:val="0"/>
              <w:spacing w:line="300" w:lineRule="exact"/>
              <w:ind w:firstLine="0"/>
              <w:jc w:val="center"/>
              <w:rPr>
                <w:rFonts w:eastAsia="宋体"/>
                <w:color w:val="000000"/>
                <w:sz w:val="21"/>
                <w:szCs w:val="21"/>
              </w:rPr>
            </w:pPr>
            <w:r>
              <w:rPr>
                <w:rFonts w:eastAsia="宋体"/>
                <w:color w:val="000000"/>
                <w:sz w:val="21"/>
                <w:szCs w:val="21"/>
              </w:rPr>
              <w:t>水力坡度（‰）</w:t>
            </w:r>
          </w:p>
        </w:tc>
        <w:tc>
          <w:tcPr>
            <w:tcW w:w="1098" w:type="dxa"/>
            <w:vMerge w:val="restart"/>
            <w:tcBorders>
              <w:top w:val="single" w:color="auto" w:sz="12" w:space="0"/>
              <w:bottom w:val="single" w:color="auto" w:sz="4" w:space="0"/>
            </w:tcBorders>
            <w:vAlign w:val="center"/>
          </w:tcPr>
          <w:p w14:paraId="539D3D7F">
            <w:pPr>
              <w:pStyle w:val="90"/>
              <w:adjustRightInd w:val="0"/>
              <w:snapToGrid w:val="0"/>
              <w:spacing w:line="300" w:lineRule="exact"/>
              <w:ind w:firstLine="0"/>
              <w:jc w:val="center"/>
              <w:rPr>
                <w:rFonts w:eastAsia="宋体"/>
                <w:color w:val="000000"/>
                <w:sz w:val="21"/>
                <w:szCs w:val="21"/>
              </w:rPr>
            </w:pPr>
            <w:r>
              <w:rPr>
                <w:rFonts w:eastAsia="宋体"/>
                <w:color w:val="000000"/>
                <w:sz w:val="21"/>
                <w:szCs w:val="21"/>
              </w:rPr>
              <w:t>水流速度（m/d）</w:t>
            </w:r>
          </w:p>
        </w:tc>
        <w:tc>
          <w:tcPr>
            <w:tcW w:w="1184" w:type="dxa"/>
            <w:vMerge w:val="restart"/>
            <w:tcBorders>
              <w:top w:val="single" w:color="auto" w:sz="12" w:space="0"/>
              <w:bottom w:val="single" w:color="auto" w:sz="4" w:space="0"/>
            </w:tcBorders>
            <w:vAlign w:val="center"/>
          </w:tcPr>
          <w:p w14:paraId="35030D2E">
            <w:pPr>
              <w:pStyle w:val="90"/>
              <w:adjustRightInd w:val="0"/>
              <w:snapToGrid w:val="0"/>
              <w:spacing w:line="300" w:lineRule="exact"/>
              <w:ind w:firstLine="0"/>
              <w:jc w:val="center"/>
              <w:rPr>
                <w:rFonts w:eastAsia="宋体"/>
                <w:color w:val="000000"/>
                <w:sz w:val="21"/>
                <w:szCs w:val="21"/>
              </w:rPr>
            </w:pPr>
            <w:r>
              <w:rPr>
                <w:rFonts w:eastAsia="宋体"/>
                <w:color w:val="000000"/>
                <w:sz w:val="21"/>
                <w:szCs w:val="21"/>
              </w:rPr>
              <w:t>D</w:t>
            </w:r>
            <w:r>
              <w:rPr>
                <w:rFonts w:eastAsia="宋体"/>
                <w:color w:val="000000"/>
                <w:sz w:val="21"/>
                <w:szCs w:val="21"/>
                <w:vertAlign w:val="subscript"/>
              </w:rPr>
              <w:t>L</w:t>
            </w:r>
            <w:r>
              <w:rPr>
                <w:rFonts w:eastAsia="宋体"/>
                <w:color w:val="000000"/>
                <w:sz w:val="21"/>
                <w:szCs w:val="21"/>
              </w:rPr>
              <w:t>（m</w:t>
            </w:r>
            <w:r>
              <w:rPr>
                <w:rFonts w:eastAsia="宋体"/>
                <w:color w:val="000000"/>
                <w:sz w:val="21"/>
                <w:szCs w:val="21"/>
                <w:vertAlign w:val="superscript"/>
              </w:rPr>
              <w:t>2</w:t>
            </w:r>
            <w:r>
              <w:rPr>
                <w:rFonts w:eastAsia="宋体"/>
                <w:color w:val="000000"/>
                <w:sz w:val="21"/>
                <w:szCs w:val="21"/>
              </w:rPr>
              <w:t>/d）</w:t>
            </w:r>
          </w:p>
        </w:tc>
        <w:tc>
          <w:tcPr>
            <w:tcW w:w="1200" w:type="dxa"/>
            <w:vMerge w:val="restart"/>
            <w:tcBorders>
              <w:top w:val="single" w:color="auto" w:sz="12" w:space="0"/>
              <w:bottom w:val="single" w:color="auto" w:sz="4" w:space="0"/>
            </w:tcBorders>
            <w:vAlign w:val="center"/>
          </w:tcPr>
          <w:p w14:paraId="001CD4BD">
            <w:pPr>
              <w:pStyle w:val="90"/>
              <w:adjustRightInd w:val="0"/>
              <w:snapToGrid w:val="0"/>
              <w:spacing w:line="300" w:lineRule="exact"/>
              <w:ind w:firstLine="0"/>
              <w:jc w:val="center"/>
              <w:rPr>
                <w:rFonts w:eastAsia="宋体"/>
                <w:color w:val="000000"/>
                <w:sz w:val="21"/>
                <w:szCs w:val="21"/>
              </w:rPr>
            </w:pPr>
            <w:r>
              <w:rPr>
                <w:rFonts w:eastAsia="宋体"/>
                <w:color w:val="000000"/>
                <w:sz w:val="21"/>
                <w:szCs w:val="21"/>
              </w:rPr>
              <w:t>D</w:t>
            </w:r>
            <w:r>
              <w:rPr>
                <w:rFonts w:eastAsia="宋体"/>
                <w:color w:val="000000"/>
                <w:sz w:val="21"/>
                <w:szCs w:val="21"/>
                <w:vertAlign w:val="subscript"/>
              </w:rPr>
              <w:t>T</w:t>
            </w:r>
            <w:r>
              <w:rPr>
                <w:rFonts w:eastAsia="宋体"/>
                <w:color w:val="000000"/>
                <w:sz w:val="21"/>
                <w:szCs w:val="21"/>
              </w:rPr>
              <w:t>（m</w:t>
            </w:r>
            <w:r>
              <w:rPr>
                <w:rFonts w:eastAsia="宋体"/>
                <w:color w:val="000000"/>
                <w:sz w:val="21"/>
                <w:szCs w:val="21"/>
                <w:vertAlign w:val="superscript"/>
              </w:rPr>
              <w:t>2</w:t>
            </w:r>
            <w:r>
              <w:rPr>
                <w:rFonts w:eastAsia="宋体"/>
                <w:color w:val="000000"/>
                <w:sz w:val="21"/>
                <w:szCs w:val="21"/>
              </w:rPr>
              <w:t>/d）</w:t>
            </w:r>
          </w:p>
        </w:tc>
        <w:tc>
          <w:tcPr>
            <w:tcW w:w="1672" w:type="dxa"/>
            <w:tcBorders>
              <w:top w:val="single" w:color="auto" w:sz="12" w:space="0"/>
              <w:bottom w:val="single" w:color="auto" w:sz="4" w:space="0"/>
              <w:right w:val="nil"/>
            </w:tcBorders>
            <w:vAlign w:val="center"/>
          </w:tcPr>
          <w:p w14:paraId="2B96C062">
            <w:pPr>
              <w:pStyle w:val="90"/>
              <w:adjustRightInd w:val="0"/>
              <w:snapToGrid w:val="0"/>
              <w:spacing w:line="300" w:lineRule="exact"/>
              <w:ind w:firstLine="0"/>
              <w:jc w:val="center"/>
              <w:rPr>
                <w:rFonts w:eastAsia="宋体"/>
                <w:color w:val="000000"/>
                <w:sz w:val="21"/>
                <w:szCs w:val="21"/>
              </w:rPr>
            </w:pPr>
            <w:r>
              <w:rPr>
                <w:rFonts w:eastAsia="宋体"/>
                <w:color w:val="000000"/>
                <w:sz w:val="21"/>
                <w:szCs w:val="21"/>
              </w:rPr>
              <w:t>污染源强C</w:t>
            </w:r>
            <w:r>
              <w:rPr>
                <w:rFonts w:eastAsia="宋体"/>
                <w:color w:val="000000"/>
                <w:sz w:val="21"/>
                <w:szCs w:val="21"/>
                <w:vertAlign w:val="subscript"/>
              </w:rPr>
              <w:t>0</w:t>
            </w:r>
            <w:r>
              <w:rPr>
                <w:rFonts w:eastAsia="宋体"/>
                <w:color w:val="000000"/>
                <w:sz w:val="21"/>
                <w:szCs w:val="21"/>
              </w:rPr>
              <w:t>（mg/L）</w:t>
            </w:r>
          </w:p>
        </w:tc>
      </w:tr>
      <w:tr w14:paraId="1BC308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0" w:type="dxa"/>
            <w:vMerge w:val="continue"/>
            <w:tcBorders>
              <w:top w:val="single" w:color="auto" w:sz="4" w:space="0"/>
              <w:left w:val="nil"/>
              <w:bottom w:val="single" w:color="auto" w:sz="4" w:space="0"/>
              <w:tl2br w:val="single" w:color="auto" w:sz="4" w:space="0"/>
            </w:tcBorders>
            <w:vAlign w:val="center"/>
          </w:tcPr>
          <w:p w14:paraId="33D94FCD">
            <w:pPr>
              <w:pStyle w:val="90"/>
              <w:adjustRightInd w:val="0"/>
              <w:snapToGrid w:val="0"/>
              <w:spacing w:line="300" w:lineRule="exact"/>
              <w:ind w:firstLine="0"/>
              <w:jc w:val="center"/>
              <w:rPr>
                <w:rFonts w:eastAsia="宋体"/>
                <w:color w:val="000000"/>
                <w:sz w:val="21"/>
                <w:szCs w:val="21"/>
              </w:rPr>
            </w:pPr>
          </w:p>
        </w:tc>
        <w:tc>
          <w:tcPr>
            <w:tcW w:w="989" w:type="dxa"/>
            <w:vMerge w:val="continue"/>
            <w:tcBorders>
              <w:top w:val="single" w:color="auto" w:sz="4" w:space="0"/>
              <w:bottom w:val="single" w:color="auto" w:sz="4" w:space="0"/>
            </w:tcBorders>
            <w:vAlign w:val="center"/>
          </w:tcPr>
          <w:p w14:paraId="45367683">
            <w:pPr>
              <w:pStyle w:val="90"/>
              <w:adjustRightInd w:val="0"/>
              <w:snapToGrid w:val="0"/>
              <w:spacing w:line="300" w:lineRule="exact"/>
              <w:ind w:firstLine="0"/>
              <w:jc w:val="center"/>
              <w:rPr>
                <w:rFonts w:eastAsia="宋体"/>
                <w:color w:val="000000"/>
                <w:sz w:val="21"/>
                <w:szCs w:val="21"/>
              </w:rPr>
            </w:pPr>
          </w:p>
        </w:tc>
        <w:tc>
          <w:tcPr>
            <w:tcW w:w="867" w:type="dxa"/>
            <w:vMerge w:val="continue"/>
            <w:tcBorders>
              <w:top w:val="single" w:color="auto" w:sz="4" w:space="0"/>
              <w:bottom w:val="single" w:color="auto" w:sz="4" w:space="0"/>
            </w:tcBorders>
            <w:vAlign w:val="center"/>
          </w:tcPr>
          <w:p w14:paraId="5F16E4B1">
            <w:pPr>
              <w:pStyle w:val="90"/>
              <w:adjustRightInd w:val="0"/>
              <w:snapToGrid w:val="0"/>
              <w:spacing w:line="300" w:lineRule="exact"/>
              <w:ind w:firstLine="0"/>
              <w:jc w:val="center"/>
              <w:rPr>
                <w:rFonts w:eastAsia="宋体"/>
                <w:color w:val="000000"/>
                <w:sz w:val="21"/>
                <w:szCs w:val="21"/>
              </w:rPr>
            </w:pPr>
          </w:p>
        </w:tc>
        <w:tc>
          <w:tcPr>
            <w:tcW w:w="922" w:type="dxa"/>
            <w:vMerge w:val="continue"/>
            <w:tcBorders>
              <w:top w:val="single" w:color="auto" w:sz="4" w:space="0"/>
              <w:bottom w:val="single" w:color="auto" w:sz="4" w:space="0"/>
            </w:tcBorders>
            <w:vAlign w:val="center"/>
          </w:tcPr>
          <w:p w14:paraId="0D876DB1">
            <w:pPr>
              <w:pStyle w:val="90"/>
              <w:adjustRightInd w:val="0"/>
              <w:snapToGrid w:val="0"/>
              <w:spacing w:line="300" w:lineRule="exact"/>
              <w:ind w:firstLine="0"/>
              <w:jc w:val="center"/>
              <w:rPr>
                <w:rFonts w:eastAsia="宋体"/>
                <w:color w:val="000000"/>
                <w:sz w:val="21"/>
                <w:szCs w:val="21"/>
              </w:rPr>
            </w:pPr>
          </w:p>
        </w:tc>
        <w:tc>
          <w:tcPr>
            <w:tcW w:w="1098" w:type="dxa"/>
            <w:vMerge w:val="continue"/>
            <w:tcBorders>
              <w:top w:val="single" w:color="auto" w:sz="4" w:space="0"/>
              <w:bottom w:val="single" w:color="auto" w:sz="4" w:space="0"/>
            </w:tcBorders>
            <w:vAlign w:val="center"/>
          </w:tcPr>
          <w:p w14:paraId="56E54719">
            <w:pPr>
              <w:pStyle w:val="90"/>
              <w:adjustRightInd w:val="0"/>
              <w:snapToGrid w:val="0"/>
              <w:spacing w:line="300" w:lineRule="exact"/>
              <w:ind w:firstLine="0"/>
              <w:jc w:val="center"/>
              <w:rPr>
                <w:rFonts w:eastAsia="宋体"/>
                <w:color w:val="000000"/>
                <w:sz w:val="21"/>
                <w:szCs w:val="21"/>
              </w:rPr>
            </w:pPr>
          </w:p>
        </w:tc>
        <w:tc>
          <w:tcPr>
            <w:tcW w:w="1184" w:type="dxa"/>
            <w:vMerge w:val="continue"/>
            <w:tcBorders>
              <w:top w:val="single" w:color="auto" w:sz="4" w:space="0"/>
              <w:bottom w:val="single" w:color="auto" w:sz="4" w:space="0"/>
            </w:tcBorders>
            <w:vAlign w:val="center"/>
          </w:tcPr>
          <w:p w14:paraId="35D8137D">
            <w:pPr>
              <w:pStyle w:val="90"/>
              <w:adjustRightInd w:val="0"/>
              <w:snapToGrid w:val="0"/>
              <w:spacing w:line="300" w:lineRule="exact"/>
              <w:ind w:firstLine="0"/>
              <w:jc w:val="center"/>
              <w:rPr>
                <w:rFonts w:eastAsia="宋体"/>
                <w:color w:val="000000"/>
                <w:sz w:val="21"/>
                <w:szCs w:val="21"/>
              </w:rPr>
            </w:pPr>
          </w:p>
        </w:tc>
        <w:tc>
          <w:tcPr>
            <w:tcW w:w="1200" w:type="dxa"/>
            <w:vMerge w:val="continue"/>
            <w:tcBorders>
              <w:top w:val="single" w:color="auto" w:sz="4" w:space="0"/>
              <w:bottom w:val="single" w:color="auto" w:sz="4" w:space="0"/>
            </w:tcBorders>
            <w:vAlign w:val="center"/>
          </w:tcPr>
          <w:p w14:paraId="708373D6">
            <w:pPr>
              <w:pStyle w:val="90"/>
              <w:adjustRightInd w:val="0"/>
              <w:snapToGrid w:val="0"/>
              <w:spacing w:line="300" w:lineRule="exact"/>
              <w:ind w:firstLine="0"/>
              <w:jc w:val="center"/>
              <w:rPr>
                <w:rFonts w:eastAsia="宋体"/>
                <w:color w:val="000000"/>
                <w:sz w:val="21"/>
                <w:szCs w:val="21"/>
              </w:rPr>
            </w:pPr>
          </w:p>
        </w:tc>
        <w:tc>
          <w:tcPr>
            <w:tcW w:w="1672" w:type="dxa"/>
            <w:tcBorders>
              <w:top w:val="single" w:color="auto" w:sz="4" w:space="0"/>
              <w:bottom w:val="single" w:color="auto" w:sz="4" w:space="0"/>
            </w:tcBorders>
            <w:vAlign w:val="center"/>
          </w:tcPr>
          <w:p w14:paraId="635AD74E">
            <w:pPr>
              <w:pStyle w:val="90"/>
              <w:adjustRightInd w:val="0"/>
              <w:snapToGrid w:val="0"/>
              <w:spacing w:line="300" w:lineRule="exact"/>
              <w:ind w:firstLine="0"/>
              <w:jc w:val="center"/>
              <w:rPr>
                <w:rFonts w:eastAsia="宋体"/>
                <w:color w:val="000000"/>
                <w:sz w:val="21"/>
                <w:szCs w:val="21"/>
              </w:rPr>
            </w:pPr>
            <w:r>
              <w:rPr>
                <w:rFonts w:eastAsia="宋体"/>
                <w:color w:val="000000"/>
                <w:sz w:val="21"/>
                <w:szCs w:val="21"/>
              </w:rPr>
              <w:t>COD</w:t>
            </w:r>
            <w:r>
              <w:rPr>
                <w:rFonts w:eastAsia="宋体"/>
                <w:color w:val="000000"/>
                <w:sz w:val="21"/>
                <w:szCs w:val="21"/>
                <w:vertAlign w:val="subscript"/>
              </w:rPr>
              <w:t>Mn</w:t>
            </w:r>
          </w:p>
        </w:tc>
      </w:tr>
      <w:tr w14:paraId="02FC4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0" w:type="dxa"/>
            <w:tcBorders>
              <w:top w:val="single" w:color="auto" w:sz="4" w:space="0"/>
              <w:left w:val="nil"/>
              <w:bottom w:val="single" w:color="auto" w:sz="12" w:space="0"/>
            </w:tcBorders>
            <w:vAlign w:val="center"/>
          </w:tcPr>
          <w:p w14:paraId="1C2AE4B8">
            <w:pPr>
              <w:pStyle w:val="90"/>
              <w:adjustRightInd w:val="0"/>
              <w:snapToGrid w:val="0"/>
              <w:spacing w:line="300" w:lineRule="exact"/>
              <w:ind w:firstLine="0"/>
              <w:jc w:val="center"/>
              <w:rPr>
                <w:rFonts w:eastAsia="宋体"/>
                <w:color w:val="000000"/>
                <w:sz w:val="21"/>
                <w:szCs w:val="21"/>
              </w:rPr>
            </w:pPr>
            <w:r>
              <w:rPr>
                <w:rFonts w:eastAsia="宋体"/>
                <w:color w:val="000000"/>
                <w:sz w:val="21"/>
                <w:szCs w:val="21"/>
              </w:rPr>
              <w:t>项目建设区含水层</w:t>
            </w:r>
          </w:p>
        </w:tc>
        <w:tc>
          <w:tcPr>
            <w:tcW w:w="989" w:type="dxa"/>
            <w:tcBorders>
              <w:top w:val="single" w:color="auto" w:sz="4" w:space="0"/>
              <w:bottom w:val="single" w:color="auto" w:sz="12" w:space="0"/>
            </w:tcBorders>
            <w:vAlign w:val="center"/>
          </w:tcPr>
          <w:p w14:paraId="71E96B94">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1.56</w:t>
            </w:r>
          </w:p>
        </w:tc>
        <w:tc>
          <w:tcPr>
            <w:tcW w:w="867" w:type="dxa"/>
            <w:tcBorders>
              <w:top w:val="single" w:color="auto" w:sz="4" w:space="0"/>
              <w:bottom w:val="single" w:color="auto" w:sz="12" w:space="0"/>
            </w:tcBorders>
            <w:vAlign w:val="center"/>
          </w:tcPr>
          <w:p w14:paraId="0C880831">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0.21</w:t>
            </w:r>
          </w:p>
        </w:tc>
        <w:tc>
          <w:tcPr>
            <w:tcW w:w="922" w:type="dxa"/>
            <w:tcBorders>
              <w:top w:val="single" w:color="auto" w:sz="4" w:space="0"/>
              <w:bottom w:val="single" w:color="auto" w:sz="12" w:space="0"/>
            </w:tcBorders>
            <w:vAlign w:val="center"/>
          </w:tcPr>
          <w:p w14:paraId="236C9084">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0.006</w:t>
            </w:r>
          </w:p>
        </w:tc>
        <w:tc>
          <w:tcPr>
            <w:tcW w:w="1098" w:type="dxa"/>
            <w:tcBorders>
              <w:top w:val="single" w:color="auto" w:sz="4" w:space="0"/>
              <w:bottom w:val="single" w:color="auto" w:sz="12" w:space="0"/>
            </w:tcBorders>
            <w:vAlign w:val="center"/>
          </w:tcPr>
          <w:p w14:paraId="0354FEDE">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0.044</w:t>
            </w:r>
          </w:p>
        </w:tc>
        <w:tc>
          <w:tcPr>
            <w:tcW w:w="1184" w:type="dxa"/>
            <w:tcBorders>
              <w:top w:val="single" w:color="auto" w:sz="4" w:space="0"/>
              <w:bottom w:val="single" w:color="auto" w:sz="12" w:space="0"/>
            </w:tcBorders>
            <w:vAlign w:val="center"/>
          </w:tcPr>
          <w:p w14:paraId="48F80450">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1.737</w:t>
            </w:r>
          </w:p>
        </w:tc>
        <w:tc>
          <w:tcPr>
            <w:tcW w:w="1200" w:type="dxa"/>
            <w:tcBorders>
              <w:top w:val="single" w:color="auto" w:sz="4" w:space="0"/>
              <w:bottom w:val="single" w:color="auto" w:sz="12" w:space="0"/>
            </w:tcBorders>
            <w:vAlign w:val="center"/>
          </w:tcPr>
          <w:p w14:paraId="49E8009E">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0.1737</w:t>
            </w:r>
          </w:p>
        </w:tc>
        <w:tc>
          <w:tcPr>
            <w:tcW w:w="1672" w:type="dxa"/>
            <w:tcBorders>
              <w:top w:val="single" w:color="auto" w:sz="4" w:space="0"/>
              <w:bottom w:val="single" w:color="auto" w:sz="12" w:space="0"/>
            </w:tcBorders>
            <w:vAlign w:val="center"/>
          </w:tcPr>
          <w:p w14:paraId="3E414706">
            <w:pPr>
              <w:pStyle w:val="90"/>
              <w:adjustRightInd w:val="0"/>
              <w:snapToGrid w:val="0"/>
              <w:spacing w:line="300" w:lineRule="exact"/>
              <w:ind w:firstLine="0"/>
              <w:jc w:val="center"/>
              <w:rPr>
                <w:rFonts w:eastAsia="宋体"/>
                <w:color w:val="000000"/>
                <w:sz w:val="21"/>
                <w:szCs w:val="21"/>
              </w:rPr>
            </w:pPr>
            <w:r>
              <w:rPr>
                <w:rFonts w:hint="eastAsia" w:eastAsia="宋体"/>
                <w:color w:val="000000"/>
                <w:sz w:val="21"/>
                <w:szCs w:val="21"/>
              </w:rPr>
              <w:t>452.8</w:t>
            </w:r>
          </w:p>
        </w:tc>
      </w:tr>
    </w:tbl>
    <w:p w14:paraId="38C42B54">
      <w:pPr>
        <w:adjustRightInd w:val="0"/>
        <w:snapToGrid w:val="0"/>
        <w:spacing w:line="500" w:lineRule="atLeast"/>
        <w:ind w:firstLine="480" w:firstLineChars="200"/>
        <w:rPr>
          <w:rFonts w:ascii="Times New Roman"/>
          <w:color w:val="000000"/>
          <w:szCs w:val="24"/>
        </w:rPr>
      </w:pPr>
      <w:r>
        <w:rPr>
          <w:rFonts w:ascii="Times New Roman"/>
          <w:color w:val="000000"/>
          <w:szCs w:val="24"/>
        </w:rPr>
        <w:t>4）预测结果</w:t>
      </w:r>
    </w:p>
    <w:p w14:paraId="4D3C7865">
      <w:pPr>
        <w:adjustRightInd w:val="0"/>
        <w:snapToGrid w:val="0"/>
        <w:spacing w:line="500" w:lineRule="atLeast"/>
        <w:ind w:firstLine="480" w:firstLineChars="200"/>
        <w:rPr>
          <w:rFonts w:ascii="Times New Roman"/>
          <w:szCs w:val="24"/>
        </w:rPr>
      </w:pPr>
      <w:r>
        <w:rPr>
          <w:rFonts w:ascii="Times New Roman"/>
          <w:szCs w:val="24"/>
        </w:rPr>
        <w:t>污水泄漏高锰酸盐指数对区域含水层污染预测结果见表5.</w:t>
      </w:r>
      <w:r>
        <w:rPr>
          <w:rFonts w:hint="eastAsia" w:ascii="Times New Roman"/>
          <w:szCs w:val="24"/>
        </w:rPr>
        <w:t>6</w:t>
      </w:r>
      <w:r>
        <w:rPr>
          <w:rFonts w:ascii="Times New Roman"/>
          <w:szCs w:val="24"/>
        </w:rPr>
        <w:t>-</w:t>
      </w:r>
      <w:r>
        <w:rPr>
          <w:rFonts w:hint="eastAsia" w:ascii="Times New Roman"/>
          <w:szCs w:val="24"/>
        </w:rPr>
        <w:t>5</w:t>
      </w:r>
      <w:r>
        <w:rPr>
          <w:rFonts w:ascii="Times New Roman"/>
          <w:szCs w:val="24"/>
        </w:rPr>
        <w:t>、</w:t>
      </w:r>
      <w:r>
        <w:rPr>
          <w:rFonts w:ascii="Times New Roman"/>
          <w:b/>
          <w:bCs/>
          <w:szCs w:val="24"/>
        </w:rPr>
        <w:t>图5.</w:t>
      </w:r>
      <w:r>
        <w:rPr>
          <w:rFonts w:hint="eastAsia" w:ascii="Times New Roman"/>
          <w:b/>
          <w:bCs/>
          <w:szCs w:val="24"/>
        </w:rPr>
        <w:t>6</w:t>
      </w:r>
      <w:r>
        <w:rPr>
          <w:rFonts w:ascii="Times New Roman"/>
          <w:b/>
          <w:bCs/>
          <w:szCs w:val="24"/>
        </w:rPr>
        <w:t>-3</w:t>
      </w:r>
      <w:r>
        <w:rPr>
          <w:rFonts w:ascii="Times New Roman"/>
          <w:szCs w:val="24"/>
        </w:rPr>
        <w:t>~</w:t>
      </w:r>
      <w:r>
        <w:rPr>
          <w:rFonts w:hint="eastAsia" w:ascii="Times New Roman"/>
          <w:b/>
          <w:bCs/>
          <w:szCs w:val="24"/>
        </w:rPr>
        <w:t>图5.6-5</w:t>
      </w:r>
      <w:r>
        <w:rPr>
          <w:rFonts w:ascii="Times New Roman"/>
          <w:szCs w:val="24"/>
        </w:rPr>
        <w:t>。</w:t>
      </w:r>
    </w:p>
    <w:p w14:paraId="502463AE">
      <w:pPr>
        <w:adjustRightInd w:val="0"/>
        <w:snapToGrid w:val="0"/>
        <w:spacing w:line="500" w:lineRule="atLeast"/>
        <w:jc w:val="center"/>
        <w:rPr>
          <w:rFonts w:ascii="Times New Roman"/>
          <w:b/>
          <w:bCs/>
          <w:color w:val="000000"/>
          <w:szCs w:val="24"/>
        </w:rPr>
      </w:pPr>
      <w:r>
        <w:rPr>
          <w:rFonts w:ascii="Times New Roman"/>
          <w:b/>
          <w:bCs/>
          <w:color w:val="000000"/>
          <w:szCs w:val="24"/>
        </w:rPr>
        <w:t>表5.</w:t>
      </w:r>
      <w:r>
        <w:rPr>
          <w:rFonts w:hint="eastAsia" w:ascii="Times New Roman"/>
          <w:b/>
          <w:bCs/>
          <w:color w:val="000000"/>
          <w:szCs w:val="24"/>
        </w:rPr>
        <w:t>6</w:t>
      </w:r>
      <w:r>
        <w:rPr>
          <w:rFonts w:ascii="Times New Roman"/>
          <w:b/>
          <w:bCs/>
          <w:color w:val="000000"/>
          <w:szCs w:val="24"/>
        </w:rPr>
        <w:t>-</w:t>
      </w:r>
      <w:r>
        <w:rPr>
          <w:rFonts w:hint="eastAsia" w:ascii="Times New Roman"/>
          <w:b/>
          <w:bCs/>
          <w:color w:val="000000"/>
          <w:szCs w:val="24"/>
        </w:rPr>
        <w:t>5</w:t>
      </w:r>
      <w:r>
        <w:rPr>
          <w:rFonts w:ascii="Times New Roman"/>
          <w:b/>
          <w:bCs/>
          <w:color w:val="000000"/>
          <w:szCs w:val="24"/>
        </w:rPr>
        <w:t xml:space="preserve"> 项目污水泄漏高锰酸盐指数对区域含水层污染预测结果表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626"/>
        <w:gridCol w:w="1124"/>
        <w:gridCol w:w="1059"/>
        <w:gridCol w:w="1109"/>
        <w:gridCol w:w="1079"/>
        <w:gridCol w:w="1094"/>
        <w:gridCol w:w="1094"/>
        <w:gridCol w:w="1103"/>
      </w:tblGrid>
      <w:tr w14:paraId="532AD7F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75" w:type="pct"/>
            <w:vMerge w:val="restart"/>
            <w:vAlign w:val="center"/>
          </w:tcPr>
          <w:p w14:paraId="5D615060">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预测时间（d）</w:t>
            </w:r>
          </w:p>
        </w:tc>
        <w:tc>
          <w:tcPr>
            <w:tcW w:w="4124" w:type="pct"/>
            <w:gridSpan w:val="7"/>
            <w:vAlign w:val="center"/>
          </w:tcPr>
          <w:p w14:paraId="50C9F6DA">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随距离推移</w:t>
            </w:r>
            <w:r>
              <w:rPr>
                <w:rFonts w:ascii="Times New Roman" w:eastAsia="宋体"/>
                <w:color w:val="000000" w:themeColor="text1"/>
                <w:sz w:val="21"/>
                <w:szCs w:val="21"/>
                <w14:textFill>
                  <w14:solidFill>
                    <w14:schemeClr w14:val="tx1"/>
                  </w14:solidFill>
                </w14:textFill>
              </w:rPr>
              <w:t>高锰酸盐指数</w:t>
            </w:r>
            <w:r>
              <w:rPr>
                <w:rFonts w:ascii="Times New Roman" w:eastAsia="宋体"/>
                <w:color w:val="000000" w:themeColor="text1"/>
                <w:sz w:val="21"/>
                <w:szCs w:val="21"/>
                <w:lang w:val="en-GB"/>
                <w14:textFill>
                  <w14:solidFill>
                    <w14:schemeClr w14:val="tx1"/>
                  </w14:solidFill>
                </w14:textFill>
              </w:rPr>
              <w:t>预测浓度（mg/L）</w:t>
            </w:r>
          </w:p>
        </w:tc>
      </w:tr>
      <w:tr w14:paraId="246087C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75" w:type="pct"/>
            <w:vMerge w:val="continue"/>
            <w:vAlign w:val="center"/>
          </w:tcPr>
          <w:p w14:paraId="63B256A3">
            <w:pPr>
              <w:widowControl/>
              <w:spacing w:line="300" w:lineRule="exact"/>
              <w:jc w:val="center"/>
              <w:rPr>
                <w:rFonts w:ascii="Times New Roman" w:eastAsia="宋体"/>
                <w:color w:val="000000" w:themeColor="text1"/>
                <w:sz w:val="21"/>
                <w:szCs w:val="21"/>
                <w:lang w:val="en-GB"/>
                <w14:textFill>
                  <w14:solidFill>
                    <w14:schemeClr w14:val="tx1"/>
                  </w14:solidFill>
                </w14:textFill>
              </w:rPr>
            </w:pPr>
          </w:p>
        </w:tc>
        <w:tc>
          <w:tcPr>
            <w:tcW w:w="605" w:type="pct"/>
            <w:vAlign w:val="center"/>
          </w:tcPr>
          <w:p w14:paraId="4DE11151">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5m</w:t>
            </w:r>
          </w:p>
        </w:tc>
        <w:tc>
          <w:tcPr>
            <w:tcW w:w="570" w:type="pct"/>
            <w:vAlign w:val="center"/>
          </w:tcPr>
          <w:p w14:paraId="794DB84A">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10m</w:t>
            </w:r>
          </w:p>
        </w:tc>
        <w:tc>
          <w:tcPr>
            <w:tcW w:w="597" w:type="pct"/>
            <w:vAlign w:val="center"/>
          </w:tcPr>
          <w:p w14:paraId="72B8E62C">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50m</w:t>
            </w:r>
          </w:p>
        </w:tc>
        <w:tc>
          <w:tcPr>
            <w:tcW w:w="581" w:type="pct"/>
            <w:vAlign w:val="center"/>
          </w:tcPr>
          <w:p w14:paraId="4E13B4A9">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70</w:t>
            </w:r>
            <w:r>
              <w:rPr>
                <w:rFonts w:ascii="Times New Roman" w:eastAsia="宋体"/>
                <w:color w:val="000000" w:themeColor="text1"/>
                <w:sz w:val="21"/>
                <w:szCs w:val="21"/>
                <w:lang w:val="en-GB"/>
                <w14:textFill>
                  <w14:solidFill>
                    <w14:schemeClr w14:val="tx1"/>
                  </w14:solidFill>
                </w14:textFill>
              </w:rPr>
              <w:t>m</w:t>
            </w:r>
          </w:p>
        </w:tc>
        <w:tc>
          <w:tcPr>
            <w:tcW w:w="589" w:type="pct"/>
            <w:vAlign w:val="center"/>
          </w:tcPr>
          <w:p w14:paraId="2527F104">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8</w:t>
            </w:r>
            <w:r>
              <w:rPr>
                <w:rFonts w:ascii="Times New Roman" w:eastAsia="宋体"/>
                <w:color w:val="000000" w:themeColor="text1"/>
                <w:sz w:val="21"/>
                <w:szCs w:val="21"/>
                <w14:textFill>
                  <w14:solidFill>
                    <w14:schemeClr w14:val="tx1"/>
                  </w14:solidFill>
                </w14:textFill>
              </w:rPr>
              <w:t>5</w:t>
            </w:r>
            <w:r>
              <w:rPr>
                <w:rFonts w:ascii="Times New Roman" w:eastAsia="宋体"/>
                <w:color w:val="000000" w:themeColor="text1"/>
                <w:sz w:val="21"/>
                <w:szCs w:val="21"/>
                <w:lang w:val="en-GB"/>
                <w14:textFill>
                  <w14:solidFill>
                    <w14:schemeClr w14:val="tx1"/>
                  </w14:solidFill>
                </w14:textFill>
              </w:rPr>
              <w:t>m</w:t>
            </w:r>
          </w:p>
        </w:tc>
        <w:tc>
          <w:tcPr>
            <w:tcW w:w="589" w:type="pct"/>
            <w:vAlign w:val="center"/>
          </w:tcPr>
          <w:p w14:paraId="74C660F8">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1</w:t>
            </w:r>
            <w:r>
              <w:rPr>
                <w:rFonts w:hint="eastAsia" w:ascii="Times New Roman" w:eastAsia="宋体"/>
                <w:color w:val="000000" w:themeColor="text1"/>
                <w:sz w:val="21"/>
                <w:szCs w:val="21"/>
                <w14:textFill>
                  <w14:solidFill>
                    <w14:schemeClr w14:val="tx1"/>
                  </w14:solidFill>
                </w14:textFill>
              </w:rPr>
              <w:t>05</w:t>
            </w:r>
            <w:r>
              <w:rPr>
                <w:rFonts w:ascii="Times New Roman" w:eastAsia="宋体"/>
                <w:color w:val="000000" w:themeColor="text1"/>
                <w:sz w:val="21"/>
                <w:szCs w:val="21"/>
                <w:lang w:val="en-GB"/>
                <w14:textFill>
                  <w14:solidFill>
                    <w14:schemeClr w14:val="tx1"/>
                  </w14:solidFill>
                </w14:textFill>
              </w:rPr>
              <w:t>m</w:t>
            </w:r>
          </w:p>
        </w:tc>
        <w:tc>
          <w:tcPr>
            <w:tcW w:w="589" w:type="pct"/>
            <w:vAlign w:val="center"/>
          </w:tcPr>
          <w:p w14:paraId="225974B4">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14:textFill>
                  <w14:solidFill>
                    <w14:schemeClr w14:val="tx1"/>
                  </w14:solidFill>
                </w14:textFill>
              </w:rPr>
              <w:t>2</w:t>
            </w:r>
            <w:r>
              <w:rPr>
                <w:rFonts w:hint="eastAsia" w:ascii="Times New Roman" w:eastAsia="宋体"/>
                <w:color w:val="000000" w:themeColor="text1"/>
                <w:sz w:val="21"/>
                <w:szCs w:val="21"/>
                <w14:textFill>
                  <w14:solidFill>
                    <w14:schemeClr w14:val="tx1"/>
                  </w14:solidFill>
                </w14:textFill>
              </w:rPr>
              <w:t>80</w:t>
            </w:r>
            <w:r>
              <w:rPr>
                <w:rFonts w:ascii="Times New Roman" w:eastAsia="宋体"/>
                <w:color w:val="000000" w:themeColor="text1"/>
                <w:sz w:val="21"/>
                <w:szCs w:val="21"/>
                <w:lang w:val="en-GB"/>
                <w14:textFill>
                  <w14:solidFill>
                    <w14:schemeClr w14:val="tx1"/>
                  </w14:solidFill>
                </w14:textFill>
              </w:rPr>
              <w:t>m</w:t>
            </w:r>
          </w:p>
        </w:tc>
      </w:tr>
      <w:tr w14:paraId="2293914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75" w:type="pct"/>
            <w:vAlign w:val="center"/>
          </w:tcPr>
          <w:p w14:paraId="7C16C249">
            <w:pPr>
              <w:widowControl/>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100</w:t>
            </w:r>
          </w:p>
        </w:tc>
        <w:tc>
          <w:tcPr>
            <w:tcW w:w="605" w:type="pct"/>
            <w:vAlign w:val="center"/>
          </w:tcPr>
          <w:p w14:paraId="7A347A0E">
            <w:pPr>
              <w:adjustRightIn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378.373</w:t>
            </w:r>
          </w:p>
        </w:tc>
        <w:tc>
          <w:tcPr>
            <w:tcW w:w="570" w:type="pct"/>
            <w:vAlign w:val="center"/>
          </w:tcPr>
          <w:p w14:paraId="3A1DB5BC">
            <w:pPr>
              <w:adjustRightIn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301.197</w:t>
            </w:r>
          </w:p>
        </w:tc>
        <w:tc>
          <w:tcPr>
            <w:tcW w:w="597" w:type="pct"/>
            <w:vAlign w:val="center"/>
          </w:tcPr>
          <w:p w14:paraId="72DC5682">
            <w:pPr>
              <w:adjustRightIn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6.090</w:t>
            </w:r>
          </w:p>
        </w:tc>
        <w:tc>
          <w:tcPr>
            <w:tcW w:w="581" w:type="pct"/>
            <w:vAlign w:val="center"/>
          </w:tcPr>
          <w:p w14:paraId="70C3E7D2">
            <w:pPr>
              <w:adjustRightIn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0.185</w:t>
            </w:r>
          </w:p>
        </w:tc>
        <w:tc>
          <w:tcPr>
            <w:tcW w:w="589" w:type="pct"/>
            <w:vAlign w:val="center"/>
          </w:tcPr>
          <w:p w14:paraId="292891D8">
            <w:pPr>
              <w:adjustRightIn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0.0066</w:t>
            </w:r>
          </w:p>
        </w:tc>
        <w:tc>
          <w:tcPr>
            <w:tcW w:w="589" w:type="pct"/>
            <w:vAlign w:val="center"/>
          </w:tcPr>
          <w:p w14:paraId="035B9B12">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0</w:t>
            </w:r>
          </w:p>
        </w:tc>
        <w:tc>
          <w:tcPr>
            <w:tcW w:w="589" w:type="pct"/>
            <w:vAlign w:val="center"/>
          </w:tcPr>
          <w:p w14:paraId="5FC81347">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0</w:t>
            </w:r>
          </w:p>
        </w:tc>
      </w:tr>
      <w:tr w14:paraId="57BFE84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75" w:type="pct"/>
            <w:vAlign w:val="center"/>
          </w:tcPr>
          <w:p w14:paraId="4BF2E557">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1000</w:t>
            </w:r>
          </w:p>
        </w:tc>
        <w:tc>
          <w:tcPr>
            <w:tcW w:w="605" w:type="pct"/>
            <w:vAlign w:val="center"/>
          </w:tcPr>
          <w:p w14:paraId="0D3A0F14">
            <w:pPr>
              <w:adjustRightIn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442.022</w:t>
            </w:r>
          </w:p>
        </w:tc>
        <w:tc>
          <w:tcPr>
            <w:tcW w:w="570" w:type="pct"/>
            <w:vAlign w:val="center"/>
          </w:tcPr>
          <w:p w14:paraId="255C70B9">
            <w:pPr>
              <w:adjustRightIn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429.978</w:t>
            </w:r>
          </w:p>
        </w:tc>
        <w:tc>
          <w:tcPr>
            <w:tcW w:w="597" w:type="pct"/>
            <w:vAlign w:val="center"/>
          </w:tcPr>
          <w:p w14:paraId="15E04A87">
            <w:pPr>
              <w:adjustRightIn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297.021</w:t>
            </w:r>
          </w:p>
        </w:tc>
        <w:tc>
          <w:tcPr>
            <w:tcW w:w="581" w:type="pct"/>
            <w:vAlign w:val="center"/>
          </w:tcPr>
          <w:p w14:paraId="51DCF41F">
            <w:pPr>
              <w:adjustRightIn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220.021</w:t>
            </w:r>
          </w:p>
        </w:tc>
        <w:tc>
          <w:tcPr>
            <w:tcW w:w="589" w:type="pct"/>
            <w:vAlign w:val="center"/>
          </w:tcPr>
          <w:p w14:paraId="51CDFCAD">
            <w:pPr>
              <w:adjustRightIn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165.988</w:t>
            </w:r>
          </w:p>
        </w:tc>
        <w:tc>
          <w:tcPr>
            <w:tcW w:w="589" w:type="pct"/>
            <w:vAlign w:val="center"/>
          </w:tcPr>
          <w:p w14:paraId="46AF64D3">
            <w:pPr>
              <w:adjustRightIn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105.202</w:t>
            </w:r>
          </w:p>
        </w:tc>
        <w:tc>
          <w:tcPr>
            <w:tcW w:w="589" w:type="pct"/>
            <w:vAlign w:val="center"/>
          </w:tcPr>
          <w:p w14:paraId="71DA132E">
            <w:pPr>
              <w:adjustRightInd w:val="0"/>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0.0</w:t>
            </w:r>
            <w:r>
              <w:rPr>
                <w:rFonts w:hint="eastAsia" w:ascii="Times New Roman" w:eastAsia="宋体"/>
                <w:color w:val="000000" w:themeColor="text1"/>
                <w:sz w:val="21"/>
                <w:szCs w:val="21"/>
                <w14:textFill>
                  <w14:solidFill>
                    <w14:schemeClr w14:val="tx1"/>
                  </w14:solidFill>
                </w14:textFill>
              </w:rPr>
              <w:t>248</w:t>
            </w:r>
          </w:p>
        </w:tc>
      </w:tr>
      <w:tr w14:paraId="5835E74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75" w:type="pct"/>
            <w:vAlign w:val="center"/>
          </w:tcPr>
          <w:p w14:paraId="098CECBC">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3650</w:t>
            </w:r>
          </w:p>
        </w:tc>
        <w:tc>
          <w:tcPr>
            <w:tcW w:w="605" w:type="pct"/>
            <w:vAlign w:val="center"/>
          </w:tcPr>
          <w:p w14:paraId="0E5A933C">
            <w:pPr>
              <w:adjustRightIn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451.319</w:t>
            </w:r>
          </w:p>
        </w:tc>
        <w:tc>
          <w:tcPr>
            <w:tcW w:w="570" w:type="pct"/>
            <w:vAlign w:val="center"/>
          </w:tcPr>
          <w:p w14:paraId="1F77A392">
            <w:pPr>
              <w:adjustRightIn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449.650</w:t>
            </w:r>
          </w:p>
        </w:tc>
        <w:tc>
          <w:tcPr>
            <w:tcW w:w="597" w:type="pct"/>
            <w:vAlign w:val="center"/>
          </w:tcPr>
          <w:p w14:paraId="53228179">
            <w:pPr>
              <w:adjustRightIn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428.361</w:t>
            </w:r>
          </w:p>
        </w:tc>
        <w:tc>
          <w:tcPr>
            <w:tcW w:w="581" w:type="pct"/>
            <w:vAlign w:val="center"/>
          </w:tcPr>
          <w:p w14:paraId="0CE7188B">
            <w:pPr>
              <w:adjustRightIn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411.573</w:t>
            </w:r>
          </w:p>
        </w:tc>
        <w:tc>
          <w:tcPr>
            <w:tcW w:w="589" w:type="pct"/>
            <w:vAlign w:val="center"/>
          </w:tcPr>
          <w:p w14:paraId="0B537DF0">
            <w:pPr>
              <w:adjustRightIn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396.041</w:t>
            </w:r>
          </w:p>
        </w:tc>
        <w:tc>
          <w:tcPr>
            <w:tcW w:w="589" w:type="pct"/>
            <w:vAlign w:val="center"/>
          </w:tcPr>
          <w:p w14:paraId="125AAA69">
            <w:pPr>
              <w:adjustRightIn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371.446</w:t>
            </w:r>
          </w:p>
        </w:tc>
        <w:tc>
          <w:tcPr>
            <w:tcW w:w="589" w:type="pct"/>
            <w:vAlign w:val="center"/>
          </w:tcPr>
          <w:p w14:paraId="336844DF">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90.293</w:t>
            </w:r>
          </w:p>
        </w:tc>
      </w:tr>
      <w:tr w14:paraId="3947CB3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75" w:type="pct"/>
            <w:vAlign w:val="center"/>
          </w:tcPr>
          <w:p w14:paraId="59BDCD9B">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预测时间（d）</w:t>
            </w:r>
          </w:p>
        </w:tc>
        <w:tc>
          <w:tcPr>
            <w:tcW w:w="605" w:type="pct"/>
            <w:vAlign w:val="center"/>
          </w:tcPr>
          <w:p w14:paraId="0C8AD559">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14:textFill>
                  <w14:solidFill>
                    <w14:schemeClr w14:val="tx1"/>
                  </w14:solidFill>
                </w14:textFill>
              </w:rPr>
              <w:t>3</w:t>
            </w:r>
            <w:r>
              <w:rPr>
                <w:rFonts w:hint="eastAsia" w:ascii="Times New Roman" w:eastAsia="宋体"/>
                <w:color w:val="000000" w:themeColor="text1"/>
                <w:sz w:val="21"/>
                <w:szCs w:val="21"/>
                <w14:textFill>
                  <w14:solidFill>
                    <w14:schemeClr w14:val="tx1"/>
                  </w14:solidFill>
                </w14:textFill>
              </w:rPr>
              <w:t>20</w:t>
            </w:r>
            <w:r>
              <w:rPr>
                <w:rFonts w:ascii="Times New Roman" w:eastAsia="宋体"/>
                <w:color w:val="000000" w:themeColor="text1"/>
                <w:sz w:val="21"/>
                <w:szCs w:val="21"/>
                <w:lang w:val="en-GB"/>
                <w14:textFill>
                  <w14:solidFill>
                    <w14:schemeClr w14:val="tx1"/>
                  </w14:solidFill>
                </w14:textFill>
              </w:rPr>
              <w:t>m</w:t>
            </w:r>
          </w:p>
        </w:tc>
        <w:tc>
          <w:tcPr>
            <w:tcW w:w="570" w:type="pct"/>
            <w:vAlign w:val="center"/>
          </w:tcPr>
          <w:p w14:paraId="1B7CFC93">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360</w:t>
            </w:r>
            <w:r>
              <w:rPr>
                <w:rFonts w:ascii="Times New Roman" w:eastAsia="宋体"/>
                <w:color w:val="000000" w:themeColor="text1"/>
                <w:sz w:val="21"/>
                <w:szCs w:val="21"/>
                <w:lang w:val="en-GB"/>
                <w14:textFill>
                  <w14:solidFill>
                    <w14:schemeClr w14:val="tx1"/>
                  </w14:solidFill>
                </w14:textFill>
              </w:rPr>
              <w:t>m</w:t>
            </w:r>
          </w:p>
        </w:tc>
        <w:tc>
          <w:tcPr>
            <w:tcW w:w="597" w:type="pct"/>
            <w:vAlign w:val="center"/>
          </w:tcPr>
          <w:p w14:paraId="248CB339">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14:textFill>
                  <w14:solidFill>
                    <w14:schemeClr w14:val="tx1"/>
                  </w14:solidFill>
                </w14:textFill>
              </w:rPr>
              <w:t>500</w:t>
            </w:r>
            <w:r>
              <w:rPr>
                <w:rFonts w:ascii="Times New Roman" w:eastAsia="宋体"/>
                <w:color w:val="000000" w:themeColor="text1"/>
                <w:sz w:val="21"/>
                <w:szCs w:val="21"/>
                <w:lang w:val="en-GB"/>
                <w14:textFill>
                  <w14:solidFill>
                    <w14:schemeClr w14:val="tx1"/>
                  </w14:solidFill>
                </w14:textFill>
              </w:rPr>
              <w:t>m</w:t>
            </w:r>
          </w:p>
        </w:tc>
        <w:tc>
          <w:tcPr>
            <w:tcW w:w="581" w:type="pct"/>
            <w:vAlign w:val="center"/>
          </w:tcPr>
          <w:p w14:paraId="4DD09774">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14:textFill>
                  <w14:solidFill>
                    <w14:schemeClr w14:val="tx1"/>
                  </w14:solidFill>
                </w14:textFill>
              </w:rPr>
              <w:t>6</w:t>
            </w:r>
            <w:r>
              <w:rPr>
                <w:rFonts w:hint="eastAsia" w:ascii="Times New Roman" w:eastAsia="宋体"/>
                <w:color w:val="000000" w:themeColor="text1"/>
                <w:sz w:val="21"/>
                <w:szCs w:val="21"/>
                <w14:textFill>
                  <w14:solidFill>
                    <w14:schemeClr w14:val="tx1"/>
                  </w14:solidFill>
                </w14:textFill>
              </w:rPr>
              <w:t>10</w:t>
            </w:r>
            <w:r>
              <w:rPr>
                <w:rFonts w:ascii="Times New Roman" w:eastAsia="宋体"/>
                <w:color w:val="000000" w:themeColor="text1"/>
                <w:sz w:val="21"/>
                <w:szCs w:val="21"/>
                <w:lang w:val="en-GB"/>
                <w14:textFill>
                  <w14:solidFill>
                    <w14:schemeClr w14:val="tx1"/>
                  </w14:solidFill>
                </w14:textFill>
              </w:rPr>
              <w:t>m</w:t>
            </w:r>
          </w:p>
        </w:tc>
        <w:tc>
          <w:tcPr>
            <w:tcW w:w="589" w:type="pct"/>
            <w:vAlign w:val="center"/>
          </w:tcPr>
          <w:p w14:paraId="3FF2AA86">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670</w:t>
            </w:r>
            <w:r>
              <w:rPr>
                <w:rFonts w:ascii="Times New Roman" w:eastAsia="宋体"/>
                <w:color w:val="000000" w:themeColor="text1"/>
                <w:sz w:val="21"/>
                <w:szCs w:val="21"/>
                <w:lang w:val="en-GB"/>
                <w14:textFill>
                  <w14:solidFill>
                    <w14:schemeClr w14:val="tx1"/>
                  </w14:solidFill>
                </w14:textFill>
              </w:rPr>
              <w:t>m</w:t>
            </w:r>
          </w:p>
        </w:tc>
        <w:tc>
          <w:tcPr>
            <w:tcW w:w="589" w:type="pct"/>
            <w:vAlign w:val="center"/>
          </w:tcPr>
          <w:p w14:paraId="233C5437">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14:textFill>
                  <w14:solidFill>
                    <w14:schemeClr w14:val="tx1"/>
                  </w14:solidFill>
                </w14:textFill>
              </w:rPr>
              <w:t>7</w:t>
            </w:r>
            <w:r>
              <w:rPr>
                <w:rFonts w:hint="eastAsia" w:ascii="Times New Roman" w:eastAsia="宋体"/>
                <w:color w:val="000000" w:themeColor="text1"/>
                <w:sz w:val="21"/>
                <w:szCs w:val="21"/>
                <w14:textFill>
                  <w14:solidFill>
                    <w14:schemeClr w14:val="tx1"/>
                  </w14:solidFill>
                </w14:textFill>
              </w:rPr>
              <w:t>40</w:t>
            </w:r>
            <w:r>
              <w:rPr>
                <w:rFonts w:ascii="Times New Roman" w:eastAsia="宋体"/>
                <w:color w:val="000000" w:themeColor="text1"/>
                <w:sz w:val="21"/>
                <w:szCs w:val="21"/>
                <w:lang w:val="en-GB"/>
                <w14:textFill>
                  <w14:solidFill>
                    <w14:schemeClr w14:val="tx1"/>
                  </w14:solidFill>
                </w14:textFill>
              </w:rPr>
              <w:t>m</w:t>
            </w:r>
          </w:p>
        </w:tc>
        <w:tc>
          <w:tcPr>
            <w:tcW w:w="589" w:type="pct"/>
            <w:vAlign w:val="center"/>
          </w:tcPr>
          <w:p w14:paraId="1E3C4760">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14:textFill>
                  <w14:solidFill>
                    <w14:schemeClr w14:val="tx1"/>
                  </w14:solidFill>
                </w14:textFill>
              </w:rPr>
              <w:t>7</w:t>
            </w:r>
            <w:r>
              <w:rPr>
                <w:rFonts w:hint="eastAsia" w:ascii="Times New Roman" w:eastAsia="宋体"/>
                <w:color w:val="000000" w:themeColor="text1"/>
                <w:sz w:val="21"/>
                <w:szCs w:val="21"/>
                <w14:textFill>
                  <w14:solidFill>
                    <w14:schemeClr w14:val="tx1"/>
                  </w14:solidFill>
                </w14:textFill>
              </w:rPr>
              <w:t>75</w:t>
            </w:r>
            <w:r>
              <w:rPr>
                <w:rFonts w:ascii="Times New Roman" w:eastAsia="宋体"/>
                <w:color w:val="000000" w:themeColor="text1"/>
                <w:sz w:val="21"/>
                <w:szCs w:val="21"/>
                <w:lang w:val="en-GB"/>
                <w14:textFill>
                  <w14:solidFill>
                    <w14:schemeClr w14:val="tx1"/>
                  </w14:solidFill>
                </w14:textFill>
              </w:rPr>
              <w:t>m</w:t>
            </w:r>
          </w:p>
        </w:tc>
      </w:tr>
      <w:tr w14:paraId="601B57B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75" w:type="pct"/>
            <w:vAlign w:val="center"/>
          </w:tcPr>
          <w:p w14:paraId="5E22C23A">
            <w:pPr>
              <w:widowControl/>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100</w:t>
            </w:r>
          </w:p>
        </w:tc>
        <w:tc>
          <w:tcPr>
            <w:tcW w:w="605" w:type="pct"/>
            <w:vAlign w:val="center"/>
          </w:tcPr>
          <w:p w14:paraId="34A4F92E">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0</w:t>
            </w:r>
          </w:p>
        </w:tc>
        <w:tc>
          <w:tcPr>
            <w:tcW w:w="570" w:type="pct"/>
            <w:vAlign w:val="center"/>
          </w:tcPr>
          <w:p w14:paraId="097FC334">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0</w:t>
            </w:r>
          </w:p>
        </w:tc>
        <w:tc>
          <w:tcPr>
            <w:tcW w:w="597" w:type="pct"/>
            <w:vAlign w:val="center"/>
          </w:tcPr>
          <w:p w14:paraId="74FDA2BE">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0</w:t>
            </w:r>
          </w:p>
        </w:tc>
        <w:tc>
          <w:tcPr>
            <w:tcW w:w="581" w:type="pct"/>
            <w:vAlign w:val="center"/>
          </w:tcPr>
          <w:p w14:paraId="2A2ABB38">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0</w:t>
            </w:r>
          </w:p>
        </w:tc>
        <w:tc>
          <w:tcPr>
            <w:tcW w:w="589" w:type="pct"/>
            <w:vAlign w:val="center"/>
          </w:tcPr>
          <w:p w14:paraId="259B5924">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0</w:t>
            </w:r>
          </w:p>
        </w:tc>
        <w:tc>
          <w:tcPr>
            <w:tcW w:w="589" w:type="pct"/>
            <w:vAlign w:val="center"/>
          </w:tcPr>
          <w:p w14:paraId="75467C14">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0</w:t>
            </w:r>
          </w:p>
        </w:tc>
        <w:tc>
          <w:tcPr>
            <w:tcW w:w="589" w:type="pct"/>
            <w:vAlign w:val="center"/>
          </w:tcPr>
          <w:p w14:paraId="72EA2DD2">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0</w:t>
            </w:r>
          </w:p>
        </w:tc>
      </w:tr>
      <w:tr w14:paraId="68278F2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75" w:type="pct"/>
            <w:vAlign w:val="center"/>
          </w:tcPr>
          <w:p w14:paraId="1AFDD638">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1000</w:t>
            </w:r>
          </w:p>
        </w:tc>
        <w:tc>
          <w:tcPr>
            <w:tcW w:w="605" w:type="pct"/>
            <w:vAlign w:val="center"/>
          </w:tcPr>
          <w:p w14:paraId="092AB374">
            <w:pPr>
              <w:adjustRightIn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0.0011</w:t>
            </w:r>
          </w:p>
        </w:tc>
        <w:tc>
          <w:tcPr>
            <w:tcW w:w="570" w:type="pct"/>
            <w:vAlign w:val="center"/>
          </w:tcPr>
          <w:p w14:paraId="2BBAD3EC">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0</w:t>
            </w:r>
          </w:p>
        </w:tc>
        <w:tc>
          <w:tcPr>
            <w:tcW w:w="597" w:type="pct"/>
            <w:vAlign w:val="center"/>
          </w:tcPr>
          <w:p w14:paraId="4A68DC2B">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0</w:t>
            </w:r>
          </w:p>
        </w:tc>
        <w:tc>
          <w:tcPr>
            <w:tcW w:w="581" w:type="pct"/>
            <w:vAlign w:val="center"/>
          </w:tcPr>
          <w:p w14:paraId="5B7C7DEE">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0</w:t>
            </w:r>
          </w:p>
        </w:tc>
        <w:tc>
          <w:tcPr>
            <w:tcW w:w="589" w:type="pct"/>
            <w:vAlign w:val="center"/>
          </w:tcPr>
          <w:p w14:paraId="3D9663DA">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0</w:t>
            </w:r>
          </w:p>
        </w:tc>
        <w:tc>
          <w:tcPr>
            <w:tcW w:w="589" w:type="pct"/>
            <w:vAlign w:val="center"/>
          </w:tcPr>
          <w:p w14:paraId="0621C401">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0</w:t>
            </w:r>
          </w:p>
        </w:tc>
        <w:tc>
          <w:tcPr>
            <w:tcW w:w="589" w:type="pct"/>
            <w:vAlign w:val="center"/>
          </w:tcPr>
          <w:p w14:paraId="42DFDC00">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0</w:t>
            </w:r>
          </w:p>
        </w:tc>
      </w:tr>
      <w:tr w14:paraId="6BC5C39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75" w:type="pct"/>
            <w:vAlign w:val="center"/>
          </w:tcPr>
          <w:p w14:paraId="59E0C241">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3650</w:t>
            </w:r>
          </w:p>
        </w:tc>
        <w:tc>
          <w:tcPr>
            <w:tcW w:w="605" w:type="pct"/>
            <w:vAlign w:val="center"/>
          </w:tcPr>
          <w:p w14:paraId="30F7504B">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50.333</w:t>
            </w:r>
          </w:p>
        </w:tc>
        <w:tc>
          <w:tcPr>
            <w:tcW w:w="570" w:type="pct"/>
            <w:vAlign w:val="center"/>
          </w:tcPr>
          <w:p w14:paraId="71596307">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25.159</w:t>
            </w:r>
          </w:p>
        </w:tc>
        <w:tc>
          <w:tcPr>
            <w:tcW w:w="597" w:type="pct"/>
            <w:vAlign w:val="center"/>
          </w:tcPr>
          <w:p w14:paraId="2F1C90A5">
            <w:pPr>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0.904</w:t>
            </w:r>
          </w:p>
        </w:tc>
        <w:tc>
          <w:tcPr>
            <w:tcW w:w="581" w:type="pct"/>
            <w:vAlign w:val="center"/>
          </w:tcPr>
          <w:p w14:paraId="66575B6F">
            <w:pPr>
              <w:adjustRightInd w:val="0"/>
              <w:spacing w:line="300" w:lineRule="exact"/>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0.024</w:t>
            </w:r>
          </w:p>
        </w:tc>
        <w:tc>
          <w:tcPr>
            <w:tcW w:w="589" w:type="pct"/>
            <w:vAlign w:val="center"/>
          </w:tcPr>
          <w:p w14:paraId="01527746">
            <w:pPr>
              <w:adjustRightInd w:val="0"/>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0.002</w:t>
            </w:r>
            <w:r>
              <w:rPr>
                <w:rFonts w:hint="eastAsia" w:ascii="Times New Roman" w:eastAsia="宋体"/>
                <w:color w:val="000000" w:themeColor="text1"/>
                <w:sz w:val="21"/>
                <w:szCs w:val="21"/>
                <w14:textFill>
                  <w14:solidFill>
                    <w14:schemeClr w14:val="tx1"/>
                  </w14:solidFill>
                </w14:textFill>
              </w:rPr>
              <w:t>3</w:t>
            </w:r>
          </w:p>
        </w:tc>
        <w:tc>
          <w:tcPr>
            <w:tcW w:w="589" w:type="pct"/>
            <w:vAlign w:val="center"/>
          </w:tcPr>
          <w:p w14:paraId="4CF201FC">
            <w:pPr>
              <w:adjustRightInd w:val="0"/>
              <w:spacing w:line="300" w:lineRule="exact"/>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0.000</w:t>
            </w:r>
            <w:r>
              <w:rPr>
                <w:rFonts w:hint="eastAsia" w:ascii="Times New Roman" w:eastAsia="宋体"/>
                <w:color w:val="000000" w:themeColor="text1"/>
                <w:sz w:val="21"/>
                <w:szCs w:val="21"/>
                <w14:textFill>
                  <w14:solidFill>
                    <w14:schemeClr w14:val="tx1"/>
                  </w14:solidFill>
                </w14:textFill>
              </w:rPr>
              <w:t>1</w:t>
            </w:r>
          </w:p>
        </w:tc>
        <w:tc>
          <w:tcPr>
            <w:tcW w:w="589" w:type="pct"/>
            <w:vAlign w:val="center"/>
          </w:tcPr>
          <w:p w14:paraId="00FA933B">
            <w:pPr>
              <w:adjustRightInd w:val="0"/>
              <w:spacing w:line="300" w:lineRule="exact"/>
              <w:jc w:val="center"/>
              <w:rPr>
                <w:rFonts w:ascii="Times New Roman" w:eastAsia="宋体"/>
                <w:color w:val="000000" w:themeColor="text1"/>
                <w:sz w:val="21"/>
                <w:szCs w:val="21"/>
                <w:lang w:val="en-GB"/>
                <w14:textFill>
                  <w14:solidFill>
                    <w14:schemeClr w14:val="tx1"/>
                  </w14:solidFill>
                </w14:textFill>
              </w:rPr>
            </w:pPr>
            <w:r>
              <w:rPr>
                <w:rFonts w:ascii="Times New Roman" w:eastAsia="宋体"/>
                <w:color w:val="000000" w:themeColor="text1"/>
                <w:sz w:val="21"/>
                <w:szCs w:val="21"/>
                <w:lang w:val="en-GB"/>
                <w14:textFill>
                  <w14:solidFill>
                    <w14:schemeClr w14:val="tx1"/>
                  </w14:solidFill>
                </w14:textFill>
              </w:rPr>
              <w:t>0</w:t>
            </w:r>
          </w:p>
        </w:tc>
      </w:tr>
    </w:tbl>
    <w:p w14:paraId="579B65F2">
      <w:pPr>
        <w:adjustRightInd w:val="0"/>
        <w:snapToGrid w:val="0"/>
        <w:spacing w:line="240" w:lineRule="auto"/>
        <w:jc w:val="center"/>
        <w:rPr>
          <w:rFonts w:ascii="Times New Roman"/>
          <w:sz w:val="28"/>
          <w:szCs w:val="28"/>
        </w:rPr>
      </w:pPr>
      <w:r>
        <w:drawing>
          <wp:inline distT="0" distB="0" distL="114300" distR="114300">
            <wp:extent cx="5111750" cy="3105150"/>
            <wp:effectExtent l="0" t="0" r="12700" b="0"/>
            <wp:docPr id="17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9"/>
                    <pic:cNvPicPr>
                      <a:picLocks noChangeAspect="1"/>
                    </pic:cNvPicPr>
                  </pic:nvPicPr>
                  <pic:blipFill>
                    <a:blip r:embed="rId81"/>
                    <a:stretch>
                      <a:fillRect/>
                    </a:stretch>
                  </pic:blipFill>
                  <pic:spPr>
                    <a:xfrm>
                      <a:off x="0" y="0"/>
                      <a:ext cx="5111750" cy="3105150"/>
                    </a:xfrm>
                    <a:prstGeom prst="rect">
                      <a:avLst/>
                    </a:prstGeom>
                    <a:noFill/>
                    <a:ln>
                      <a:noFill/>
                    </a:ln>
                  </pic:spPr>
                </pic:pic>
              </a:graphicData>
            </a:graphic>
          </wp:inline>
        </w:drawing>
      </w:r>
    </w:p>
    <w:p w14:paraId="62E2D014">
      <w:pPr>
        <w:adjustRightInd w:val="0"/>
        <w:snapToGrid w:val="0"/>
        <w:spacing w:line="480" w:lineRule="exact"/>
        <w:jc w:val="center"/>
        <w:rPr>
          <w:rFonts w:ascii="Times New Roman"/>
          <w:b/>
          <w:bCs/>
          <w:color w:val="000000"/>
          <w:szCs w:val="24"/>
        </w:rPr>
      </w:pPr>
      <w:r>
        <w:rPr>
          <w:rFonts w:ascii="Times New Roman"/>
          <w:b/>
          <w:bCs/>
          <w:color w:val="000000"/>
          <w:szCs w:val="24"/>
        </w:rPr>
        <w:t>图5.</w:t>
      </w:r>
      <w:r>
        <w:rPr>
          <w:rFonts w:hint="eastAsia" w:ascii="Times New Roman"/>
          <w:b/>
          <w:bCs/>
          <w:color w:val="000000"/>
          <w:szCs w:val="24"/>
        </w:rPr>
        <w:t>6</w:t>
      </w:r>
      <w:r>
        <w:rPr>
          <w:rFonts w:ascii="Times New Roman"/>
          <w:b/>
          <w:bCs/>
          <w:color w:val="000000"/>
          <w:szCs w:val="24"/>
        </w:rPr>
        <w:t>-</w:t>
      </w:r>
      <w:r>
        <w:rPr>
          <w:rFonts w:hint="eastAsia" w:ascii="Times New Roman"/>
          <w:b/>
          <w:bCs/>
          <w:color w:val="000000"/>
          <w:szCs w:val="24"/>
        </w:rPr>
        <w:t>3</w:t>
      </w:r>
      <w:r>
        <w:rPr>
          <w:rFonts w:ascii="Times New Roman"/>
          <w:b/>
          <w:bCs/>
          <w:color w:val="000000"/>
          <w:szCs w:val="24"/>
        </w:rPr>
        <w:t xml:space="preserve">  100d，污水泄漏高锰酸盐指数对区域含水层污染预测结果图</w:t>
      </w:r>
    </w:p>
    <w:p w14:paraId="297A9677">
      <w:pPr>
        <w:adjustRightInd w:val="0"/>
        <w:snapToGrid w:val="0"/>
        <w:spacing w:line="240" w:lineRule="auto"/>
        <w:jc w:val="center"/>
        <w:rPr>
          <w:rFonts w:ascii="Times New Roman"/>
          <w:sz w:val="21"/>
          <w:szCs w:val="21"/>
        </w:rPr>
      </w:pPr>
      <w:r>
        <w:drawing>
          <wp:inline distT="0" distB="0" distL="114300" distR="114300">
            <wp:extent cx="5146040" cy="3101975"/>
            <wp:effectExtent l="0" t="0" r="16510" b="3175"/>
            <wp:docPr id="17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30"/>
                    <pic:cNvPicPr>
                      <a:picLocks noChangeAspect="1"/>
                    </pic:cNvPicPr>
                  </pic:nvPicPr>
                  <pic:blipFill>
                    <a:blip r:embed="rId82"/>
                    <a:stretch>
                      <a:fillRect/>
                    </a:stretch>
                  </pic:blipFill>
                  <pic:spPr>
                    <a:xfrm>
                      <a:off x="0" y="0"/>
                      <a:ext cx="5146040" cy="3101975"/>
                    </a:xfrm>
                    <a:prstGeom prst="rect">
                      <a:avLst/>
                    </a:prstGeom>
                    <a:noFill/>
                    <a:ln>
                      <a:noFill/>
                    </a:ln>
                  </pic:spPr>
                </pic:pic>
              </a:graphicData>
            </a:graphic>
          </wp:inline>
        </w:drawing>
      </w:r>
    </w:p>
    <w:p w14:paraId="063E628B">
      <w:pPr>
        <w:adjustRightInd w:val="0"/>
        <w:snapToGrid w:val="0"/>
        <w:spacing w:line="480" w:lineRule="exact"/>
        <w:jc w:val="center"/>
        <w:rPr>
          <w:rFonts w:ascii="Times New Roman"/>
          <w:b/>
          <w:bCs/>
          <w:color w:val="000000"/>
          <w:szCs w:val="24"/>
        </w:rPr>
      </w:pPr>
      <w:r>
        <w:rPr>
          <w:rFonts w:ascii="Times New Roman"/>
          <w:b/>
          <w:bCs/>
          <w:color w:val="000000"/>
          <w:szCs w:val="24"/>
        </w:rPr>
        <w:t>图5.</w:t>
      </w:r>
      <w:r>
        <w:rPr>
          <w:rFonts w:hint="eastAsia" w:ascii="Times New Roman"/>
          <w:b/>
          <w:bCs/>
          <w:color w:val="000000"/>
          <w:szCs w:val="24"/>
        </w:rPr>
        <w:t>6</w:t>
      </w:r>
      <w:r>
        <w:rPr>
          <w:rFonts w:ascii="Times New Roman"/>
          <w:b/>
          <w:bCs/>
          <w:color w:val="000000"/>
          <w:szCs w:val="24"/>
        </w:rPr>
        <w:t>-</w:t>
      </w:r>
      <w:r>
        <w:rPr>
          <w:rFonts w:hint="eastAsia" w:ascii="Times New Roman"/>
          <w:b/>
          <w:bCs/>
          <w:color w:val="000000"/>
          <w:szCs w:val="24"/>
        </w:rPr>
        <w:t>4</w:t>
      </w:r>
      <w:r>
        <w:rPr>
          <w:rFonts w:ascii="Times New Roman"/>
          <w:b/>
          <w:bCs/>
          <w:color w:val="000000"/>
          <w:szCs w:val="24"/>
        </w:rPr>
        <w:t xml:space="preserve">  1000d，污水泄漏高锰酸盐指数对区域含水层污染预测结果图</w:t>
      </w:r>
    </w:p>
    <w:p w14:paraId="5569BE01">
      <w:pPr>
        <w:adjustRightInd w:val="0"/>
        <w:snapToGrid w:val="0"/>
        <w:spacing w:line="240" w:lineRule="auto"/>
        <w:jc w:val="center"/>
        <w:rPr>
          <w:rFonts w:ascii="Times New Roman"/>
          <w:sz w:val="21"/>
          <w:szCs w:val="21"/>
        </w:rPr>
      </w:pPr>
      <w:r>
        <w:drawing>
          <wp:inline distT="0" distB="0" distL="114300" distR="114300">
            <wp:extent cx="5002530" cy="3072130"/>
            <wp:effectExtent l="0" t="0" r="7620" b="13970"/>
            <wp:docPr id="18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31"/>
                    <pic:cNvPicPr>
                      <a:picLocks noChangeAspect="1"/>
                    </pic:cNvPicPr>
                  </pic:nvPicPr>
                  <pic:blipFill>
                    <a:blip r:embed="rId83"/>
                    <a:stretch>
                      <a:fillRect/>
                    </a:stretch>
                  </pic:blipFill>
                  <pic:spPr>
                    <a:xfrm>
                      <a:off x="0" y="0"/>
                      <a:ext cx="5002530" cy="3072130"/>
                    </a:xfrm>
                    <a:prstGeom prst="rect">
                      <a:avLst/>
                    </a:prstGeom>
                    <a:noFill/>
                    <a:ln>
                      <a:noFill/>
                    </a:ln>
                  </pic:spPr>
                </pic:pic>
              </a:graphicData>
            </a:graphic>
          </wp:inline>
        </w:drawing>
      </w:r>
    </w:p>
    <w:p w14:paraId="3CD75B4A">
      <w:pPr>
        <w:adjustRightInd w:val="0"/>
        <w:snapToGrid w:val="0"/>
        <w:spacing w:line="480" w:lineRule="exact"/>
        <w:jc w:val="center"/>
        <w:rPr>
          <w:rFonts w:ascii="Times New Roman"/>
          <w:b/>
          <w:bCs/>
          <w:color w:val="000000"/>
          <w:szCs w:val="24"/>
        </w:rPr>
      </w:pPr>
      <w:r>
        <w:rPr>
          <w:rFonts w:ascii="Times New Roman"/>
          <w:b/>
          <w:bCs/>
          <w:color w:val="000000"/>
          <w:szCs w:val="24"/>
        </w:rPr>
        <w:t>图5.</w:t>
      </w:r>
      <w:r>
        <w:rPr>
          <w:rFonts w:hint="eastAsia" w:ascii="Times New Roman"/>
          <w:b/>
          <w:bCs/>
          <w:color w:val="000000"/>
          <w:szCs w:val="24"/>
        </w:rPr>
        <w:t>6</w:t>
      </w:r>
      <w:r>
        <w:rPr>
          <w:rFonts w:ascii="Times New Roman"/>
          <w:b/>
          <w:bCs/>
          <w:color w:val="000000"/>
          <w:szCs w:val="24"/>
        </w:rPr>
        <w:t>-</w:t>
      </w:r>
      <w:r>
        <w:rPr>
          <w:rFonts w:hint="eastAsia" w:ascii="Times New Roman"/>
          <w:b/>
          <w:bCs/>
          <w:color w:val="000000"/>
          <w:szCs w:val="24"/>
        </w:rPr>
        <w:t>5</w:t>
      </w:r>
      <w:r>
        <w:rPr>
          <w:rFonts w:ascii="Times New Roman"/>
          <w:b/>
          <w:bCs/>
          <w:color w:val="000000"/>
          <w:szCs w:val="24"/>
        </w:rPr>
        <w:t xml:space="preserve">  3650d，污水泄漏高锰酸盐指数对区域含水层污染预测结果图</w:t>
      </w:r>
    </w:p>
    <w:p w14:paraId="687F2418">
      <w:pPr>
        <w:adjustRightInd w:val="0"/>
        <w:snapToGrid w:val="0"/>
        <w:spacing w:line="480" w:lineRule="exact"/>
        <w:ind w:firstLine="480" w:firstLineChars="200"/>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根据预测结果，100d后，高锰酸盐指数影响范围可达下游的</w:t>
      </w:r>
      <w:r>
        <w:rPr>
          <w:rFonts w:hint="eastAsia" w:ascii="Times New Roman"/>
          <w:color w:val="000000" w:themeColor="text1"/>
          <w:szCs w:val="24"/>
          <w14:textFill>
            <w14:solidFill>
              <w14:schemeClr w14:val="tx1"/>
            </w14:solidFill>
          </w14:textFill>
        </w:rPr>
        <w:t>98</w:t>
      </w:r>
      <w:r>
        <w:rPr>
          <w:rFonts w:ascii="Times New Roman"/>
          <w:color w:val="000000" w:themeColor="text1"/>
          <w:szCs w:val="24"/>
          <w14:textFill>
            <w14:solidFill>
              <w14:schemeClr w14:val="tx1"/>
            </w14:solidFill>
          </w14:textFill>
        </w:rPr>
        <w:t>m左右，影响范围内地下水的高锰酸盐指数浓度均超标；1000d后，高锰酸盐指数影响范围可达下游的3</w:t>
      </w:r>
      <w:r>
        <w:rPr>
          <w:rFonts w:hint="eastAsia" w:ascii="Times New Roman"/>
          <w:color w:val="000000" w:themeColor="text1"/>
          <w:szCs w:val="24"/>
          <w14:textFill>
            <w14:solidFill>
              <w14:schemeClr w14:val="tx1"/>
            </w14:solidFill>
          </w14:textFill>
        </w:rPr>
        <w:t>40</w:t>
      </w:r>
      <w:r>
        <w:rPr>
          <w:rFonts w:ascii="Times New Roman"/>
          <w:color w:val="000000" w:themeColor="text1"/>
          <w:szCs w:val="24"/>
          <w14:textFill>
            <w14:solidFill>
              <w14:schemeClr w14:val="tx1"/>
            </w14:solidFill>
          </w14:textFill>
        </w:rPr>
        <w:t>m左右，影响范围内地下水的高锰酸盐指数浓度均超标</w:t>
      </w:r>
      <w:r>
        <w:rPr>
          <w:rFonts w:hint="eastAsia" w:ascii="Times New Roman"/>
          <w:color w:val="000000" w:themeColor="text1"/>
          <w:szCs w:val="24"/>
          <w14:textFill>
            <w14:solidFill>
              <w14:schemeClr w14:val="tx1"/>
            </w14:solidFill>
          </w14:textFill>
        </w:rPr>
        <w:t>；</w:t>
      </w:r>
      <w:r>
        <w:rPr>
          <w:rFonts w:ascii="Times New Roman"/>
          <w:color w:val="000000" w:themeColor="text1"/>
          <w:szCs w:val="24"/>
          <w14:textFill>
            <w14:solidFill>
              <w14:schemeClr w14:val="tx1"/>
            </w14:solidFill>
          </w14:textFill>
        </w:rPr>
        <w:t>10a后高锰酸盐指数影响范围可达下游7</w:t>
      </w:r>
      <w:r>
        <w:rPr>
          <w:rFonts w:hint="eastAsia" w:ascii="Times New Roman"/>
          <w:color w:val="000000" w:themeColor="text1"/>
          <w:szCs w:val="24"/>
          <w14:textFill>
            <w14:solidFill>
              <w14:schemeClr w14:val="tx1"/>
            </w14:solidFill>
          </w14:textFill>
        </w:rPr>
        <w:t>55</w:t>
      </w:r>
      <w:r>
        <w:rPr>
          <w:rFonts w:ascii="Times New Roman"/>
          <w:color w:val="000000" w:themeColor="text1"/>
          <w:szCs w:val="24"/>
          <w14:textFill>
            <w14:solidFill>
              <w14:schemeClr w14:val="tx1"/>
            </w14:solidFill>
          </w14:textFill>
        </w:rPr>
        <w:t>m左右，影响范围内地下水的高锰酸盐指数浓度均超标</w:t>
      </w:r>
      <w:r>
        <w:rPr>
          <w:rFonts w:hint="eastAsia" w:ascii="Times New Roman"/>
          <w:color w:val="000000" w:themeColor="text1"/>
          <w:szCs w:val="24"/>
          <w14:textFill>
            <w14:solidFill>
              <w14:schemeClr w14:val="tx1"/>
            </w14:solidFill>
          </w14:textFill>
        </w:rPr>
        <w:t>。</w:t>
      </w:r>
    </w:p>
    <w:p w14:paraId="0367F72C">
      <w:pPr>
        <w:adjustRightInd w:val="0"/>
        <w:snapToGrid w:val="0"/>
        <w:spacing w:line="480" w:lineRule="exact"/>
        <w:ind w:firstLine="480" w:firstLineChars="200"/>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项目污水站距厂界最近距离约20m，因此，本项目污水站渗漏会对厂界外下游地下水有一定影响。应按监测计划要求利用厂区周边现有潜水井定期对项目所在区潜水水质进行监测，一旦出现污染物泄漏地下水等事故，尽快控制污染源，避免地下水污染程度进一步扩大。</w:t>
      </w:r>
    </w:p>
    <w:p w14:paraId="72145D9E">
      <w:pPr>
        <w:adjustRightInd w:val="0"/>
        <w:snapToGrid w:val="0"/>
        <w:spacing w:line="480" w:lineRule="exact"/>
        <w:ind w:firstLine="480" w:firstLineChars="200"/>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建议：</w:t>
      </w:r>
      <w:r>
        <w:rPr>
          <w:color w:val="000000" w:themeColor="text1"/>
          <w:szCs w:val="24"/>
          <w14:textFill>
            <w14:solidFill>
              <w14:schemeClr w14:val="tx1"/>
            </w14:solidFill>
          </w14:textFill>
        </w:rPr>
        <w:t>①</w:t>
      </w:r>
      <w:r>
        <w:rPr>
          <w:rFonts w:ascii="Times New Roman"/>
          <w:color w:val="000000" w:themeColor="text1"/>
          <w:szCs w:val="24"/>
          <w14:textFill>
            <w14:solidFill>
              <w14:schemeClr w14:val="tx1"/>
            </w14:solidFill>
          </w14:textFill>
        </w:rPr>
        <w:t>加强项目建设期及运营期的管理，确保各项污染防治措施得到落实；</w:t>
      </w:r>
      <w:r>
        <w:rPr>
          <w:color w:val="000000" w:themeColor="text1"/>
          <w:szCs w:val="24"/>
          <w14:textFill>
            <w14:solidFill>
              <w14:schemeClr w14:val="tx1"/>
            </w14:solidFill>
          </w14:textFill>
        </w:rPr>
        <w:t>②</w:t>
      </w:r>
      <w:r>
        <w:rPr>
          <w:rFonts w:ascii="Times New Roman"/>
          <w:color w:val="000000" w:themeColor="text1"/>
          <w:szCs w:val="24"/>
          <w14:textFill>
            <w14:solidFill>
              <w14:schemeClr w14:val="tx1"/>
            </w14:solidFill>
          </w14:textFill>
        </w:rPr>
        <w:t>由于污染物扩散范围与废水下渗量大小有关，因此建设项目应加强污水池、应急事故池、污水管道、固废贮存场所等需采取防渗措施的设施、设备的防渗性能，同时定期检查池底、管道，防止出现裂缝等破损，以避免或减少废水的下渗风险，有效地控制污染物渗入地下水中。</w:t>
      </w:r>
    </w:p>
    <w:p w14:paraId="03AECF04">
      <w:pPr>
        <w:pStyle w:val="4"/>
        <w:spacing w:after="0" w:line="480" w:lineRule="exact"/>
        <w:jc w:val="both"/>
      </w:pPr>
      <w:bookmarkStart w:id="124" w:name="_Toc31696"/>
      <w:r>
        <w:rPr>
          <w:rFonts w:hint="eastAsia"/>
        </w:rPr>
        <w:t>5.7 土壤环境影响预测与评价</w:t>
      </w:r>
      <w:bookmarkEnd w:id="124"/>
    </w:p>
    <w:p w14:paraId="6D56EEB5">
      <w:pPr>
        <w:pStyle w:val="7"/>
        <w:spacing w:line="480" w:lineRule="exact"/>
      </w:pPr>
      <w:r>
        <w:rPr>
          <w:rFonts w:hint="eastAsia"/>
        </w:rPr>
        <w:t>5</w:t>
      </w:r>
      <w:r>
        <w:t>.7.1土壤</w:t>
      </w:r>
      <w:r>
        <w:rPr>
          <w:rFonts w:hint="eastAsia"/>
        </w:rPr>
        <w:t>环境</w:t>
      </w:r>
      <w:r>
        <w:t>影响</w:t>
      </w:r>
      <w:r>
        <w:rPr>
          <w:rFonts w:hint="eastAsia"/>
        </w:rPr>
        <w:t>识别</w:t>
      </w:r>
    </w:p>
    <w:p w14:paraId="7FBC5369">
      <w:pPr>
        <w:snapToGrid w:val="0"/>
        <w:spacing w:line="480" w:lineRule="exact"/>
        <w:ind w:firstLine="480"/>
        <w:rPr>
          <w:rFonts w:ascii="Times New Roman"/>
          <w:color w:val="000000"/>
          <w:szCs w:val="24"/>
        </w:rPr>
      </w:pPr>
      <w:r>
        <w:rPr>
          <w:rFonts w:ascii="Times New Roman"/>
          <w:color w:val="000000"/>
          <w:szCs w:val="24"/>
        </w:rPr>
        <w:t>（1）项目类别识别</w:t>
      </w:r>
    </w:p>
    <w:p w14:paraId="1A0B8FEA">
      <w:pPr>
        <w:snapToGrid w:val="0"/>
        <w:spacing w:line="480" w:lineRule="exact"/>
        <w:ind w:firstLine="480"/>
        <w:rPr>
          <w:rFonts w:ascii="Times New Roman"/>
          <w:color w:val="000000"/>
          <w:szCs w:val="24"/>
        </w:rPr>
      </w:pPr>
      <w:r>
        <w:rPr>
          <w:rFonts w:ascii="Times New Roman"/>
          <w:color w:val="000000"/>
          <w:szCs w:val="24"/>
        </w:rPr>
        <w:t>拟建项目为</w:t>
      </w:r>
      <w:r>
        <w:rPr>
          <w:rFonts w:hint="eastAsia" w:ascii="Times New Roman"/>
          <w:color w:val="000000"/>
          <w:szCs w:val="24"/>
        </w:rPr>
        <w:t>养鸡项目</w:t>
      </w:r>
      <w:r>
        <w:rPr>
          <w:rFonts w:ascii="Times New Roman"/>
          <w:color w:val="000000"/>
          <w:szCs w:val="24"/>
        </w:rPr>
        <w:t>，根据导则可知，本项目属于污染影响型，行业类别属于</w:t>
      </w:r>
      <w:r>
        <w:rPr>
          <w:rFonts w:hint="eastAsia"/>
          <w:szCs w:val="24"/>
        </w:rPr>
        <w:t>“农林牧渔业”，属于Ⅲ类项目</w:t>
      </w:r>
      <w:r>
        <w:rPr>
          <w:rFonts w:ascii="Times New Roman"/>
          <w:color w:val="000000"/>
          <w:szCs w:val="24"/>
        </w:rPr>
        <w:t>。</w:t>
      </w:r>
    </w:p>
    <w:p w14:paraId="3686DD6A">
      <w:pPr>
        <w:snapToGrid w:val="0"/>
        <w:spacing w:line="480" w:lineRule="exact"/>
        <w:ind w:firstLine="480"/>
        <w:rPr>
          <w:rFonts w:ascii="Times New Roman"/>
          <w:color w:val="000000"/>
          <w:szCs w:val="24"/>
        </w:rPr>
      </w:pPr>
      <w:r>
        <w:rPr>
          <w:rFonts w:ascii="Times New Roman"/>
          <w:color w:val="000000"/>
          <w:szCs w:val="24"/>
        </w:rPr>
        <w:t>（2）土壤污染途径识别</w:t>
      </w:r>
    </w:p>
    <w:p w14:paraId="1B50D693">
      <w:pPr>
        <w:snapToGrid w:val="0"/>
        <w:spacing w:line="480" w:lineRule="exact"/>
        <w:ind w:firstLine="480"/>
        <w:rPr>
          <w:rFonts w:ascii="Times New Roman"/>
          <w:color w:val="000000"/>
          <w:szCs w:val="24"/>
        </w:rPr>
      </w:pPr>
      <w:r>
        <w:rPr>
          <w:rFonts w:ascii="Times New Roman"/>
          <w:color w:val="000000"/>
          <w:szCs w:val="24"/>
        </w:rPr>
        <w:t>拟建项目土壤污染途径识别如下表所示：</w:t>
      </w:r>
    </w:p>
    <w:p w14:paraId="61FF1CB3">
      <w:pPr>
        <w:snapToGrid w:val="0"/>
        <w:spacing w:line="480" w:lineRule="exact"/>
        <w:jc w:val="center"/>
        <w:rPr>
          <w:rFonts w:ascii="Times New Roman"/>
          <w:b/>
          <w:bCs/>
          <w:color w:val="000000"/>
          <w:szCs w:val="24"/>
        </w:rPr>
      </w:pPr>
      <w:r>
        <w:rPr>
          <w:rFonts w:ascii="Times New Roman"/>
          <w:b/>
          <w:bCs/>
          <w:color w:val="000000"/>
          <w:szCs w:val="24"/>
        </w:rPr>
        <w:t>表5.</w:t>
      </w:r>
      <w:r>
        <w:rPr>
          <w:rFonts w:hint="eastAsia" w:ascii="Times New Roman"/>
          <w:b/>
          <w:bCs/>
          <w:color w:val="000000"/>
          <w:szCs w:val="24"/>
        </w:rPr>
        <w:t>7</w:t>
      </w:r>
      <w:r>
        <w:rPr>
          <w:rFonts w:ascii="Times New Roman"/>
          <w:b/>
          <w:bCs/>
          <w:color w:val="000000"/>
          <w:szCs w:val="24"/>
        </w:rPr>
        <w:t>-1  建设项目土壤环境影响类型与影响途径表</w:t>
      </w:r>
    </w:p>
    <w:tbl>
      <w:tblPr>
        <w:tblStyle w:val="41"/>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2"/>
        <w:gridCol w:w="1070"/>
        <w:gridCol w:w="1083"/>
        <w:gridCol w:w="1150"/>
        <w:gridCol w:w="739"/>
        <w:gridCol w:w="825"/>
        <w:gridCol w:w="1033"/>
        <w:gridCol w:w="1033"/>
        <w:gridCol w:w="1053"/>
      </w:tblGrid>
      <w:tr w14:paraId="6EB2A5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1" w:type="pct"/>
            <w:vMerge w:val="restart"/>
            <w:vAlign w:val="center"/>
          </w:tcPr>
          <w:p w14:paraId="44A3B39C">
            <w:pPr>
              <w:spacing w:line="300" w:lineRule="exact"/>
              <w:jc w:val="center"/>
              <w:rPr>
                <w:rFonts w:ascii="Times New Roman"/>
                <w:bCs/>
                <w:color w:val="000000"/>
                <w:sz w:val="21"/>
                <w:szCs w:val="21"/>
              </w:rPr>
            </w:pPr>
            <w:r>
              <w:rPr>
                <w:rFonts w:ascii="Times New Roman"/>
                <w:bCs/>
                <w:color w:val="000000"/>
                <w:sz w:val="21"/>
                <w:szCs w:val="21"/>
              </w:rPr>
              <w:t>不同时段</w:t>
            </w:r>
          </w:p>
        </w:tc>
        <w:tc>
          <w:tcPr>
            <w:tcW w:w="2176" w:type="pct"/>
            <w:gridSpan w:val="4"/>
            <w:vAlign w:val="center"/>
          </w:tcPr>
          <w:p w14:paraId="741EC6A9">
            <w:pPr>
              <w:spacing w:line="300" w:lineRule="exact"/>
              <w:jc w:val="center"/>
              <w:rPr>
                <w:rFonts w:ascii="Times New Roman"/>
                <w:bCs/>
                <w:color w:val="000000"/>
                <w:sz w:val="21"/>
                <w:szCs w:val="21"/>
              </w:rPr>
            </w:pPr>
            <w:r>
              <w:rPr>
                <w:rFonts w:ascii="Times New Roman"/>
                <w:bCs/>
                <w:color w:val="000000"/>
                <w:sz w:val="21"/>
                <w:szCs w:val="21"/>
              </w:rPr>
              <w:t>污染影响型</w:t>
            </w:r>
          </w:p>
        </w:tc>
        <w:tc>
          <w:tcPr>
            <w:tcW w:w="2121" w:type="pct"/>
            <w:gridSpan w:val="4"/>
            <w:vAlign w:val="center"/>
          </w:tcPr>
          <w:p w14:paraId="3FC460A4">
            <w:pPr>
              <w:spacing w:line="300" w:lineRule="exact"/>
              <w:jc w:val="center"/>
              <w:rPr>
                <w:rFonts w:ascii="Times New Roman"/>
                <w:bCs/>
                <w:color w:val="000000"/>
                <w:sz w:val="21"/>
                <w:szCs w:val="21"/>
              </w:rPr>
            </w:pPr>
            <w:r>
              <w:rPr>
                <w:rFonts w:ascii="Times New Roman"/>
                <w:bCs/>
                <w:color w:val="000000"/>
                <w:sz w:val="21"/>
                <w:szCs w:val="21"/>
              </w:rPr>
              <w:t>生态影响型</w:t>
            </w:r>
          </w:p>
        </w:tc>
      </w:tr>
      <w:tr w14:paraId="0408BF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1" w:type="pct"/>
            <w:vMerge w:val="continue"/>
            <w:vAlign w:val="center"/>
          </w:tcPr>
          <w:p w14:paraId="70CD6977">
            <w:pPr>
              <w:spacing w:line="300" w:lineRule="exact"/>
              <w:jc w:val="center"/>
              <w:rPr>
                <w:rFonts w:ascii="Times New Roman"/>
                <w:bCs/>
                <w:color w:val="000000"/>
                <w:sz w:val="21"/>
                <w:szCs w:val="21"/>
              </w:rPr>
            </w:pPr>
          </w:p>
        </w:tc>
        <w:tc>
          <w:tcPr>
            <w:tcW w:w="576" w:type="pct"/>
            <w:vAlign w:val="center"/>
          </w:tcPr>
          <w:p w14:paraId="2755A9D7">
            <w:pPr>
              <w:spacing w:line="300" w:lineRule="exact"/>
              <w:jc w:val="center"/>
              <w:rPr>
                <w:rFonts w:ascii="Times New Roman"/>
                <w:bCs/>
                <w:color w:val="000000"/>
                <w:sz w:val="21"/>
                <w:szCs w:val="21"/>
              </w:rPr>
            </w:pPr>
            <w:r>
              <w:rPr>
                <w:rFonts w:ascii="Times New Roman"/>
                <w:bCs/>
                <w:color w:val="000000"/>
                <w:sz w:val="21"/>
                <w:szCs w:val="21"/>
              </w:rPr>
              <w:t>大气沉降</w:t>
            </w:r>
          </w:p>
        </w:tc>
        <w:tc>
          <w:tcPr>
            <w:tcW w:w="583" w:type="pct"/>
            <w:vAlign w:val="center"/>
          </w:tcPr>
          <w:p w14:paraId="0A02C8B9">
            <w:pPr>
              <w:spacing w:line="300" w:lineRule="exact"/>
              <w:jc w:val="center"/>
              <w:rPr>
                <w:rFonts w:ascii="Times New Roman"/>
                <w:bCs/>
                <w:color w:val="000000"/>
                <w:sz w:val="21"/>
                <w:szCs w:val="21"/>
              </w:rPr>
            </w:pPr>
            <w:r>
              <w:rPr>
                <w:rFonts w:ascii="Times New Roman"/>
                <w:bCs/>
                <w:color w:val="000000"/>
                <w:sz w:val="21"/>
                <w:szCs w:val="21"/>
              </w:rPr>
              <w:t>地面漫流</w:t>
            </w:r>
          </w:p>
        </w:tc>
        <w:tc>
          <w:tcPr>
            <w:tcW w:w="619" w:type="pct"/>
            <w:vAlign w:val="center"/>
          </w:tcPr>
          <w:p w14:paraId="40584A6B">
            <w:pPr>
              <w:spacing w:line="300" w:lineRule="exact"/>
              <w:jc w:val="center"/>
              <w:rPr>
                <w:rFonts w:ascii="Times New Roman"/>
                <w:bCs/>
                <w:color w:val="000000"/>
                <w:sz w:val="21"/>
                <w:szCs w:val="21"/>
              </w:rPr>
            </w:pPr>
            <w:r>
              <w:rPr>
                <w:rFonts w:ascii="Times New Roman"/>
                <w:bCs/>
                <w:color w:val="000000"/>
                <w:sz w:val="21"/>
                <w:szCs w:val="21"/>
              </w:rPr>
              <w:t>垂直入渗</w:t>
            </w:r>
          </w:p>
        </w:tc>
        <w:tc>
          <w:tcPr>
            <w:tcW w:w="397" w:type="pct"/>
            <w:vAlign w:val="center"/>
          </w:tcPr>
          <w:p w14:paraId="1C369853">
            <w:pPr>
              <w:spacing w:line="300" w:lineRule="exact"/>
              <w:jc w:val="center"/>
              <w:rPr>
                <w:rFonts w:ascii="Times New Roman"/>
                <w:bCs/>
                <w:color w:val="000000"/>
                <w:sz w:val="21"/>
                <w:szCs w:val="21"/>
              </w:rPr>
            </w:pPr>
            <w:r>
              <w:rPr>
                <w:rFonts w:ascii="Times New Roman"/>
                <w:bCs/>
                <w:color w:val="000000"/>
                <w:sz w:val="21"/>
                <w:szCs w:val="21"/>
              </w:rPr>
              <w:t>其他</w:t>
            </w:r>
          </w:p>
        </w:tc>
        <w:tc>
          <w:tcPr>
            <w:tcW w:w="444" w:type="pct"/>
            <w:vAlign w:val="center"/>
          </w:tcPr>
          <w:p w14:paraId="3183F50E">
            <w:pPr>
              <w:spacing w:line="300" w:lineRule="exact"/>
              <w:jc w:val="center"/>
              <w:rPr>
                <w:rFonts w:ascii="Times New Roman"/>
                <w:bCs/>
                <w:color w:val="000000"/>
                <w:sz w:val="21"/>
                <w:szCs w:val="21"/>
              </w:rPr>
            </w:pPr>
            <w:r>
              <w:rPr>
                <w:rFonts w:ascii="Times New Roman"/>
                <w:bCs/>
                <w:color w:val="000000"/>
                <w:sz w:val="21"/>
                <w:szCs w:val="21"/>
              </w:rPr>
              <w:t>盐化</w:t>
            </w:r>
          </w:p>
        </w:tc>
        <w:tc>
          <w:tcPr>
            <w:tcW w:w="556" w:type="pct"/>
            <w:vAlign w:val="center"/>
          </w:tcPr>
          <w:p w14:paraId="11108EC6">
            <w:pPr>
              <w:spacing w:line="300" w:lineRule="exact"/>
              <w:jc w:val="center"/>
              <w:rPr>
                <w:rFonts w:ascii="Times New Roman"/>
                <w:bCs/>
                <w:color w:val="000000"/>
                <w:sz w:val="21"/>
                <w:szCs w:val="21"/>
              </w:rPr>
            </w:pPr>
            <w:r>
              <w:rPr>
                <w:rFonts w:ascii="Times New Roman"/>
                <w:bCs/>
                <w:color w:val="000000"/>
                <w:sz w:val="21"/>
                <w:szCs w:val="21"/>
              </w:rPr>
              <w:t>碱化</w:t>
            </w:r>
          </w:p>
        </w:tc>
        <w:tc>
          <w:tcPr>
            <w:tcW w:w="556" w:type="pct"/>
            <w:vAlign w:val="center"/>
          </w:tcPr>
          <w:p w14:paraId="08A2D176">
            <w:pPr>
              <w:spacing w:line="300" w:lineRule="exact"/>
              <w:jc w:val="center"/>
              <w:rPr>
                <w:rFonts w:ascii="Times New Roman"/>
                <w:bCs/>
                <w:color w:val="000000"/>
                <w:sz w:val="21"/>
                <w:szCs w:val="21"/>
              </w:rPr>
            </w:pPr>
            <w:r>
              <w:rPr>
                <w:rFonts w:ascii="Times New Roman"/>
                <w:bCs/>
                <w:color w:val="000000"/>
                <w:sz w:val="21"/>
                <w:szCs w:val="21"/>
              </w:rPr>
              <w:t>酸化</w:t>
            </w:r>
          </w:p>
        </w:tc>
        <w:tc>
          <w:tcPr>
            <w:tcW w:w="564" w:type="pct"/>
            <w:vAlign w:val="center"/>
          </w:tcPr>
          <w:p w14:paraId="3CC7CA0F">
            <w:pPr>
              <w:spacing w:line="300" w:lineRule="exact"/>
              <w:jc w:val="center"/>
              <w:rPr>
                <w:rFonts w:ascii="Times New Roman"/>
                <w:bCs/>
                <w:color w:val="000000"/>
                <w:sz w:val="21"/>
                <w:szCs w:val="21"/>
              </w:rPr>
            </w:pPr>
            <w:r>
              <w:rPr>
                <w:rFonts w:ascii="Times New Roman"/>
                <w:bCs/>
                <w:color w:val="000000"/>
                <w:sz w:val="21"/>
                <w:szCs w:val="21"/>
              </w:rPr>
              <w:t>其他</w:t>
            </w:r>
          </w:p>
        </w:tc>
      </w:tr>
      <w:tr w14:paraId="4E8417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1" w:type="pct"/>
            <w:vAlign w:val="center"/>
          </w:tcPr>
          <w:p w14:paraId="3BB8D716">
            <w:pPr>
              <w:spacing w:line="300" w:lineRule="exact"/>
              <w:jc w:val="center"/>
              <w:rPr>
                <w:rFonts w:ascii="Times New Roman"/>
                <w:color w:val="000000"/>
                <w:sz w:val="21"/>
                <w:szCs w:val="21"/>
              </w:rPr>
            </w:pPr>
            <w:r>
              <w:rPr>
                <w:rFonts w:ascii="Times New Roman"/>
                <w:color w:val="000000"/>
                <w:sz w:val="21"/>
                <w:szCs w:val="21"/>
              </w:rPr>
              <w:t>建设期</w:t>
            </w:r>
          </w:p>
        </w:tc>
        <w:tc>
          <w:tcPr>
            <w:tcW w:w="576" w:type="pct"/>
            <w:vAlign w:val="center"/>
          </w:tcPr>
          <w:p w14:paraId="009F6C07">
            <w:pPr>
              <w:spacing w:line="300" w:lineRule="exact"/>
              <w:jc w:val="center"/>
              <w:rPr>
                <w:rFonts w:ascii="Times New Roman"/>
                <w:color w:val="000000"/>
                <w:sz w:val="21"/>
                <w:szCs w:val="21"/>
              </w:rPr>
            </w:pPr>
            <w:r>
              <w:rPr>
                <w:rFonts w:ascii="Times New Roman"/>
                <w:color w:val="000000"/>
                <w:sz w:val="21"/>
                <w:szCs w:val="21"/>
              </w:rPr>
              <w:t>√</w:t>
            </w:r>
          </w:p>
        </w:tc>
        <w:tc>
          <w:tcPr>
            <w:tcW w:w="583" w:type="pct"/>
            <w:vAlign w:val="center"/>
          </w:tcPr>
          <w:p w14:paraId="7D8991F7">
            <w:pPr>
              <w:spacing w:line="300" w:lineRule="exact"/>
              <w:jc w:val="center"/>
              <w:rPr>
                <w:rFonts w:ascii="Times New Roman"/>
                <w:color w:val="000000"/>
                <w:sz w:val="21"/>
                <w:szCs w:val="21"/>
              </w:rPr>
            </w:pPr>
            <w:r>
              <w:rPr>
                <w:rFonts w:ascii="Times New Roman"/>
                <w:color w:val="000000"/>
                <w:sz w:val="21"/>
                <w:szCs w:val="21"/>
              </w:rPr>
              <w:t>√</w:t>
            </w:r>
          </w:p>
        </w:tc>
        <w:tc>
          <w:tcPr>
            <w:tcW w:w="619" w:type="pct"/>
            <w:vAlign w:val="center"/>
          </w:tcPr>
          <w:p w14:paraId="32877AA7">
            <w:pPr>
              <w:spacing w:line="300" w:lineRule="exact"/>
              <w:jc w:val="center"/>
              <w:rPr>
                <w:rFonts w:ascii="Times New Roman"/>
                <w:color w:val="000000"/>
                <w:sz w:val="21"/>
                <w:szCs w:val="21"/>
              </w:rPr>
            </w:pPr>
            <w:r>
              <w:rPr>
                <w:rFonts w:ascii="Times New Roman"/>
                <w:color w:val="000000"/>
                <w:sz w:val="21"/>
                <w:szCs w:val="21"/>
              </w:rPr>
              <w:t>√</w:t>
            </w:r>
          </w:p>
        </w:tc>
        <w:tc>
          <w:tcPr>
            <w:tcW w:w="397" w:type="pct"/>
            <w:vAlign w:val="center"/>
          </w:tcPr>
          <w:p w14:paraId="3F45ADA6">
            <w:pPr>
              <w:spacing w:line="300" w:lineRule="exact"/>
              <w:jc w:val="center"/>
              <w:rPr>
                <w:rFonts w:ascii="Times New Roman"/>
                <w:color w:val="000000"/>
                <w:sz w:val="21"/>
                <w:szCs w:val="21"/>
              </w:rPr>
            </w:pPr>
          </w:p>
        </w:tc>
        <w:tc>
          <w:tcPr>
            <w:tcW w:w="444" w:type="pct"/>
            <w:vAlign w:val="center"/>
          </w:tcPr>
          <w:p w14:paraId="31650E49">
            <w:pPr>
              <w:spacing w:line="300" w:lineRule="exact"/>
              <w:jc w:val="center"/>
              <w:rPr>
                <w:rFonts w:ascii="Times New Roman"/>
                <w:color w:val="000000"/>
                <w:sz w:val="21"/>
                <w:szCs w:val="21"/>
              </w:rPr>
            </w:pPr>
          </w:p>
        </w:tc>
        <w:tc>
          <w:tcPr>
            <w:tcW w:w="556" w:type="pct"/>
            <w:vAlign w:val="center"/>
          </w:tcPr>
          <w:p w14:paraId="1BDDA75E">
            <w:pPr>
              <w:spacing w:line="300" w:lineRule="exact"/>
              <w:jc w:val="center"/>
              <w:rPr>
                <w:rFonts w:ascii="Times New Roman"/>
                <w:color w:val="000000"/>
                <w:sz w:val="21"/>
                <w:szCs w:val="21"/>
              </w:rPr>
            </w:pPr>
          </w:p>
        </w:tc>
        <w:tc>
          <w:tcPr>
            <w:tcW w:w="556" w:type="pct"/>
            <w:vAlign w:val="center"/>
          </w:tcPr>
          <w:p w14:paraId="64243F1F">
            <w:pPr>
              <w:spacing w:line="300" w:lineRule="exact"/>
              <w:jc w:val="center"/>
              <w:rPr>
                <w:rFonts w:ascii="Times New Roman"/>
                <w:color w:val="000000"/>
                <w:sz w:val="21"/>
                <w:szCs w:val="21"/>
              </w:rPr>
            </w:pPr>
          </w:p>
        </w:tc>
        <w:tc>
          <w:tcPr>
            <w:tcW w:w="564" w:type="pct"/>
            <w:vAlign w:val="center"/>
          </w:tcPr>
          <w:p w14:paraId="5CB74D94">
            <w:pPr>
              <w:spacing w:line="300" w:lineRule="exact"/>
              <w:jc w:val="center"/>
              <w:rPr>
                <w:rFonts w:ascii="Times New Roman"/>
                <w:color w:val="000000"/>
                <w:sz w:val="21"/>
                <w:szCs w:val="21"/>
              </w:rPr>
            </w:pPr>
          </w:p>
        </w:tc>
      </w:tr>
      <w:tr w14:paraId="5371AC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1" w:type="pct"/>
            <w:vAlign w:val="center"/>
          </w:tcPr>
          <w:p w14:paraId="0CF26FE1">
            <w:pPr>
              <w:spacing w:line="300" w:lineRule="exact"/>
              <w:jc w:val="center"/>
              <w:rPr>
                <w:rFonts w:ascii="Times New Roman"/>
                <w:color w:val="000000"/>
                <w:sz w:val="21"/>
                <w:szCs w:val="21"/>
              </w:rPr>
            </w:pPr>
            <w:r>
              <w:rPr>
                <w:rFonts w:ascii="Times New Roman"/>
                <w:color w:val="000000"/>
                <w:sz w:val="21"/>
                <w:szCs w:val="21"/>
              </w:rPr>
              <w:t>运营期</w:t>
            </w:r>
          </w:p>
        </w:tc>
        <w:tc>
          <w:tcPr>
            <w:tcW w:w="576" w:type="pct"/>
            <w:vAlign w:val="center"/>
          </w:tcPr>
          <w:p w14:paraId="532401B3">
            <w:pPr>
              <w:spacing w:line="300" w:lineRule="exact"/>
              <w:jc w:val="center"/>
              <w:rPr>
                <w:rFonts w:ascii="Times New Roman"/>
                <w:color w:val="000000"/>
                <w:sz w:val="21"/>
                <w:szCs w:val="21"/>
              </w:rPr>
            </w:pPr>
            <w:r>
              <w:rPr>
                <w:rFonts w:ascii="Times New Roman"/>
                <w:color w:val="000000"/>
                <w:sz w:val="21"/>
                <w:szCs w:val="21"/>
              </w:rPr>
              <w:t>√</w:t>
            </w:r>
          </w:p>
        </w:tc>
        <w:tc>
          <w:tcPr>
            <w:tcW w:w="583" w:type="pct"/>
            <w:vAlign w:val="center"/>
          </w:tcPr>
          <w:p w14:paraId="477AA9A5">
            <w:pPr>
              <w:spacing w:line="300" w:lineRule="exact"/>
              <w:jc w:val="center"/>
              <w:rPr>
                <w:rFonts w:ascii="Times New Roman"/>
                <w:color w:val="000000"/>
                <w:sz w:val="21"/>
                <w:szCs w:val="21"/>
              </w:rPr>
            </w:pPr>
            <w:r>
              <w:rPr>
                <w:rFonts w:ascii="Times New Roman"/>
                <w:color w:val="000000"/>
                <w:sz w:val="21"/>
                <w:szCs w:val="21"/>
              </w:rPr>
              <w:t>√</w:t>
            </w:r>
          </w:p>
        </w:tc>
        <w:tc>
          <w:tcPr>
            <w:tcW w:w="619" w:type="pct"/>
            <w:vAlign w:val="center"/>
          </w:tcPr>
          <w:p w14:paraId="09FEB7A0">
            <w:pPr>
              <w:spacing w:line="300" w:lineRule="exact"/>
              <w:jc w:val="center"/>
              <w:rPr>
                <w:rFonts w:ascii="Times New Roman"/>
                <w:color w:val="000000"/>
                <w:sz w:val="21"/>
                <w:szCs w:val="21"/>
              </w:rPr>
            </w:pPr>
            <w:r>
              <w:rPr>
                <w:rFonts w:ascii="Times New Roman"/>
                <w:color w:val="000000"/>
                <w:sz w:val="21"/>
                <w:szCs w:val="21"/>
              </w:rPr>
              <w:t>√</w:t>
            </w:r>
          </w:p>
        </w:tc>
        <w:tc>
          <w:tcPr>
            <w:tcW w:w="397" w:type="pct"/>
            <w:vAlign w:val="center"/>
          </w:tcPr>
          <w:p w14:paraId="3662AAB5">
            <w:pPr>
              <w:spacing w:line="300" w:lineRule="exact"/>
              <w:jc w:val="center"/>
              <w:rPr>
                <w:rFonts w:ascii="Times New Roman"/>
                <w:color w:val="000000"/>
                <w:sz w:val="21"/>
                <w:szCs w:val="21"/>
              </w:rPr>
            </w:pPr>
          </w:p>
        </w:tc>
        <w:tc>
          <w:tcPr>
            <w:tcW w:w="444" w:type="pct"/>
            <w:vAlign w:val="center"/>
          </w:tcPr>
          <w:p w14:paraId="0C615F81">
            <w:pPr>
              <w:spacing w:line="300" w:lineRule="exact"/>
              <w:jc w:val="center"/>
              <w:rPr>
                <w:rFonts w:ascii="Times New Roman"/>
                <w:color w:val="000000"/>
                <w:sz w:val="21"/>
                <w:szCs w:val="21"/>
              </w:rPr>
            </w:pPr>
          </w:p>
        </w:tc>
        <w:tc>
          <w:tcPr>
            <w:tcW w:w="556" w:type="pct"/>
            <w:vAlign w:val="center"/>
          </w:tcPr>
          <w:p w14:paraId="1CF8FDEB">
            <w:pPr>
              <w:spacing w:line="300" w:lineRule="exact"/>
              <w:jc w:val="center"/>
              <w:rPr>
                <w:rFonts w:ascii="Times New Roman"/>
                <w:color w:val="000000"/>
                <w:sz w:val="21"/>
                <w:szCs w:val="21"/>
              </w:rPr>
            </w:pPr>
          </w:p>
        </w:tc>
        <w:tc>
          <w:tcPr>
            <w:tcW w:w="556" w:type="pct"/>
            <w:vAlign w:val="center"/>
          </w:tcPr>
          <w:p w14:paraId="28BF0B18">
            <w:pPr>
              <w:spacing w:line="300" w:lineRule="exact"/>
              <w:jc w:val="center"/>
              <w:rPr>
                <w:rFonts w:ascii="Times New Roman"/>
                <w:color w:val="000000"/>
                <w:sz w:val="21"/>
                <w:szCs w:val="21"/>
              </w:rPr>
            </w:pPr>
          </w:p>
        </w:tc>
        <w:tc>
          <w:tcPr>
            <w:tcW w:w="564" w:type="pct"/>
            <w:vAlign w:val="center"/>
          </w:tcPr>
          <w:p w14:paraId="0A817B4A">
            <w:pPr>
              <w:spacing w:line="300" w:lineRule="exact"/>
              <w:jc w:val="center"/>
              <w:rPr>
                <w:rFonts w:ascii="Times New Roman"/>
                <w:color w:val="000000"/>
                <w:sz w:val="21"/>
                <w:szCs w:val="21"/>
              </w:rPr>
            </w:pPr>
          </w:p>
        </w:tc>
      </w:tr>
      <w:tr w14:paraId="61996B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1" w:type="pct"/>
            <w:vAlign w:val="center"/>
          </w:tcPr>
          <w:p w14:paraId="7F9D4A69">
            <w:pPr>
              <w:spacing w:line="300" w:lineRule="exact"/>
              <w:jc w:val="center"/>
              <w:rPr>
                <w:rFonts w:ascii="Times New Roman"/>
                <w:color w:val="000000"/>
                <w:sz w:val="21"/>
                <w:szCs w:val="21"/>
              </w:rPr>
            </w:pPr>
            <w:r>
              <w:rPr>
                <w:rFonts w:ascii="Times New Roman"/>
                <w:color w:val="000000"/>
                <w:sz w:val="21"/>
                <w:szCs w:val="21"/>
              </w:rPr>
              <w:t>服务期满后</w:t>
            </w:r>
          </w:p>
        </w:tc>
        <w:tc>
          <w:tcPr>
            <w:tcW w:w="576" w:type="pct"/>
            <w:vAlign w:val="center"/>
          </w:tcPr>
          <w:p w14:paraId="7682BB68">
            <w:pPr>
              <w:spacing w:line="300" w:lineRule="exact"/>
              <w:jc w:val="center"/>
              <w:rPr>
                <w:rFonts w:ascii="Times New Roman"/>
                <w:color w:val="000000"/>
                <w:sz w:val="21"/>
                <w:szCs w:val="21"/>
              </w:rPr>
            </w:pPr>
          </w:p>
        </w:tc>
        <w:tc>
          <w:tcPr>
            <w:tcW w:w="583" w:type="pct"/>
            <w:vAlign w:val="center"/>
          </w:tcPr>
          <w:p w14:paraId="62CCD084">
            <w:pPr>
              <w:spacing w:line="300" w:lineRule="exact"/>
              <w:jc w:val="center"/>
              <w:rPr>
                <w:rFonts w:ascii="Times New Roman"/>
                <w:color w:val="000000"/>
                <w:sz w:val="21"/>
                <w:szCs w:val="21"/>
              </w:rPr>
            </w:pPr>
          </w:p>
        </w:tc>
        <w:tc>
          <w:tcPr>
            <w:tcW w:w="619" w:type="pct"/>
            <w:vAlign w:val="center"/>
          </w:tcPr>
          <w:p w14:paraId="4BDC15F7">
            <w:pPr>
              <w:spacing w:line="300" w:lineRule="exact"/>
              <w:jc w:val="center"/>
              <w:rPr>
                <w:rFonts w:ascii="Times New Roman"/>
                <w:color w:val="000000"/>
                <w:sz w:val="21"/>
                <w:szCs w:val="21"/>
              </w:rPr>
            </w:pPr>
          </w:p>
        </w:tc>
        <w:tc>
          <w:tcPr>
            <w:tcW w:w="397" w:type="pct"/>
            <w:vAlign w:val="center"/>
          </w:tcPr>
          <w:p w14:paraId="54D4C7CC">
            <w:pPr>
              <w:spacing w:line="300" w:lineRule="exact"/>
              <w:jc w:val="center"/>
              <w:rPr>
                <w:rFonts w:ascii="Times New Roman"/>
                <w:color w:val="000000"/>
                <w:sz w:val="21"/>
                <w:szCs w:val="21"/>
              </w:rPr>
            </w:pPr>
          </w:p>
        </w:tc>
        <w:tc>
          <w:tcPr>
            <w:tcW w:w="444" w:type="pct"/>
            <w:vAlign w:val="center"/>
          </w:tcPr>
          <w:p w14:paraId="309F33B5">
            <w:pPr>
              <w:spacing w:line="300" w:lineRule="exact"/>
              <w:jc w:val="center"/>
              <w:rPr>
                <w:rFonts w:ascii="Times New Roman"/>
                <w:color w:val="000000"/>
                <w:sz w:val="21"/>
                <w:szCs w:val="21"/>
              </w:rPr>
            </w:pPr>
          </w:p>
        </w:tc>
        <w:tc>
          <w:tcPr>
            <w:tcW w:w="556" w:type="pct"/>
            <w:vAlign w:val="center"/>
          </w:tcPr>
          <w:p w14:paraId="3946DD15">
            <w:pPr>
              <w:spacing w:line="300" w:lineRule="exact"/>
              <w:jc w:val="center"/>
              <w:rPr>
                <w:rFonts w:ascii="Times New Roman"/>
                <w:color w:val="000000"/>
                <w:sz w:val="21"/>
                <w:szCs w:val="21"/>
              </w:rPr>
            </w:pPr>
          </w:p>
        </w:tc>
        <w:tc>
          <w:tcPr>
            <w:tcW w:w="556" w:type="pct"/>
            <w:vAlign w:val="center"/>
          </w:tcPr>
          <w:p w14:paraId="133F2B57">
            <w:pPr>
              <w:spacing w:line="300" w:lineRule="exact"/>
              <w:jc w:val="center"/>
              <w:rPr>
                <w:rFonts w:ascii="Times New Roman"/>
                <w:color w:val="000000"/>
                <w:sz w:val="21"/>
                <w:szCs w:val="21"/>
              </w:rPr>
            </w:pPr>
          </w:p>
        </w:tc>
        <w:tc>
          <w:tcPr>
            <w:tcW w:w="564" w:type="pct"/>
            <w:vAlign w:val="center"/>
          </w:tcPr>
          <w:p w14:paraId="2A777DA2">
            <w:pPr>
              <w:spacing w:line="300" w:lineRule="exact"/>
              <w:jc w:val="center"/>
              <w:rPr>
                <w:rFonts w:ascii="Times New Roman"/>
                <w:color w:val="000000"/>
                <w:sz w:val="21"/>
                <w:szCs w:val="21"/>
              </w:rPr>
            </w:pPr>
          </w:p>
        </w:tc>
      </w:tr>
      <w:tr w14:paraId="159DC3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9"/>
            <w:vAlign w:val="center"/>
          </w:tcPr>
          <w:p w14:paraId="444CD08E">
            <w:pPr>
              <w:spacing w:line="300" w:lineRule="exact"/>
              <w:rPr>
                <w:rFonts w:ascii="Times New Roman"/>
                <w:color w:val="000000"/>
                <w:sz w:val="21"/>
                <w:szCs w:val="21"/>
              </w:rPr>
            </w:pPr>
            <w:r>
              <w:rPr>
                <w:rFonts w:ascii="Times New Roman"/>
                <w:color w:val="000000"/>
                <w:sz w:val="21"/>
                <w:szCs w:val="21"/>
              </w:rPr>
              <w:t>注：在可能产生的土壤环境影响类型处打“√”，列表未涵盖的可自行设计。</w:t>
            </w:r>
          </w:p>
        </w:tc>
      </w:tr>
    </w:tbl>
    <w:p w14:paraId="3D6A1ED9">
      <w:pPr>
        <w:spacing w:line="500" w:lineRule="exact"/>
        <w:jc w:val="center"/>
        <w:rPr>
          <w:rFonts w:ascii="Times New Roman"/>
          <w:b/>
          <w:bCs/>
          <w:color w:val="000000"/>
        </w:rPr>
      </w:pPr>
      <w:r>
        <w:rPr>
          <w:rFonts w:ascii="Times New Roman"/>
          <w:b/>
          <w:bCs/>
          <w:color w:val="000000"/>
        </w:rPr>
        <w:t>表5.</w:t>
      </w:r>
      <w:r>
        <w:rPr>
          <w:rFonts w:hint="eastAsia" w:ascii="Times New Roman"/>
          <w:b/>
          <w:bCs/>
          <w:color w:val="000000"/>
        </w:rPr>
        <w:t>7</w:t>
      </w:r>
      <w:r>
        <w:rPr>
          <w:rFonts w:ascii="Times New Roman"/>
          <w:b/>
          <w:bCs/>
          <w:color w:val="000000"/>
        </w:rPr>
        <w:t>-2  污染影响型建设项目土壤环境影响源及影响因子识别表</w:t>
      </w:r>
    </w:p>
    <w:tbl>
      <w:tblPr>
        <w:tblStyle w:val="41"/>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595"/>
        <w:gridCol w:w="1229"/>
        <w:gridCol w:w="2387"/>
        <w:gridCol w:w="1719"/>
        <w:gridCol w:w="810"/>
      </w:tblGrid>
      <w:tr w14:paraId="209CBD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3" w:type="pct"/>
            <w:vAlign w:val="center"/>
          </w:tcPr>
          <w:p w14:paraId="7558933B">
            <w:pPr>
              <w:spacing w:line="300" w:lineRule="exact"/>
              <w:jc w:val="center"/>
              <w:rPr>
                <w:rFonts w:ascii="Times New Roman"/>
                <w:bCs/>
                <w:color w:val="000000"/>
                <w:sz w:val="21"/>
                <w:szCs w:val="21"/>
              </w:rPr>
            </w:pPr>
            <w:r>
              <w:rPr>
                <w:rFonts w:ascii="Times New Roman"/>
                <w:bCs/>
                <w:color w:val="000000"/>
                <w:sz w:val="21"/>
                <w:szCs w:val="21"/>
              </w:rPr>
              <w:t>污染源</w:t>
            </w:r>
          </w:p>
        </w:tc>
        <w:tc>
          <w:tcPr>
            <w:tcW w:w="858" w:type="pct"/>
            <w:vAlign w:val="center"/>
          </w:tcPr>
          <w:p w14:paraId="136375FB">
            <w:pPr>
              <w:spacing w:line="300" w:lineRule="exact"/>
              <w:jc w:val="center"/>
              <w:rPr>
                <w:rFonts w:ascii="Times New Roman"/>
                <w:bCs/>
                <w:color w:val="000000"/>
                <w:sz w:val="21"/>
                <w:szCs w:val="21"/>
              </w:rPr>
            </w:pPr>
            <w:r>
              <w:rPr>
                <w:rFonts w:ascii="Times New Roman"/>
                <w:bCs/>
                <w:color w:val="000000"/>
                <w:sz w:val="21"/>
                <w:szCs w:val="21"/>
              </w:rPr>
              <w:t>工艺流程/节点</w:t>
            </w:r>
          </w:p>
        </w:tc>
        <w:tc>
          <w:tcPr>
            <w:tcW w:w="661" w:type="pct"/>
            <w:vAlign w:val="center"/>
          </w:tcPr>
          <w:p w14:paraId="168E7E9B">
            <w:pPr>
              <w:spacing w:line="300" w:lineRule="exact"/>
              <w:jc w:val="center"/>
              <w:rPr>
                <w:rFonts w:ascii="Times New Roman"/>
                <w:bCs/>
                <w:color w:val="000000"/>
                <w:sz w:val="21"/>
                <w:szCs w:val="21"/>
              </w:rPr>
            </w:pPr>
            <w:r>
              <w:rPr>
                <w:rFonts w:ascii="Times New Roman"/>
                <w:bCs/>
                <w:color w:val="000000"/>
                <w:sz w:val="21"/>
                <w:szCs w:val="21"/>
              </w:rPr>
              <w:t>污染途径</w:t>
            </w:r>
          </w:p>
        </w:tc>
        <w:tc>
          <w:tcPr>
            <w:tcW w:w="1284" w:type="pct"/>
            <w:vAlign w:val="center"/>
          </w:tcPr>
          <w:p w14:paraId="071F776E">
            <w:pPr>
              <w:spacing w:line="300" w:lineRule="exact"/>
              <w:jc w:val="center"/>
              <w:rPr>
                <w:rFonts w:ascii="Times New Roman"/>
                <w:bCs/>
                <w:color w:val="000000"/>
                <w:sz w:val="21"/>
                <w:szCs w:val="21"/>
              </w:rPr>
            </w:pPr>
            <w:r>
              <w:rPr>
                <w:rFonts w:ascii="Times New Roman"/>
                <w:bCs/>
                <w:color w:val="000000"/>
                <w:sz w:val="21"/>
                <w:szCs w:val="21"/>
              </w:rPr>
              <w:t>全部污染物指标</w:t>
            </w:r>
          </w:p>
        </w:tc>
        <w:tc>
          <w:tcPr>
            <w:tcW w:w="925" w:type="pct"/>
            <w:vAlign w:val="center"/>
          </w:tcPr>
          <w:p w14:paraId="3459762B">
            <w:pPr>
              <w:spacing w:line="300" w:lineRule="exact"/>
              <w:jc w:val="center"/>
              <w:rPr>
                <w:rFonts w:ascii="Times New Roman"/>
                <w:bCs/>
                <w:color w:val="000000"/>
                <w:sz w:val="21"/>
                <w:szCs w:val="21"/>
              </w:rPr>
            </w:pPr>
            <w:r>
              <w:rPr>
                <w:rFonts w:ascii="Times New Roman"/>
                <w:bCs/>
                <w:color w:val="000000"/>
                <w:sz w:val="21"/>
                <w:szCs w:val="21"/>
              </w:rPr>
              <w:t>特征因子</w:t>
            </w:r>
          </w:p>
        </w:tc>
        <w:tc>
          <w:tcPr>
            <w:tcW w:w="436" w:type="pct"/>
            <w:vAlign w:val="center"/>
          </w:tcPr>
          <w:p w14:paraId="06EEF2F4">
            <w:pPr>
              <w:spacing w:line="300" w:lineRule="exact"/>
              <w:jc w:val="center"/>
              <w:rPr>
                <w:rFonts w:ascii="Times New Roman"/>
                <w:bCs/>
                <w:color w:val="000000"/>
                <w:sz w:val="21"/>
                <w:szCs w:val="21"/>
              </w:rPr>
            </w:pPr>
            <w:r>
              <w:rPr>
                <w:rFonts w:ascii="Times New Roman"/>
                <w:bCs/>
                <w:color w:val="000000"/>
                <w:sz w:val="21"/>
                <w:szCs w:val="21"/>
              </w:rPr>
              <w:t>备注</w:t>
            </w:r>
          </w:p>
        </w:tc>
      </w:tr>
      <w:tr w14:paraId="6505DC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3" w:type="pct"/>
            <w:vAlign w:val="center"/>
          </w:tcPr>
          <w:p w14:paraId="07BC1307">
            <w:pPr>
              <w:spacing w:line="300" w:lineRule="exact"/>
              <w:jc w:val="center"/>
              <w:rPr>
                <w:rFonts w:ascii="Times New Roman" w:eastAsia="宋体"/>
                <w:color w:val="000000"/>
                <w:sz w:val="21"/>
                <w:szCs w:val="21"/>
              </w:rPr>
            </w:pPr>
            <w:r>
              <w:rPr>
                <w:rFonts w:hint="eastAsia" w:ascii="Times New Roman" w:eastAsia="宋体"/>
                <w:color w:val="000000"/>
                <w:sz w:val="21"/>
                <w:szCs w:val="21"/>
              </w:rPr>
              <w:t>养殖区</w:t>
            </w:r>
          </w:p>
        </w:tc>
        <w:tc>
          <w:tcPr>
            <w:tcW w:w="858" w:type="pct"/>
            <w:vAlign w:val="center"/>
          </w:tcPr>
          <w:p w14:paraId="59F25327">
            <w:pPr>
              <w:spacing w:line="300" w:lineRule="exact"/>
              <w:jc w:val="center"/>
              <w:rPr>
                <w:rFonts w:ascii="Times New Roman"/>
                <w:color w:val="000000"/>
                <w:sz w:val="21"/>
                <w:szCs w:val="21"/>
              </w:rPr>
            </w:pPr>
            <w:r>
              <w:rPr>
                <w:rFonts w:hint="eastAsia" w:ascii="Times New Roman"/>
                <w:color w:val="000000"/>
                <w:sz w:val="21"/>
                <w:szCs w:val="21"/>
              </w:rPr>
              <w:t>养殖</w:t>
            </w:r>
          </w:p>
        </w:tc>
        <w:tc>
          <w:tcPr>
            <w:tcW w:w="661" w:type="pct"/>
            <w:vAlign w:val="center"/>
          </w:tcPr>
          <w:p w14:paraId="366614D4">
            <w:pPr>
              <w:spacing w:line="300" w:lineRule="exact"/>
              <w:jc w:val="center"/>
              <w:rPr>
                <w:rFonts w:ascii="Times New Roman"/>
                <w:color w:val="000000"/>
                <w:sz w:val="21"/>
                <w:szCs w:val="21"/>
              </w:rPr>
            </w:pPr>
            <w:r>
              <w:rPr>
                <w:rFonts w:ascii="Times New Roman"/>
                <w:color w:val="000000"/>
                <w:sz w:val="21"/>
                <w:szCs w:val="21"/>
              </w:rPr>
              <w:t>大气沉降</w:t>
            </w:r>
          </w:p>
        </w:tc>
        <w:tc>
          <w:tcPr>
            <w:tcW w:w="1284" w:type="pct"/>
            <w:vAlign w:val="center"/>
          </w:tcPr>
          <w:p w14:paraId="763EB030">
            <w:pPr>
              <w:spacing w:line="300" w:lineRule="exact"/>
              <w:jc w:val="center"/>
              <w:rPr>
                <w:rFonts w:ascii="Times New Roman" w:eastAsia="宋体"/>
                <w:color w:val="000000"/>
                <w:sz w:val="21"/>
                <w:szCs w:val="21"/>
              </w:rPr>
            </w:pPr>
            <w:r>
              <w:rPr>
                <w:rFonts w:hint="eastAsia" w:ascii="Times New Roman" w:eastAsia="宋体"/>
                <w:color w:val="000000"/>
                <w:sz w:val="21"/>
                <w:szCs w:val="21"/>
              </w:rPr>
              <w:t>氨气、硫化氢</w:t>
            </w:r>
          </w:p>
        </w:tc>
        <w:tc>
          <w:tcPr>
            <w:tcW w:w="925" w:type="pct"/>
            <w:vAlign w:val="center"/>
          </w:tcPr>
          <w:p w14:paraId="0515BF0C">
            <w:pPr>
              <w:spacing w:line="300" w:lineRule="exact"/>
              <w:jc w:val="center"/>
              <w:rPr>
                <w:rFonts w:ascii="Times New Roman" w:eastAsia="宋体"/>
                <w:color w:val="000000"/>
                <w:sz w:val="21"/>
                <w:szCs w:val="21"/>
              </w:rPr>
            </w:pPr>
            <w:r>
              <w:rPr>
                <w:rFonts w:hint="eastAsia" w:ascii="Times New Roman" w:eastAsia="宋体"/>
                <w:color w:val="000000"/>
                <w:sz w:val="21"/>
                <w:szCs w:val="21"/>
              </w:rPr>
              <w:t>氨气、硫化氢</w:t>
            </w:r>
          </w:p>
        </w:tc>
        <w:tc>
          <w:tcPr>
            <w:tcW w:w="436" w:type="pct"/>
            <w:vAlign w:val="center"/>
          </w:tcPr>
          <w:p w14:paraId="344C1832">
            <w:pPr>
              <w:spacing w:line="300" w:lineRule="exact"/>
              <w:jc w:val="center"/>
              <w:rPr>
                <w:rFonts w:ascii="Times New Roman"/>
                <w:color w:val="000000"/>
                <w:sz w:val="21"/>
                <w:szCs w:val="21"/>
              </w:rPr>
            </w:pPr>
            <w:r>
              <w:rPr>
                <w:rFonts w:ascii="Times New Roman"/>
                <w:color w:val="000000"/>
                <w:sz w:val="21"/>
                <w:szCs w:val="21"/>
              </w:rPr>
              <w:t>/</w:t>
            </w:r>
          </w:p>
        </w:tc>
      </w:tr>
      <w:tr w14:paraId="4B580E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3" w:type="pct"/>
            <w:vAlign w:val="center"/>
          </w:tcPr>
          <w:p w14:paraId="4B8E1E67">
            <w:pPr>
              <w:spacing w:line="300" w:lineRule="exact"/>
              <w:jc w:val="center"/>
              <w:rPr>
                <w:rFonts w:ascii="Times New Roman" w:hAnsi="宋体" w:eastAsia="宋体"/>
                <w:color w:val="000000"/>
                <w:sz w:val="21"/>
                <w:szCs w:val="21"/>
              </w:rPr>
            </w:pPr>
            <w:r>
              <w:rPr>
                <w:rFonts w:hint="eastAsia" w:ascii="Times New Roman" w:hAnsi="宋体" w:eastAsia="宋体"/>
                <w:color w:val="000000"/>
                <w:sz w:val="21"/>
                <w:szCs w:val="21"/>
              </w:rPr>
              <w:t>污水处理站</w:t>
            </w:r>
          </w:p>
        </w:tc>
        <w:tc>
          <w:tcPr>
            <w:tcW w:w="858" w:type="pct"/>
            <w:vAlign w:val="center"/>
          </w:tcPr>
          <w:p w14:paraId="11D0B686">
            <w:pPr>
              <w:spacing w:line="300" w:lineRule="exact"/>
              <w:jc w:val="center"/>
              <w:rPr>
                <w:rFonts w:ascii="Times New Roman" w:eastAsia="宋体"/>
                <w:color w:val="000000"/>
                <w:sz w:val="21"/>
                <w:szCs w:val="21"/>
              </w:rPr>
            </w:pPr>
            <w:r>
              <w:rPr>
                <w:rFonts w:hint="eastAsia" w:ascii="Times New Roman" w:eastAsia="宋体"/>
                <w:color w:val="000000"/>
                <w:sz w:val="21"/>
                <w:szCs w:val="21"/>
              </w:rPr>
              <w:t>污水处理</w:t>
            </w:r>
          </w:p>
        </w:tc>
        <w:tc>
          <w:tcPr>
            <w:tcW w:w="661" w:type="pct"/>
            <w:vAlign w:val="center"/>
          </w:tcPr>
          <w:p w14:paraId="30F857F4">
            <w:pPr>
              <w:spacing w:line="300" w:lineRule="exact"/>
              <w:jc w:val="center"/>
              <w:rPr>
                <w:rFonts w:ascii="Times New Roman"/>
                <w:color w:val="000000"/>
                <w:sz w:val="21"/>
                <w:szCs w:val="21"/>
              </w:rPr>
            </w:pPr>
            <w:r>
              <w:rPr>
                <w:rFonts w:ascii="Times New Roman" w:eastAsia="宋体"/>
                <w:bCs/>
                <w:sz w:val="21"/>
                <w:szCs w:val="21"/>
              </w:rPr>
              <w:t>垂直入渗/地面漫流</w:t>
            </w:r>
          </w:p>
        </w:tc>
        <w:tc>
          <w:tcPr>
            <w:tcW w:w="1284" w:type="pct"/>
            <w:vAlign w:val="center"/>
          </w:tcPr>
          <w:p w14:paraId="5603977F">
            <w:pPr>
              <w:spacing w:line="300" w:lineRule="exact"/>
              <w:jc w:val="center"/>
              <w:rPr>
                <w:rFonts w:ascii="Times New Roman"/>
                <w:color w:val="000000"/>
                <w:sz w:val="21"/>
                <w:szCs w:val="21"/>
              </w:rPr>
            </w:pPr>
            <w:r>
              <w:rPr>
                <w:rFonts w:hint="eastAsia" w:ascii="Times New Roman"/>
                <w:color w:val="000000"/>
                <w:sz w:val="21"/>
                <w:szCs w:val="21"/>
              </w:rPr>
              <w:t>COD、BOD</w:t>
            </w:r>
            <w:r>
              <w:rPr>
                <w:rFonts w:hint="eastAsia" w:ascii="Times New Roman"/>
                <w:color w:val="000000"/>
                <w:sz w:val="21"/>
                <w:szCs w:val="21"/>
                <w:vertAlign w:val="subscript"/>
              </w:rPr>
              <w:t>5</w:t>
            </w:r>
            <w:r>
              <w:rPr>
                <w:rFonts w:hint="eastAsia" w:ascii="Times New Roman"/>
                <w:color w:val="000000"/>
                <w:sz w:val="21"/>
                <w:szCs w:val="21"/>
              </w:rPr>
              <w:t>、SS、NH</w:t>
            </w:r>
            <w:r>
              <w:rPr>
                <w:rFonts w:hint="eastAsia" w:ascii="Times New Roman"/>
                <w:color w:val="000000"/>
                <w:sz w:val="21"/>
                <w:szCs w:val="21"/>
                <w:vertAlign w:val="subscript"/>
              </w:rPr>
              <w:t>3</w:t>
            </w:r>
            <w:r>
              <w:rPr>
                <w:rFonts w:hint="eastAsia" w:ascii="Times New Roman"/>
                <w:color w:val="000000"/>
                <w:sz w:val="21"/>
                <w:szCs w:val="21"/>
              </w:rPr>
              <w:t>-N、TP、TN、</w:t>
            </w:r>
            <w:r>
              <w:rPr>
                <w:rFonts w:ascii="Times New Roman" w:hAnsi="Times New Roman" w:eastAsia="宋体" w:cs="Times New Roman"/>
                <w:color w:val="000000"/>
                <w:kern w:val="0"/>
                <w:sz w:val="21"/>
                <w:szCs w:val="21"/>
              </w:rPr>
              <w:t>粪大肠菌群</w:t>
            </w:r>
          </w:p>
        </w:tc>
        <w:tc>
          <w:tcPr>
            <w:tcW w:w="925" w:type="pct"/>
            <w:vAlign w:val="center"/>
          </w:tcPr>
          <w:p w14:paraId="4C35DFF8">
            <w:pPr>
              <w:spacing w:line="300" w:lineRule="exact"/>
              <w:jc w:val="center"/>
              <w:rPr>
                <w:rFonts w:ascii="Times New Roman"/>
                <w:color w:val="000000"/>
                <w:sz w:val="21"/>
                <w:szCs w:val="21"/>
              </w:rPr>
            </w:pPr>
            <w:r>
              <w:rPr>
                <w:rFonts w:hint="eastAsia" w:ascii="Times New Roman"/>
                <w:color w:val="000000"/>
                <w:sz w:val="21"/>
                <w:szCs w:val="21"/>
              </w:rPr>
              <w:t>/</w:t>
            </w:r>
          </w:p>
        </w:tc>
        <w:tc>
          <w:tcPr>
            <w:tcW w:w="436" w:type="pct"/>
            <w:vAlign w:val="center"/>
          </w:tcPr>
          <w:p w14:paraId="746140F5">
            <w:pPr>
              <w:spacing w:line="300" w:lineRule="exact"/>
              <w:jc w:val="center"/>
              <w:rPr>
                <w:rFonts w:ascii="Times New Roman" w:eastAsia="宋体"/>
                <w:color w:val="000000"/>
                <w:sz w:val="21"/>
                <w:szCs w:val="21"/>
              </w:rPr>
            </w:pPr>
            <w:r>
              <w:rPr>
                <w:rFonts w:hint="eastAsia" w:ascii="Times New Roman"/>
                <w:color w:val="000000"/>
                <w:sz w:val="21"/>
                <w:szCs w:val="21"/>
              </w:rPr>
              <w:t>/</w:t>
            </w:r>
          </w:p>
        </w:tc>
      </w:tr>
    </w:tbl>
    <w:p w14:paraId="0E2E27AC">
      <w:pPr>
        <w:pStyle w:val="7"/>
        <w:spacing w:line="480" w:lineRule="exact"/>
      </w:pPr>
      <w:r>
        <w:rPr>
          <w:rFonts w:hint="eastAsia"/>
        </w:rPr>
        <w:t>5</w:t>
      </w:r>
      <w:r>
        <w:t xml:space="preserve">.7.2 </w:t>
      </w:r>
      <w:r>
        <w:rPr>
          <w:rFonts w:hint="eastAsia"/>
        </w:rPr>
        <w:t>预测与评价</w:t>
      </w:r>
    </w:p>
    <w:p w14:paraId="69CDDFD2">
      <w:pPr>
        <w:snapToGrid w:val="0"/>
        <w:spacing w:line="480" w:lineRule="exact"/>
        <w:ind w:firstLine="482"/>
        <w:rPr>
          <w:rFonts w:ascii="Times New Roman"/>
          <w:color w:val="000000"/>
          <w:szCs w:val="24"/>
        </w:rPr>
      </w:pPr>
      <w:r>
        <w:rPr>
          <w:rFonts w:ascii="Times New Roman"/>
          <w:color w:val="000000"/>
          <w:szCs w:val="24"/>
        </w:rPr>
        <w:t>拟建项目土壤环境影响评价等级为三级，对土壤可能产生影响的途径主要为大气污染物通过降水、扩散和重力作用降落至地面，渗透进入土壤，进而污染土壤环境；废水输送、处理过程以及事故状态下中发生跑冒滴漏，渗入土壤对土壤产生影响；固体废物尤其是危险废物在厂区内储存过程中渗出液进入土壤，危害土壤环境。建设项目采取以下措施防治土壤污染：</w:t>
      </w:r>
    </w:p>
    <w:p w14:paraId="30DDA4F6">
      <w:pPr>
        <w:snapToGrid w:val="0"/>
        <w:spacing w:line="480" w:lineRule="atLeast"/>
        <w:ind w:firstLine="482"/>
        <w:rPr>
          <w:rFonts w:ascii="Times New Roman"/>
          <w:color w:val="000000"/>
          <w:szCs w:val="24"/>
        </w:rPr>
      </w:pPr>
      <w:r>
        <w:rPr>
          <w:rFonts w:ascii="Times New Roman"/>
          <w:color w:val="000000"/>
          <w:szCs w:val="24"/>
        </w:rPr>
        <w:t>（1）废气对土壤环境的影响</w:t>
      </w:r>
    </w:p>
    <w:p w14:paraId="2129F73D">
      <w:pPr>
        <w:snapToGrid w:val="0"/>
        <w:spacing w:line="480" w:lineRule="atLeast"/>
        <w:ind w:firstLine="482"/>
        <w:rPr>
          <w:rFonts w:ascii="Times New Roman"/>
          <w:color w:val="000000"/>
          <w:szCs w:val="24"/>
        </w:rPr>
      </w:pPr>
      <w:r>
        <w:rPr>
          <w:rFonts w:ascii="Times New Roman"/>
          <w:color w:val="000000"/>
          <w:szCs w:val="24"/>
        </w:rPr>
        <w:t>本项目大气沉降影响主要是项目产生的氨气及</w:t>
      </w:r>
      <w:r>
        <w:rPr>
          <w:rFonts w:hint="eastAsia" w:ascii="Times New Roman"/>
          <w:color w:val="000000"/>
          <w:szCs w:val="24"/>
        </w:rPr>
        <w:t>硫化氢</w:t>
      </w:r>
      <w:r>
        <w:rPr>
          <w:rFonts w:ascii="Times New Roman"/>
          <w:color w:val="000000"/>
          <w:szCs w:val="24"/>
        </w:rPr>
        <w:t>等对于土壤产生的影响。项目大气污染物无相关土壤监测标准和评价标准，且不涉及持久性土壤污染物，不会对土壤质量产生明显恶化影响，在采取相关保护措施后影响可以接受。</w:t>
      </w:r>
    </w:p>
    <w:p w14:paraId="57003813">
      <w:pPr>
        <w:snapToGrid w:val="0"/>
        <w:spacing w:line="480" w:lineRule="atLeast"/>
        <w:ind w:firstLine="482"/>
        <w:rPr>
          <w:rFonts w:ascii="Times New Roman"/>
          <w:color w:val="000000"/>
          <w:szCs w:val="24"/>
        </w:rPr>
      </w:pPr>
      <w:r>
        <w:rPr>
          <w:rFonts w:ascii="Times New Roman"/>
          <w:color w:val="000000"/>
          <w:szCs w:val="24"/>
        </w:rPr>
        <w:t>（2）废水对土壤环境的影响</w:t>
      </w:r>
    </w:p>
    <w:p w14:paraId="09BDEDC3">
      <w:pPr>
        <w:snapToGrid w:val="0"/>
        <w:spacing w:line="480" w:lineRule="atLeast"/>
        <w:ind w:firstLine="482"/>
        <w:rPr>
          <w:rFonts w:ascii="Times New Roman"/>
          <w:color w:val="000000"/>
          <w:szCs w:val="24"/>
        </w:rPr>
      </w:pPr>
      <w:r>
        <w:rPr>
          <w:rFonts w:ascii="Times New Roman"/>
          <w:color w:val="000000"/>
          <w:szCs w:val="24"/>
        </w:rPr>
        <w:t>建设项目生产过程中废水主要来源于</w:t>
      </w:r>
      <w:r>
        <w:rPr>
          <w:rFonts w:hint="eastAsia" w:ascii="Times New Roman"/>
          <w:color w:val="000000"/>
          <w:szCs w:val="24"/>
        </w:rPr>
        <w:t>养殖</w:t>
      </w:r>
      <w:r>
        <w:rPr>
          <w:rFonts w:ascii="Times New Roman"/>
          <w:color w:val="000000"/>
          <w:szCs w:val="24"/>
        </w:rPr>
        <w:t>废水、</w:t>
      </w:r>
      <w:r>
        <w:rPr>
          <w:rFonts w:hint="eastAsia" w:ascii="Times New Roman"/>
          <w:color w:val="000000"/>
          <w:szCs w:val="24"/>
        </w:rPr>
        <w:t>喷淋废水、</w:t>
      </w:r>
      <w:r>
        <w:rPr>
          <w:rFonts w:ascii="Times New Roman"/>
          <w:color w:val="000000"/>
          <w:szCs w:val="24"/>
        </w:rPr>
        <w:t>生活污水及初期雨水，上述废水经预处理达</w:t>
      </w:r>
      <w:r>
        <w:rPr>
          <w:rFonts w:ascii="Times New Roman" w:hAnsi="Times New Roman" w:cs="Times New Roman"/>
          <w:szCs w:val="24"/>
        </w:rPr>
        <w:t>《农田灌溉水质标准》（GB5084-20</w:t>
      </w:r>
      <w:r>
        <w:rPr>
          <w:rFonts w:hint="eastAsia" w:ascii="Times New Roman" w:hAnsi="Times New Roman" w:cs="Times New Roman"/>
          <w:szCs w:val="24"/>
        </w:rPr>
        <w:t>21</w:t>
      </w:r>
      <w:r>
        <w:rPr>
          <w:rFonts w:ascii="Times New Roman" w:hAnsi="Times New Roman" w:cs="Times New Roman"/>
          <w:szCs w:val="24"/>
        </w:rPr>
        <w:t>）</w:t>
      </w:r>
      <w:r>
        <w:rPr>
          <w:rFonts w:hint="eastAsia" w:ascii="Times New Roman" w:hAnsi="Times New Roman" w:cs="Times New Roman"/>
          <w:szCs w:val="24"/>
        </w:rPr>
        <w:t>后全部通过</w:t>
      </w:r>
      <w:r>
        <w:rPr>
          <w:rFonts w:hint="eastAsia" w:ascii="Times New Roman" w:hAnsi="Times New Roman" w:cs="Times New Roman"/>
          <w:szCs w:val="24"/>
          <w:lang w:eastAsia="zh-CN"/>
        </w:rPr>
        <w:t>管道输送至</w:t>
      </w:r>
      <w:r>
        <w:rPr>
          <w:rFonts w:hint="eastAsia" w:ascii="Times New Roman" w:hAnsi="Times New Roman" w:cs="Times New Roman"/>
          <w:szCs w:val="24"/>
        </w:rPr>
        <w:t>项目周边配套的农田进行灌溉</w:t>
      </w:r>
      <w:r>
        <w:rPr>
          <w:rFonts w:ascii="Times New Roman"/>
          <w:color w:val="000000"/>
          <w:szCs w:val="24"/>
        </w:rPr>
        <w:t>，</w:t>
      </w:r>
      <w:r>
        <w:rPr>
          <w:rFonts w:hint="eastAsia"/>
        </w:rPr>
        <w:t>废水不外排</w:t>
      </w:r>
      <w:r>
        <w:rPr>
          <w:rFonts w:hint="eastAsia" w:ascii="Times New Roman"/>
          <w:color w:val="000000"/>
          <w:szCs w:val="24"/>
        </w:rPr>
        <w:t>。</w:t>
      </w:r>
      <w:r>
        <w:rPr>
          <w:rFonts w:ascii="Times New Roman"/>
          <w:color w:val="000000"/>
          <w:szCs w:val="24"/>
        </w:rPr>
        <w:t>项目废水特征污染物无相关土壤监测标准和评价标准，考虑项目废水污染因子浓度相对较低，水量较小，如若出现泄漏等事故情况，在采取相应堵截拦污措施后对周边的土壤环境影响较小。</w:t>
      </w:r>
    </w:p>
    <w:p w14:paraId="4518E70E">
      <w:pPr>
        <w:snapToGrid w:val="0"/>
        <w:spacing w:line="480" w:lineRule="atLeast"/>
        <w:ind w:firstLine="482"/>
        <w:rPr>
          <w:rFonts w:ascii="Times New Roman"/>
          <w:color w:val="000000"/>
          <w:szCs w:val="24"/>
        </w:rPr>
      </w:pPr>
      <w:r>
        <w:rPr>
          <w:rFonts w:ascii="Times New Roman"/>
          <w:color w:val="000000"/>
          <w:szCs w:val="24"/>
        </w:rPr>
        <w:t>（3）发生火灾等事故</w:t>
      </w:r>
    </w:p>
    <w:p w14:paraId="36428B63">
      <w:pPr>
        <w:snapToGrid w:val="0"/>
        <w:spacing w:line="480" w:lineRule="atLeast"/>
        <w:ind w:firstLine="482"/>
        <w:rPr>
          <w:rFonts w:ascii="Times New Roman"/>
          <w:color w:val="000000"/>
          <w:szCs w:val="24"/>
        </w:rPr>
      </w:pPr>
      <w:r>
        <w:rPr>
          <w:rFonts w:ascii="Times New Roman"/>
          <w:color w:val="000000"/>
          <w:szCs w:val="24"/>
        </w:rPr>
        <w:t>发生火灾事故时，消防废水中可能含有COD、石油类等污染物，随消防废水漫流至未硬化处理的地面，直接被土壤吸收。项目将新建一座</w:t>
      </w:r>
      <w:r>
        <w:rPr>
          <w:rFonts w:hint="eastAsia" w:ascii="Times New Roman"/>
          <w:color w:val="000000"/>
          <w:szCs w:val="24"/>
        </w:rPr>
        <w:t>1</w:t>
      </w:r>
      <w:r>
        <w:rPr>
          <w:rFonts w:hint="eastAsia" w:ascii="Times New Roman"/>
          <w:color w:val="000000"/>
          <w:szCs w:val="24"/>
          <w:lang w:val="en-US" w:eastAsia="zh-CN"/>
        </w:rPr>
        <w:t>5</w:t>
      </w:r>
      <w:r>
        <w:rPr>
          <w:rFonts w:ascii="Times New Roman"/>
          <w:color w:val="000000"/>
          <w:szCs w:val="24"/>
        </w:rPr>
        <w:t>0m</w:t>
      </w:r>
      <w:r>
        <w:rPr>
          <w:rFonts w:ascii="Times New Roman"/>
          <w:color w:val="000000"/>
          <w:szCs w:val="24"/>
          <w:vertAlign w:val="superscript"/>
        </w:rPr>
        <w:t>3</w:t>
      </w:r>
      <w:r>
        <w:rPr>
          <w:rFonts w:ascii="Times New Roman"/>
          <w:color w:val="000000"/>
          <w:szCs w:val="24"/>
        </w:rPr>
        <w:t>的</w:t>
      </w:r>
      <w:r>
        <w:rPr>
          <w:rFonts w:hint="eastAsia" w:ascii="Times New Roman"/>
          <w:color w:val="000000"/>
          <w:szCs w:val="24"/>
        </w:rPr>
        <w:t>应急事故池</w:t>
      </w:r>
      <w:r>
        <w:rPr>
          <w:rFonts w:ascii="Times New Roman"/>
          <w:color w:val="000000"/>
          <w:szCs w:val="24"/>
        </w:rPr>
        <w:t>，发生事故时，消防废水能有效收集并进入事故池内，对周边土壤环境影响较小。</w:t>
      </w:r>
    </w:p>
    <w:p w14:paraId="10EE9674">
      <w:pPr>
        <w:snapToGrid w:val="0"/>
        <w:spacing w:line="480" w:lineRule="atLeast"/>
        <w:ind w:firstLine="482"/>
        <w:rPr>
          <w:rFonts w:ascii="Times New Roman"/>
          <w:color w:val="000000"/>
          <w:szCs w:val="24"/>
        </w:rPr>
      </w:pPr>
      <w:r>
        <w:rPr>
          <w:rFonts w:ascii="Times New Roman"/>
          <w:color w:val="000000"/>
          <w:szCs w:val="24"/>
        </w:rPr>
        <w:t>综上，建设项目从源头控制废水泄漏，同时采取有效措施，若发生泄漏及时发现，对收集泄漏物的管沟、应急池以及污水处理站池体等采取各项防渗措施，通过采取以上措施，废水等进入土壤的量很少，不会对周围土壤环境产生明显影响。</w:t>
      </w:r>
    </w:p>
    <w:p w14:paraId="0EBB7D74">
      <w:pPr>
        <w:pStyle w:val="7"/>
        <w:spacing w:line="480" w:lineRule="exact"/>
      </w:pPr>
      <w:r>
        <w:rPr>
          <w:rFonts w:hint="eastAsia"/>
        </w:rPr>
        <w:t>5</w:t>
      </w:r>
      <w:r>
        <w:t>.7.</w:t>
      </w:r>
      <w:r>
        <w:rPr>
          <w:rFonts w:hint="eastAsia"/>
        </w:rPr>
        <w:t>3</w:t>
      </w:r>
      <w:r>
        <w:t xml:space="preserve"> </w:t>
      </w:r>
      <w:r>
        <w:rPr>
          <w:rFonts w:hint="eastAsia"/>
        </w:rPr>
        <w:t>土壤环境影响分析结论</w:t>
      </w:r>
    </w:p>
    <w:p w14:paraId="06BC2B6E">
      <w:pPr>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kern w:val="0"/>
          <w:szCs w:val="24"/>
        </w:rPr>
        <w:t>项目废气排放的污染物主要为NH</w:t>
      </w:r>
      <w:r>
        <w:rPr>
          <w:rFonts w:ascii="Times New Roman" w:hAnsi="Times New Roman" w:eastAsia="宋体" w:cs="Times New Roman"/>
          <w:color w:val="000000"/>
          <w:kern w:val="0"/>
          <w:szCs w:val="24"/>
          <w:vertAlign w:val="subscript"/>
        </w:rPr>
        <w:t>3</w:t>
      </w:r>
      <w:r>
        <w:rPr>
          <w:rFonts w:ascii="Times New Roman" w:hAnsi="Times New Roman" w:eastAsia="宋体" w:cs="Times New Roman"/>
          <w:color w:val="000000"/>
          <w:kern w:val="0"/>
          <w:szCs w:val="24"/>
        </w:rPr>
        <w:t>、H</w:t>
      </w:r>
      <w:r>
        <w:rPr>
          <w:rFonts w:ascii="Times New Roman" w:hAnsi="Times New Roman" w:eastAsia="宋体" w:cs="Times New Roman"/>
          <w:color w:val="000000"/>
          <w:kern w:val="0"/>
          <w:szCs w:val="24"/>
          <w:vertAlign w:val="subscript"/>
        </w:rPr>
        <w:t>2</w:t>
      </w:r>
      <w:r>
        <w:rPr>
          <w:rFonts w:ascii="Times New Roman" w:hAnsi="Times New Roman" w:eastAsia="宋体" w:cs="Times New Roman"/>
          <w:color w:val="000000"/>
          <w:kern w:val="0"/>
          <w:szCs w:val="24"/>
        </w:rPr>
        <w:t>S，经大气预测可知，项目排放的废气的最大落地浓度均较低，废气沉降对附近土壤的影响较小；</w:t>
      </w:r>
      <w:r>
        <w:rPr>
          <w:rFonts w:ascii="Times New Roman" w:hAnsi="Times New Roman" w:eastAsia="宋体" w:cs="Times New Roman"/>
          <w:color w:val="000000"/>
          <w:szCs w:val="24"/>
        </w:rPr>
        <w:t>项目废水经自建污水处理站处理达到《</w:t>
      </w:r>
      <w:r>
        <w:rPr>
          <w:rFonts w:ascii="Times New Roman" w:hAnsi="Times New Roman" w:eastAsia="宋体" w:cs="Times New Roman"/>
          <w:szCs w:val="24"/>
        </w:rPr>
        <w:t>农田灌溉水质标准</w:t>
      </w:r>
      <w:r>
        <w:rPr>
          <w:rFonts w:ascii="Times New Roman" w:hAnsi="Times New Roman" w:eastAsia="宋体" w:cs="Times New Roman"/>
          <w:color w:val="000000"/>
          <w:szCs w:val="24"/>
        </w:rPr>
        <w:t>》</w:t>
      </w:r>
      <w:r>
        <w:rPr>
          <w:rFonts w:ascii="Times New Roman" w:hAnsi="Times New Roman" w:eastAsia="宋体" w:cs="Times New Roman"/>
          <w:szCs w:val="24"/>
        </w:rPr>
        <w:t>（GB5084-20</w:t>
      </w:r>
      <w:r>
        <w:rPr>
          <w:rFonts w:hint="eastAsia" w:ascii="Times New Roman" w:hAnsi="Times New Roman" w:eastAsia="宋体" w:cs="Times New Roman"/>
          <w:szCs w:val="24"/>
        </w:rPr>
        <w:t>21</w:t>
      </w:r>
      <w:r>
        <w:rPr>
          <w:rFonts w:ascii="Times New Roman" w:hAnsi="Times New Roman" w:eastAsia="宋体" w:cs="Times New Roman"/>
          <w:szCs w:val="24"/>
        </w:rPr>
        <w:t>）</w:t>
      </w:r>
      <w:r>
        <w:rPr>
          <w:rFonts w:ascii="Times New Roman" w:hAnsi="Times New Roman" w:eastAsia="宋体" w:cs="Times New Roman"/>
          <w:color w:val="000000"/>
          <w:szCs w:val="24"/>
        </w:rPr>
        <w:t>表</w:t>
      </w:r>
      <w:r>
        <w:rPr>
          <w:rFonts w:hint="eastAsia" w:ascii="Times New Roman" w:hAnsi="Times New Roman" w:eastAsia="宋体" w:cs="Times New Roman"/>
          <w:color w:val="000000"/>
          <w:szCs w:val="24"/>
        </w:rPr>
        <w:t>1</w:t>
      </w:r>
      <w:r>
        <w:rPr>
          <w:rFonts w:ascii="Times New Roman" w:hAnsi="Times New Roman" w:eastAsia="宋体" w:cs="Times New Roman"/>
          <w:color w:val="000000"/>
          <w:szCs w:val="24"/>
        </w:rPr>
        <w:t>中“</w:t>
      </w:r>
      <w:r>
        <w:rPr>
          <w:rFonts w:ascii="Times New Roman" w:hAnsi="Times New Roman" w:eastAsia="宋体" w:cs="Times New Roman"/>
          <w:szCs w:val="24"/>
        </w:rPr>
        <w:t>水作标准</w:t>
      </w:r>
      <w:r>
        <w:rPr>
          <w:rFonts w:ascii="Times New Roman" w:hAnsi="Times New Roman" w:eastAsia="宋体" w:cs="Times New Roman"/>
          <w:color w:val="000000"/>
          <w:szCs w:val="24"/>
        </w:rPr>
        <w:t>”</w:t>
      </w:r>
      <w:r>
        <w:rPr>
          <w:rFonts w:ascii="Times New Roman" w:hAnsi="Times New Roman" w:eastAsia="宋体" w:cs="Times New Roman"/>
          <w:color w:val="000000"/>
          <w:szCs w:val="24"/>
          <w:lang w:bidi="ar"/>
        </w:rPr>
        <w:t>后</w:t>
      </w:r>
      <w:r>
        <w:rPr>
          <w:rFonts w:ascii="Times New Roman" w:hAnsi="Times New Roman" w:eastAsia="宋体" w:cs="Times New Roman"/>
          <w:color w:val="000000"/>
          <w:szCs w:val="24"/>
        </w:rPr>
        <w:t>通</w:t>
      </w:r>
      <w:r>
        <w:rPr>
          <w:rFonts w:hint="eastAsia" w:ascii="Times New Roman" w:hAnsi="Times New Roman" w:eastAsia="宋体" w:cs="Times New Roman"/>
          <w:color w:val="000000"/>
          <w:szCs w:val="24"/>
          <w:lang w:eastAsia="zh-CN"/>
        </w:rPr>
        <w:t>过管道输送至项目</w:t>
      </w:r>
      <w:r>
        <w:rPr>
          <w:rFonts w:hint="eastAsia" w:ascii="Times New Roman" w:hAnsi="Times New Roman" w:eastAsia="宋体" w:cs="Times New Roman"/>
          <w:color w:val="000000"/>
          <w:szCs w:val="24"/>
          <w:lang w:val="en-US" w:eastAsia="zh-CN"/>
        </w:rPr>
        <w:t>周边</w:t>
      </w:r>
      <w:r>
        <w:rPr>
          <w:rFonts w:hint="eastAsia" w:ascii="Times New Roman" w:hAnsi="Times New Roman" w:eastAsia="宋体" w:cs="Times New Roman"/>
          <w:color w:val="000000"/>
          <w:szCs w:val="24"/>
          <w:lang w:eastAsia="zh-CN"/>
        </w:rPr>
        <w:t>配套农田</w:t>
      </w:r>
      <w:r>
        <w:rPr>
          <w:rFonts w:ascii="Times New Roman" w:hAnsi="Times New Roman" w:eastAsia="宋体" w:cs="Times New Roman"/>
          <w:color w:val="000000"/>
          <w:szCs w:val="24"/>
        </w:rPr>
        <w:t>作为灌溉用水，尾水中主要污染物浓度均较低，对灌区土壤影响较小；项目</w:t>
      </w:r>
      <w:r>
        <w:rPr>
          <w:rFonts w:hint="eastAsia" w:ascii="Times New Roman" w:hAnsi="Times New Roman" w:eastAsia="宋体" w:cs="Times New Roman"/>
          <w:color w:val="000000"/>
          <w:szCs w:val="24"/>
          <w:lang w:bidi="ar"/>
        </w:rPr>
        <w:t>鸡舍区</w:t>
      </w:r>
      <w:r>
        <w:rPr>
          <w:rFonts w:ascii="Times New Roman" w:hAnsi="Times New Roman" w:eastAsia="宋体" w:cs="Times New Roman"/>
          <w:color w:val="000000"/>
          <w:szCs w:val="24"/>
          <w:lang w:bidi="ar"/>
        </w:rPr>
        <w:t>、污水处理站、</w:t>
      </w:r>
      <w:r>
        <w:rPr>
          <w:rFonts w:hint="eastAsia" w:ascii="Times New Roman" w:hAnsi="Times New Roman" w:eastAsia="宋体" w:cs="Times New Roman"/>
          <w:color w:val="000000"/>
          <w:szCs w:val="24"/>
          <w:lang w:bidi="ar"/>
        </w:rPr>
        <w:t>鸡粪暂存库、</w:t>
      </w:r>
      <w:r>
        <w:rPr>
          <w:rFonts w:ascii="Times New Roman" w:hAnsi="Times New Roman" w:eastAsia="宋体" w:cs="Times New Roman"/>
          <w:color w:val="000000"/>
          <w:szCs w:val="24"/>
          <w:lang w:bidi="ar"/>
        </w:rPr>
        <w:t>废水收集排放管道及危废仓库</w:t>
      </w:r>
      <w:r>
        <w:rPr>
          <w:rFonts w:ascii="Times New Roman" w:hAnsi="Times New Roman" w:eastAsia="宋体" w:cs="Times New Roman"/>
          <w:color w:val="000000"/>
          <w:szCs w:val="24"/>
        </w:rPr>
        <w:t>等划为重点防渗区，并按要求采取严格的防渗措施，可有效避免项目废水渗漏；项目产生的危废</w:t>
      </w:r>
      <w:r>
        <w:rPr>
          <w:rFonts w:ascii="Times New Roman" w:hAnsi="Times New Roman" w:eastAsia="宋体" w:cs="Times New Roman"/>
          <w:color w:val="000000"/>
          <w:szCs w:val="24"/>
          <w:lang w:bidi="ar"/>
        </w:rPr>
        <w:t>定期清理处置，不在厂区内长时间暂存；项目厂区建设了应急池，</w:t>
      </w:r>
      <w:r>
        <w:rPr>
          <w:rFonts w:hint="eastAsia" w:ascii="Times New Roman" w:hAnsi="Times New Roman" w:eastAsia="宋体" w:cs="Times New Roman"/>
          <w:color w:val="000000"/>
          <w:szCs w:val="24"/>
          <w:lang w:val="en-US" w:eastAsia="zh-CN" w:bidi="ar"/>
        </w:rPr>
        <w:t>用于</w:t>
      </w:r>
      <w:r>
        <w:rPr>
          <w:rFonts w:ascii="Times New Roman" w:hAnsi="Times New Roman" w:eastAsia="宋体" w:cs="Times New Roman"/>
          <w:color w:val="000000"/>
          <w:szCs w:val="24"/>
          <w:lang w:bidi="ar"/>
        </w:rPr>
        <w:t>收集事故情况下的废水、废液</w:t>
      </w:r>
      <w:r>
        <w:rPr>
          <w:rFonts w:ascii="Times New Roman" w:hAnsi="Times New Roman" w:eastAsia="宋体" w:cs="Times New Roman"/>
          <w:color w:val="000000"/>
          <w:szCs w:val="24"/>
        </w:rPr>
        <w:t>。</w:t>
      </w:r>
    </w:p>
    <w:p w14:paraId="615E7525">
      <w:pPr>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综上所述，在采取相应的污染防治措施后，项目对区域土壤环境的污染影响很小，不会改变区域土壤环境功能。从土壤环境角度，建设项目可行。</w:t>
      </w:r>
    </w:p>
    <w:p w14:paraId="03D471C7">
      <w:pPr>
        <w:snapToGrid w:val="0"/>
        <w:spacing w:line="480" w:lineRule="exact"/>
        <w:ind w:firstLine="482"/>
        <w:rPr>
          <w:rFonts w:ascii="Times New Roman" w:hAnsi="Times New Roman" w:eastAsia="宋体" w:cs="Times New Roman"/>
          <w:color w:val="000000"/>
          <w:szCs w:val="24"/>
        </w:rPr>
      </w:pPr>
      <w:r>
        <w:rPr>
          <w:rFonts w:ascii="Times New Roman" w:hAnsi="Times New Roman" w:eastAsia="宋体" w:cs="Times New Roman"/>
          <w:color w:val="000000"/>
          <w:szCs w:val="24"/>
        </w:rPr>
        <w:t>项目土壤环境影响评价自查表5.7-3。</w:t>
      </w:r>
    </w:p>
    <w:p w14:paraId="1D98DC0C">
      <w:pPr>
        <w:snapToGrid w:val="0"/>
        <w:spacing w:line="480" w:lineRule="exact"/>
        <w:jc w:val="center"/>
        <w:rPr>
          <w:rFonts w:ascii="Times New Roman" w:hAnsi="Times New Roman" w:eastAsia="宋体" w:cs="Times New Roman"/>
          <w:b/>
          <w:color w:val="000000"/>
          <w:szCs w:val="24"/>
        </w:rPr>
      </w:pPr>
      <w:r>
        <w:rPr>
          <w:rFonts w:ascii="Times New Roman" w:hAnsi="Times New Roman" w:eastAsia="宋体" w:cs="Times New Roman"/>
          <w:b/>
          <w:color w:val="000000"/>
          <w:szCs w:val="24"/>
        </w:rPr>
        <w:t xml:space="preserve">表5.7-3 项目土壤环境影响评价自查表 </w:t>
      </w:r>
    </w:p>
    <w:tbl>
      <w:tblPr>
        <w:tblStyle w:val="42"/>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86"/>
        <w:gridCol w:w="2200"/>
        <w:gridCol w:w="1741"/>
        <w:gridCol w:w="9"/>
        <w:gridCol w:w="1628"/>
        <w:gridCol w:w="970"/>
        <w:gridCol w:w="600"/>
        <w:gridCol w:w="1354"/>
      </w:tblGrid>
      <w:tr w14:paraId="1F38C6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07" w:type="pct"/>
            <w:gridSpan w:val="2"/>
            <w:vAlign w:val="center"/>
          </w:tcPr>
          <w:p w14:paraId="4C87D7B4">
            <w:pPr>
              <w:adjustRightInd w:val="0"/>
              <w:snapToGrid w:val="0"/>
              <w:spacing w:line="280" w:lineRule="exact"/>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工作内容</w:t>
            </w:r>
          </w:p>
        </w:tc>
        <w:tc>
          <w:tcPr>
            <w:tcW w:w="3392" w:type="pct"/>
            <w:gridSpan w:val="6"/>
            <w:vAlign w:val="center"/>
          </w:tcPr>
          <w:p w14:paraId="3CF7CAAD">
            <w:pPr>
              <w:adjustRightInd w:val="0"/>
              <w:snapToGrid w:val="0"/>
              <w:spacing w:line="280" w:lineRule="exact"/>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完成情况</w:t>
            </w:r>
          </w:p>
        </w:tc>
      </w:tr>
      <w:tr w14:paraId="66AC70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restart"/>
            <w:vAlign w:val="center"/>
          </w:tcPr>
          <w:p w14:paraId="72340975">
            <w:pPr>
              <w:adjustRightInd w:val="0"/>
              <w:snapToGrid w:val="0"/>
              <w:spacing w:line="28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影响</w:t>
            </w:r>
          </w:p>
          <w:p w14:paraId="65227D07">
            <w:pPr>
              <w:adjustRightInd w:val="0"/>
              <w:snapToGrid w:val="0"/>
              <w:spacing w:line="28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识别</w:t>
            </w:r>
          </w:p>
        </w:tc>
        <w:tc>
          <w:tcPr>
            <w:tcW w:w="1184" w:type="pct"/>
            <w:vAlign w:val="center"/>
          </w:tcPr>
          <w:p w14:paraId="76CB57A9">
            <w:pPr>
              <w:adjustRightInd w:val="0"/>
              <w:snapToGrid w:val="0"/>
              <w:spacing w:line="28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影响类型</w:t>
            </w:r>
          </w:p>
        </w:tc>
        <w:tc>
          <w:tcPr>
            <w:tcW w:w="3392" w:type="pct"/>
            <w:gridSpan w:val="6"/>
            <w:vAlign w:val="center"/>
          </w:tcPr>
          <w:p w14:paraId="1B218D4E">
            <w:pPr>
              <w:adjustRightInd w:val="0"/>
              <w:snapToGrid w:val="0"/>
              <w:spacing w:line="28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污染影响型</w:t>
            </w:r>
            <w:r>
              <w:rPr>
                <w:rFonts w:ascii="Times New Roman" w:hAnsi="Times New Roman" w:eastAsia="宋体" w:cs="Times New Roman"/>
                <w:color w:val="000000"/>
                <w:sz w:val="21"/>
                <w:szCs w:val="21"/>
              </w:rPr>
              <w:sym w:font="Wingdings 2" w:char="0052"/>
            </w:r>
            <w:r>
              <w:rPr>
                <w:rFonts w:ascii="Times New Roman" w:hAnsi="Times New Roman" w:eastAsia="宋体" w:cs="Times New Roman"/>
                <w:color w:val="000000"/>
                <w:sz w:val="21"/>
                <w:szCs w:val="21"/>
              </w:rPr>
              <w:t>； 生态影响型□； 两种兼有□</w:t>
            </w:r>
          </w:p>
        </w:tc>
      </w:tr>
      <w:tr w14:paraId="12B9DA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continue"/>
            <w:vAlign w:val="center"/>
          </w:tcPr>
          <w:p w14:paraId="2E30985D">
            <w:pPr>
              <w:adjustRightInd w:val="0"/>
              <w:snapToGrid w:val="0"/>
              <w:spacing w:line="280" w:lineRule="exact"/>
              <w:jc w:val="center"/>
              <w:rPr>
                <w:rFonts w:ascii="Times New Roman" w:hAnsi="Times New Roman" w:eastAsia="宋体" w:cs="Times New Roman"/>
                <w:color w:val="000000"/>
                <w:sz w:val="21"/>
                <w:szCs w:val="21"/>
              </w:rPr>
            </w:pPr>
          </w:p>
        </w:tc>
        <w:tc>
          <w:tcPr>
            <w:tcW w:w="1184" w:type="pct"/>
            <w:vAlign w:val="center"/>
          </w:tcPr>
          <w:p w14:paraId="2C79AB72">
            <w:pPr>
              <w:adjustRightInd w:val="0"/>
              <w:snapToGrid w:val="0"/>
              <w:spacing w:line="28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土地利用类型</w:t>
            </w:r>
          </w:p>
        </w:tc>
        <w:tc>
          <w:tcPr>
            <w:tcW w:w="3392" w:type="pct"/>
            <w:gridSpan w:val="6"/>
            <w:vAlign w:val="center"/>
          </w:tcPr>
          <w:p w14:paraId="501B21DA">
            <w:pPr>
              <w:adjustRightInd w:val="0"/>
              <w:snapToGrid w:val="0"/>
              <w:spacing w:line="28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建设用地□； 农用地</w:t>
            </w:r>
            <w:r>
              <w:rPr>
                <w:rFonts w:ascii="Times New Roman" w:hAnsi="Times New Roman" w:eastAsia="宋体" w:cs="Times New Roman"/>
                <w:color w:val="000000"/>
                <w:sz w:val="21"/>
                <w:szCs w:val="21"/>
              </w:rPr>
              <w:sym w:font="Wingdings 2" w:char="0052"/>
            </w:r>
            <w:r>
              <w:rPr>
                <w:rFonts w:ascii="Times New Roman" w:hAnsi="Times New Roman" w:eastAsia="宋体" w:cs="Times New Roman"/>
                <w:color w:val="000000"/>
                <w:sz w:val="21"/>
                <w:szCs w:val="21"/>
              </w:rPr>
              <w:t>； 未利用地□</w:t>
            </w:r>
          </w:p>
        </w:tc>
      </w:tr>
      <w:tr w14:paraId="665C91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continue"/>
            <w:vAlign w:val="center"/>
          </w:tcPr>
          <w:p w14:paraId="366508E0">
            <w:pPr>
              <w:adjustRightInd w:val="0"/>
              <w:snapToGrid w:val="0"/>
              <w:spacing w:line="280" w:lineRule="exact"/>
              <w:jc w:val="center"/>
              <w:rPr>
                <w:rFonts w:ascii="Times New Roman" w:hAnsi="Times New Roman" w:eastAsia="宋体" w:cs="Times New Roman"/>
                <w:color w:val="000000"/>
                <w:sz w:val="21"/>
                <w:szCs w:val="21"/>
              </w:rPr>
            </w:pPr>
          </w:p>
        </w:tc>
        <w:tc>
          <w:tcPr>
            <w:tcW w:w="1184" w:type="pct"/>
            <w:vAlign w:val="center"/>
          </w:tcPr>
          <w:p w14:paraId="772D9D44">
            <w:pPr>
              <w:adjustRightInd w:val="0"/>
              <w:snapToGrid w:val="0"/>
              <w:spacing w:line="28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占地规模</w:t>
            </w:r>
          </w:p>
        </w:tc>
        <w:tc>
          <w:tcPr>
            <w:tcW w:w="3392" w:type="pct"/>
            <w:gridSpan w:val="6"/>
            <w:vAlign w:val="center"/>
          </w:tcPr>
          <w:p w14:paraId="35A1EC1E">
            <w:pPr>
              <w:adjustRightInd w:val="0"/>
              <w:snapToGrid w:val="0"/>
              <w:spacing w:line="28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rPr>
              <w:t>4.9053</w:t>
            </w:r>
            <w:r>
              <w:rPr>
                <w:rFonts w:ascii="Times New Roman" w:hAnsi="Times New Roman" w:eastAsia="宋体" w:cs="Times New Roman"/>
                <w:color w:val="000000"/>
                <w:sz w:val="21"/>
                <w:szCs w:val="21"/>
              </w:rPr>
              <w:t>）hm</w:t>
            </w:r>
            <w:r>
              <w:rPr>
                <w:rFonts w:ascii="Times New Roman" w:hAnsi="Times New Roman" w:eastAsia="宋体" w:cs="Times New Roman"/>
                <w:color w:val="000000"/>
                <w:sz w:val="21"/>
                <w:szCs w:val="21"/>
                <w:vertAlign w:val="superscript"/>
              </w:rPr>
              <w:t>2</w:t>
            </w:r>
          </w:p>
        </w:tc>
      </w:tr>
      <w:tr w14:paraId="0A28D6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continue"/>
            <w:vAlign w:val="center"/>
          </w:tcPr>
          <w:p w14:paraId="613B902F">
            <w:pPr>
              <w:adjustRightInd w:val="0"/>
              <w:snapToGrid w:val="0"/>
              <w:spacing w:line="280" w:lineRule="exact"/>
              <w:jc w:val="center"/>
              <w:rPr>
                <w:rFonts w:ascii="Times New Roman" w:hAnsi="Times New Roman" w:eastAsia="宋体" w:cs="Times New Roman"/>
                <w:color w:val="000000"/>
                <w:sz w:val="21"/>
                <w:szCs w:val="21"/>
              </w:rPr>
            </w:pPr>
          </w:p>
        </w:tc>
        <w:tc>
          <w:tcPr>
            <w:tcW w:w="1184" w:type="pct"/>
            <w:vAlign w:val="center"/>
          </w:tcPr>
          <w:p w14:paraId="696854DD">
            <w:pPr>
              <w:adjustRightInd w:val="0"/>
              <w:snapToGrid w:val="0"/>
              <w:spacing w:line="28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敏感目标信息</w:t>
            </w:r>
          </w:p>
        </w:tc>
        <w:tc>
          <w:tcPr>
            <w:tcW w:w="3392" w:type="pct"/>
            <w:gridSpan w:val="6"/>
            <w:vAlign w:val="center"/>
          </w:tcPr>
          <w:p w14:paraId="206AC5D3">
            <w:pPr>
              <w:adjustRightInd w:val="0"/>
              <w:snapToGrid w:val="0"/>
              <w:spacing w:line="28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敏感目标（</w:t>
            </w:r>
            <w:r>
              <w:rPr>
                <w:rFonts w:hint="eastAsia" w:ascii="Times New Roman" w:hAnsi="Times New Roman" w:eastAsia="宋体" w:cs="Times New Roman"/>
                <w:color w:val="000000"/>
                <w:sz w:val="21"/>
                <w:szCs w:val="21"/>
              </w:rPr>
              <w:t>耕地</w:t>
            </w:r>
            <w:r>
              <w:rPr>
                <w:rFonts w:ascii="Times New Roman" w:hAnsi="Times New Roman" w:eastAsia="宋体" w:cs="Times New Roman"/>
                <w:color w:val="000000"/>
                <w:sz w:val="21"/>
                <w:szCs w:val="21"/>
              </w:rPr>
              <w:t>） 、 方位（</w:t>
            </w:r>
            <w:r>
              <w:rPr>
                <w:rFonts w:hint="eastAsia" w:ascii="Times New Roman" w:hAnsi="Times New Roman" w:eastAsia="宋体" w:cs="Times New Roman"/>
                <w:color w:val="000000"/>
                <w:sz w:val="21"/>
                <w:szCs w:val="21"/>
              </w:rPr>
              <w:t>四周</w:t>
            </w:r>
            <w:r>
              <w:rPr>
                <w:rFonts w:ascii="Times New Roman" w:hAnsi="Times New Roman" w:eastAsia="宋体" w:cs="Times New Roman"/>
                <w:color w:val="000000"/>
                <w:sz w:val="21"/>
                <w:szCs w:val="21"/>
              </w:rPr>
              <w:t>） 、 距离（</w:t>
            </w:r>
            <w:r>
              <w:rPr>
                <w:rFonts w:hint="eastAsia" w:ascii="Times New Roman" w:hAnsi="Times New Roman" w:eastAsia="宋体" w:cs="Times New Roman"/>
                <w:color w:val="000000"/>
                <w:sz w:val="21"/>
                <w:szCs w:val="21"/>
              </w:rPr>
              <w:t>10m</w:t>
            </w:r>
            <w:r>
              <w:rPr>
                <w:rFonts w:ascii="Times New Roman" w:hAnsi="Times New Roman" w:eastAsia="宋体" w:cs="Times New Roman"/>
                <w:color w:val="000000"/>
                <w:sz w:val="21"/>
                <w:szCs w:val="21"/>
              </w:rPr>
              <w:t>）</w:t>
            </w:r>
          </w:p>
        </w:tc>
      </w:tr>
      <w:tr w14:paraId="1B488C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continue"/>
            <w:vAlign w:val="center"/>
          </w:tcPr>
          <w:p w14:paraId="5EE926B3">
            <w:pPr>
              <w:adjustRightInd w:val="0"/>
              <w:snapToGrid w:val="0"/>
              <w:spacing w:line="280" w:lineRule="exact"/>
              <w:jc w:val="center"/>
              <w:rPr>
                <w:rFonts w:ascii="Times New Roman" w:hAnsi="Times New Roman" w:eastAsia="宋体" w:cs="Times New Roman"/>
                <w:color w:val="000000"/>
                <w:sz w:val="21"/>
                <w:szCs w:val="21"/>
              </w:rPr>
            </w:pPr>
          </w:p>
        </w:tc>
        <w:tc>
          <w:tcPr>
            <w:tcW w:w="1184" w:type="pct"/>
            <w:vAlign w:val="center"/>
          </w:tcPr>
          <w:p w14:paraId="74056AF0">
            <w:pPr>
              <w:adjustRightInd w:val="0"/>
              <w:snapToGrid w:val="0"/>
              <w:spacing w:line="28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影响途径</w:t>
            </w:r>
          </w:p>
        </w:tc>
        <w:tc>
          <w:tcPr>
            <w:tcW w:w="3392" w:type="pct"/>
            <w:gridSpan w:val="6"/>
            <w:vAlign w:val="center"/>
          </w:tcPr>
          <w:p w14:paraId="2F935BDF">
            <w:pPr>
              <w:adjustRightInd w:val="0"/>
              <w:snapToGrid w:val="0"/>
              <w:spacing w:line="28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大气沉降</w:t>
            </w:r>
            <w:r>
              <w:rPr>
                <w:rFonts w:ascii="Times New Roman" w:hAnsi="Times New Roman" w:eastAsia="宋体" w:cs="Times New Roman"/>
                <w:color w:val="000000"/>
                <w:sz w:val="21"/>
                <w:szCs w:val="21"/>
              </w:rPr>
              <w:sym w:font="Wingdings 2" w:char="0052"/>
            </w:r>
            <w:r>
              <w:rPr>
                <w:rFonts w:ascii="Times New Roman" w:hAnsi="Times New Roman" w:eastAsia="宋体" w:cs="Times New Roman"/>
                <w:color w:val="000000"/>
                <w:sz w:val="21"/>
                <w:szCs w:val="21"/>
              </w:rPr>
              <w:t>； 地面漫流</w:t>
            </w:r>
            <w:r>
              <w:rPr>
                <w:rFonts w:ascii="Times New Roman" w:hAnsi="Times New Roman" w:eastAsia="宋体" w:cs="Times New Roman"/>
                <w:color w:val="000000"/>
                <w:sz w:val="21"/>
                <w:szCs w:val="21"/>
              </w:rPr>
              <w:sym w:font="Wingdings 2" w:char="0052"/>
            </w:r>
            <w:r>
              <w:rPr>
                <w:rFonts w:ascii="Times New Roman" w:hAnsi="Times New Roman" w:eastAsia="宋体" w:cs="Times New Roman"/>
                <w:color w:val="000000"/>
                <w:sz w:val="21"/>
                <w:szCs w:val="21"/>
              </w:rPr>
              <w:t>； 垂直入渗</w:t>
            </w:r>
            <w:r>
              <w:rPr>
                <w:rFonts w:ascii="Times New Roman" w:hAnsi="Times New Roman" w:eastAsia="宋体" w:cs="Times New Roman"/>
                <w:color w:val="000000"/>
                <w:sz w:val="21"/>
                <w:szCs w:val="21"/>
              </w:rPr>
              <w:sym w:font="Wingdings 2" w:char="0052"/>
            </w:r>
            <w:r>
              <w:rPr>
                <w:rFonts w:ascii="Times New Roman" w:hAnsi="Times New Roman" w:eastAsia="宋体" w:cs="Times New Roman"/>
                <w:color w:val="000000"/>
                <w:sz w:val="21"/>
                <w:szCs w:val="21"/>
              </w:rPr>
              <w:t>； 地下水位□； 其他（ ）</w:t>
            </w:r>
          </w:p>
        </w:tc>
      </w:tr>
      <w:tr w14:paraId="6590E9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continue"/>
            <w:vAlign w:val="center"/>
          </w:tcPr>
          <w:p w14:paraId="1C70EFE9">
            <w:pPr>
              <w:adjustRightInd w:val="0"/>
              <w:snapToGrid w:val="0"/>
              <w:spacing w:line="280" w:lineRule="exact"/>
              <w:jc w:val="center"/>
              <w:rPr>
                <w:rFonts w:ascii="Times New Roman" w:hAnsi="Times New Roman" w:eastAsia="宋体" w:cs="Times New Roman"/>
                <w:color w:val="000000"/>
                <w:sz w:val="21"/>
                <w:szCs w:val="21"/>
              </w:rPr>
            </w:pPr>
          </w:p>
        </w:tc>
        <w:tc>
          <w:tcPr>
            <w:tcW w:w="1184" w:type="pct"/>
            <w:vAlign w:val="center"/>
          </w:tcPr>
          <w:p w14:paraId="28B3A789">
            <w:pPr>
              <w:adjustRightInd w:val="0"/>
              <w:snapToGrid w:val="0"/>
              <w:spacing w:line="28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全部污染物</w:t>
            </w:r>
          </w:p>
        </w:tc>
        <w:tc>
          <w:tcPr>
            <w:tcW w:w="3392" w:type="pct"/>
            <w:gridSpan w:val="6"/>
            <w:vAlign w:val="center"/>
          </w:tcPr>
          <w:p w14:paraId="1DB1CAC1">
            <w:pPr>
              <w:adjustRightInd w:val="0"/>
              <w:snapToGrid w:val="0"/>
              <w:spacing w:line="28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COD、BOD</w:t>
            </w:r>
            <w:r>
              <w:rPr>
                <w:rFonts w:ascii="Times New Roman" w:hAnsi="Times New Roman" w:eastAsia="宋体" w:cs="Times New Roman"/>
                <w:color w:val="000000"/>
                <w:sz w:val="21"/>
                <w:szCs w:val="21"/>
                <w:vertAlign w:val="subscript"/>
              </w:rPr>
              <w:t>5</w:t>
            </w:r>
            <w:r>
              <w:rPr>
                <w:rFonts w:ascii="Times New Roman" w:hAnsi="Times New Roman" w:eastAsia="宋体" w:cs="Times New Roman"/>
                <w:color w:val="000000"/>
                <w:sz w:val="21"/>
                <w:szCs w:val="21"/>
              </w:rPr>
              <w:t>、SS、氨氮、TP、</w:t>
            </w:r>
            <w:r>
              <w:rPr>
                <w:rFonts w:hint="eastAsia" w:ascii="Times New Roman" w:hAnsi="Times New Roman" w:eastAsia="宋体" w:cs="Times New Roman"/>
                <w:color w:val="000000"/>
                <w:sz w:val="21"/>
                <w:szCs w:val="21"/>
              </w:rPr>
              <w:t>TN、</w:t>
            </w:r>
            <w:r>
              <w:rPr>
                <w:rFonts w:ascii="Times New Roman" w:hAnsi="Times New Roman" w:eastAsia="宋体" w:cs="Times New Roman"/>
                <w:color w:val="000000"/>
                <w:sz w:val="21"/>
                <w:szCs w:val="21"/>
              </w:rPr>
              <w:t>粪大肠菌群</w:t>
            </w:r>
          </w:p>
        </w:tc>
      </w:tr>
      <w:tr w14:paraId="4F7E84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continue"/>
            <w:vAlign w:val="center"/>
          </w:tcPr>
          <w:p w14:paraId="3772EC1C">
            <w:pPr>
              <w:adjustRightInd w:val="0"/>
              <w:snapToGrid w:val="0"/>
              <w:spacing w:line="280" w:lineRule="exact"/>
              <w:jc w:val="center"/>
              <w:rPr>
                <w:rFonts w:ascii="Times New Roman" w:hAnsi="Times New Roman" w:eastAsia="宋体" w:cs="Times New Roman"/>
                <w:color w:val="000000"/>
                <w:sz w:val="21"/>
                <w:szCs w:val="21"/>
              </w:rPr>
            </w:pPr>
          </w:p>
        </w:tc>
        <w:tc>
          <w:tcPr>
            <w:tcW w:w="1184" w:type="pct"/>
            <w:vAlign w:val="center"/>
          </w:tcPr>
          <w:p w14:paraId="150F1790">
            <w:pPr>
              <w:adjustRightInd w:val="0"/>
              <w:snapToGrid w:val="0"/>
              <w:spacing w:line="28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特征因子</w:t>
            </w:r>
          </w:p>
        </w:tc>
        <w:tc>
          <w:tcPr>
            <w:tcW w:w="3392" w:type="pct"/>
            <w:gridSpan w:val="6"/>
            <w:vAlign w:val="center"/>
          </w:tcPr>
          <w:p w14:paraId="2716A884">
            <w:pPr>
              <w:adjustRightInd w:val="0"/>
              <w:snapToGrid w:val="0"/>
              <w:spacing w:line="28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53AF96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continue"/>
            <w:vAlign w:val="center"/>
          </w:tcPr>
          <w:p w14:paraId="4520D0FA">
            <w:pPr>
              <w:adjustRightInd w:val="0"/>
              <w:snapToGrid w:val="0"/>
              <w:spacing w:line="280" w:lineRule="exact"/>
              <w:jc w:val="center"/>
              <w:rPr>
                <w:rFonts w:ascii="Times New Roman" w:hAnsi="Times New Roman" w:eastAsia="宋体" w:cs="Times New Roman"/>
                <w:color w:val="000000"/>
                <w:sz w:val="21"/>
                <w:szCs w:val="21"/>
              </w:rPr>
            </w:pPr>
          </w:p>
        </w:tc>
        <w:tc>
          <w:tcPr>
            <w:tcW w:w="1184" w:type="pct"/>
            <w:vAlign w:val="center"/>
          </w:tcPr>
          <w:p w14:paraId="76751A5C">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所属土壤环境影评价项目类别</w:t>
            </w:r>
          </w:p>
        </w:tc>
        <w:tc>
          <w:tcPr>
            <w:tcW w:w="3392" w:type="pct"/>
            <w:gridSpan w:val="6"/>
            <w:vAlign w:val="center"/>
          </w:tcPr>
          <w:p w14:paraId="34BA72A6">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Ⅰ类□； Ⅱ类□；Ⅲ类</w:t>
            </w:r>
            <w:r>
              <w:rPr>
                <w:rFonts w:ascii="Times New Roman" w:hAnsi="Times New Roman" w:eastAsia="宋体" w:cs="Times New Roman"/>
                <w:color w:val="000000"/>
                <w:sz w:val="21"/>
                <w:szCs w:val="21"/>
              </w:rPr>
              <w:sym w:font="Wingdings 2" w:char="0052"/>
            </w:r>
            <w:r>
              <w:rPr>
                <w:rFonts w:ascii="Times New Roman" w:hAnsi="Times New Roman" w:eastAsia="宋体" w:cs="Times New Roman"/>
                <w:color w:val="000000"/>
                <w:sz w:val="21"/>
                <w:szCs w:val="21"/>
              </w:rPr>
              <w:t>；Ⅳ类□</w:t>
            </w:r>
          </w:p>
        </w:tc>
      </w:tr>
      <w:tr w14:paraId="10E5E7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continue"/>
            <w:vAlign w:val="center"/>
          </w:tcPr>
          <w:p w14:paraId="51612730">
            <w:pPr>
              <w:adjustRightInd w:val="0"/>
              <w:snapToGrid w:val="0"/>
              <w:spacing w:line="280" w:lineRule="exact"/>
              <w:jc w:val="center"/>
              <w:rPr>
                <w:rFonts w:ascii="Times New Roman" w:hAnsi="Times New Roman" w:eastAsia="宋体" w:cs="Times New Roman"/>
                <w:color w:val="000000"/>
                <w:sz w:val="21"/>
                <w:szCs w:val="21"/>
              </w:rPr>
            </w:pPr>
          </w:p>
        </w:tc>
        <w:tc>
          <w:tcPr>
            <w:tcW w:w="1184" w:type="pct"/>
            <w:vAlign w:val="center"/>
          </w:tcPr>
          <w:p w14:paraId="2D490084">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敏感程度</w:t>
            </w:r>
          </w:p>
        </w:tc>
        <w:tc>
          <w:tcPr>
            <w:tcW w:w="3392" w:type="pct"/>
            <w:gridSpan w:val="6"/>
            <w:vAlign w:val="center"/>
          </w:tcPr>
          <w:p w14:paraId="061A0992">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敏感</w:t>
            </w:r>
            <w:r>
              <w:rPr>
                <w:rFonts w:ascii="Times New Roman" w:hAnsi="Times New Roman" w:eastAsia="宋体" w:cs="Times New Roman"/>
                <w:color w:val="000000"/>
                <w:sz w:val="21"/>
                <w:szCs w:val="21"/>
              </w:rPr>
              <w:sym w:font="Wingdings 2" w:char="0052"/>
            </w:r>
            <w:r>
              <w:rPr>
                <w:rFonts w:ascii="Times New Roman" w:hAnsi="Times New Roman" w:eastAsia="宋体" w:cs="Times New Roman"/>
                <w:color w:val="000000"/>
                <w:sz w:val="21"/>
                <w:szCs w:val="21"/>
              </w:rPr>
              <w:t>； 较敏感□； 不敏感□</w:t>
            </w:r>
          </w:p>
        </w:tc>
      </w:tr>
      <w:tr w14:paraId="294365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07" w:type="pct"/>
            <w:gridSpan w:val="2"/>
            <w:vAlign w:val="center"/>
          </w:tcPr>
          <w:p w14:paraId="7F5EC5D4">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评价工作等级</w:t>
            </w:r>
          </w:p>
        </w:tc>
        <w:tc>
          <w:tcPr>
            <w:tcW w:w="3392" w:type="pct"/>
            <w:gridSpan w:val="6"/>
            <w:vAlign w:val="center"/>
          </w:tcPr>
          <w:p w14:paraId="1F365369">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一级□； 二级□； 三级</w:t>
            </w:r>
            <w:r>
              <w:rPr>
                <w:rFonts w:ascii="Times New Roman" w:hAnsi="Times New Roman" w:eastAsia="宋体" w:cs="Times New Roman"/>
                <w:color w:val="000000"/>
                <w:sz w:val="21"/>
                <w:szCs w:val="21"/>
              </w:rPr>
              <w:sym w:font="Wingdings 2" w:char="0052"/>
            </w:r>
          </w:p>
        </w:tc>
      </w:tr>
      <w:tr w14:paraId="14CB44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restart"/>
            <w:vAlign w:val="center"/>
          </w:tcPr>
          <w:p w14:paraId="18C38CFD">
            <w:pPr>
              <w:adjustRightInd w:val="0"/>
              <w:snapToGrid w:val="0"/>
              <w:spacing w:line="28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现状调查内容</w:t>
            </w:r>
          </w:p>
          <w:p w14:paraId="02A378F0">
            <w:pPr>
              <w:adjustRightInd w:val="0"/>
              <w:snapToGrid w:val="0"/>
              <w:spacing w:line="280" w:lineRule="exact"/>
              <w:jc w:val="center"/>
              <w:rPr>
                <w:rFonts w:ascii="Times New Roman" w:hAnsi="Times New Roman" w:eastAsia="宋体" w:cs="Times New Roman"/>
                <w:color w:val="000000"/>
                <w:sz w:val="21"/>
                <w:szCs w:val="21"/>
              </w:rPr>
            </w:pPr>
          </w:p>
        </w:tc>
        <w:tc>
          <w:tcPr>
            <w:tcW w:w="1184" w:type="pct"/>
            <w:vAlign w:val="center"/>
          </w:tcPr>
          <w:p w14:paraId="65969A25">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资料收集</w:t>
            </w:r>
          </w:p>
        </w:tc>
        <w:tc>
          <w:tcPr>
            <w:tcW w:w="3392" w:type="pct"/>
            <w:gridSpan w:val="6"/>
            <w:vAlign w:val="center"/>
          </w:tcPr>
          <w:p w14:paraId="2ED31005">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 b ）□； c ） □； d）□</w:t>
            </w:r>
          </w:p>
        </w:tc>
      </w:tr>
      <w:tr w14:paraId="2C7E96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continue"/>
            <w:vAlign w:val="center"/>
          </w:tcPr>
          <w:p w14:paraId="7CDD4D83">
            <w:pPr>
              <w:adjustRightInd w:val="0"/>
              <w:snapToGrid w:val="0"/>
              <w:spacing w:line="280" w:lineRule="exact"/>
              <w:jc w:val="center"/>
              <w:rPr>
                <w:rFonts w:ascii="Times New Roman" w:hAnsi="Times New Roman" w:eastAsia="宋体" w:cs="Times New Roman"/>
                <w:color w:val="000000"/>
                <w:sz w:val="21"/>
                <w:szCs w:val="21"/>
              </w:rPr>
            </w:pPr>
          </w:p>
        </w:tc>
        <w:tc>
          <w:tcPr>
            <w:tcW w:w="1184" w:type="pct"/>
            <w:vAlign w:val="center"/>
          </w:tcPr>
          <w:p w14:paraId="359FEA29">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理化特性</w:t>
            </w:r>
          </w:p>
        </w:tc>
        <w:tc>
          <w:tcPr>
            <w:tcW w:w="3392" w:type="pct"/>
            <w:gridSpan w:val="6"/>
            <w:vAlign w:val="center"/>
          </w:tcPr>
          <w:p w14:paraId="75D26C49">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4AE958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continue"/>
            <w:vAlign w:val="center"/>
          </w:tcPr>
          <w:p w14:paraId="1B57D552">
            <w:pPr>
              <w:adjustRightInd w:val="0"/>
              <w:snapToGrid w:val="0"/>
              <w:spacing w:line="280" w:lineRule="exact"/>
              <w:jc w:val="center"/>
              <w:rPr>
                <w:rFonts w:ascii="Times New Roman" w:hAnsi="Times New Roman" w:eastAsia="宋体" w:cs="Times New Roman"/>
                <w:color w:val="000000"/>
                <w:sz w:val="21"/>
                <w:szCs w:val="21"/>
              </w:rPr>
            </w:pPr>
          </w:p>
        </w:tc>
        <w:tc>
          <w:tcPr>
            <w:tcW w:w="1184" w:type="pct"/>
            <w:vMerge w:val="restart"/>
            <w:vAlign w:val="center"/>
          </w:tcPr>
          <w:p w14:paraId="7A9A078E">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现状监测点位</w:t>
            </w:r>
          </w:p>
        </w:tc>
        <w:tc>
          <w:tcPr>
            <w:tcW w:w="937" w:type="pct"/>
            <w:vAlign w:val="center"/>
          </w:tcPr>
          <w:p w14:paraId="5CCB530F">
            <w:pPr>
              <w:adjustRightInd w:val="0"/>
              <w:snapToGrid w:val="0"/>
              <w:spacing w:line="300" w:lineRule="exact"/>
              <w:jc w:val="center"/>
              <w:rPr>
                <w:rFonts w:ascii="Times New Roman" w:hAnsi="Times New Roman" w:eastAsia="宋体" w:cs="Times New Roman"/>
                <w:color w:val="000000"/>
                <w:sz w:val="21"/>
                <w:szCs w:val="21"/>
              </w:rPr>
            </w:pPr>
          </w:p>
        </w:tc>
        <w:tc>
          <w:tcPr>
            <w:tcW w:w="881" w:type="pct"/>
            <w:gridSpan w:val="2"/>
            <w:vAlign w:val="center"/>
          </w:tcPr>
          <w:p w14:paraId="57C22CB8">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占地范围内</w:t>
            </w:r>
          </w:p>
        </w:tc>
        <w:tc>
          <w:tcPr>
            <w:tcW w:w="845" w:type="pct"/>
            <w:gridSpan w:val="2"/>
            <w:vAlign w:val="center"/>
          </w:tcPr>
          <w:p w14:paraId="2C28DD4B">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占地范围外</w:t>
            </w:r>
          </w:p>
        </w:tc>
        <w:tc>
          <w:tcPr>
            <w:tcW w:w="727" w:type="pct"/>
            <w:vAlign w:val="center"/>
          </w:tcPr>
          <w:p w14:paraId="34B8540B">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深度</w:t>
            </w:r>
          </w:p>
        </w:tc>
      </w:tr>
      <w:tr w14:paraId="42E652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continue"/>
            <w:vAlign w:val="center"/>
          </w:tcPr>
          <w:p w14:paraId="2F8A48FA">
            <w:pPr>
              <w:adjustRightInd w:val="0"/>
              <w:snapToGrid w:val="0"/>
              <w:spacing w:line="280" w:lineRule="exact"/>
              <w:jc w:val="center"/>
              <w:rPr>
                <w:rFonts w:ascii="Times New Roman" w:hAnsi="Times New Roman" w:eastAsia="宋体" w:cs="Times New Roman"/>
                <w:color w:val="000000"/>
                <w:sz w:val="21"/>
                <w:szCs w:val="21"/>
              </w:rPr>
            </w:pPr>
          </w:p>
        </w:tc>
        <w:tc>
          <w:tcPr>
            <w:tcW w:w="1184" w:type="pct"/>
            <w:vMerge w:val="continue"/>
            <w:vAlign w:val="center"/>
          </w:tcPr>
          <w:p w14:paraId="553FE5E8">
            <w:pPr>
              <w:adjustRightInd w:val="0"/>
              <w:snapToGrid w:val="0"/>
              <w:spacing w:line="300" w:lineRule="exact"/>
              <w:jc w:val="center"/>
              <w:rPr>
                <w:rFonts w:ascii="Times New Roman" w:hAnsi="Times New Roman" w:eastAsia="宋体" w:cs="Times New Roman"/>
                <w:color w:val="000000"/>
                <w:sz w:val="21"/>
                <w:szCs w:val="21"/>
              </w:rPr>
            </w:pPr>
          </w:p>
        </w:tc>
        <w:tc>
          <w:tcPr>
            <w:tcW w:w="937" w:type="pct"/>
            <w:vAlign w:val="center"/>
          </w:tcPr>
          <w:p w14:paraId="071FC2F7">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表层样点数</w:t>
            </w:r>
          </w:p>
        </w:tc>
        <w:tc>
          <w:tcPr>
            <w:tcW w:w="881" w:type="pct"/>
            <w:gridSpan w:val="2"/>
            <w:vAlign w:val="center"/>
          </w:tcPr>
          <w:p w14:paraId="1D44FBD5">
            <w:pPr>
              <w:adjustRightInd w:val="0"/>
              <w:snapToGrid w:val="0"/>
              <w:spacing w:line="300" w:lineRule="exact"/>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3个</w:t>
            </w:r>
          </w:p>
        </w:tc>
        <w:tc>
          <w:tcPr>
            <w:tcW w:w="845" w:type="pct"/>
            <w:gridSpan w:val="2"/>
            <w:vAlign w:val="center"/>
          </w:tcPr>
          <w:p w14:paraId="5AC54BDC">
            <w:pPr>
              <w:adjustRightInd w:val="0"/>
              <w:snapToGrid w:val="0"/>
              <w:spacing w:line="300" w:lineRule="exact"/>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c>
          <w:tcPr>
            <w:tcW w:w="727" w:type="pct"/>
            <w:vAlign w:val="center"/>
          </w:tcPr>
          <w:p w14:paraId="4309411B">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0.2m</w:t>
            </w:r>
          </w:p>
        </w:tc>
      </w:tr>
      <w:tr w14:paraId="29DE82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continue"/>
            <w:vAlign w:val="center"/>
          </w:tcPr>
          <w:p w14:paraId="4E12E5FE">
            <w:pPr>
              <w:adjustRightInd w:val="0"/>
              <w:snapToGrid w:val="0"/>
              <w:spacing w:line="280" w:lineRule="exact"/>
              <w:jc w:val="center"/>
              <w:rPr>
                <w:rFonts w:ascii="Times New Roman" w:hAnsi="Times New Roman" w:eastAsia="宋体" w:cs="Times New Roman"/>
                <w:color w:val="000000"/>
                <w:sz w:val="21"/>
                <w:szCs w:val="21"/>
              </w:rPr>
            </w:pPr>
          </w:p>
        </w:tc>
        <w:tc>
          <w:tcPr>
            <w:tcW w:w="1184" w:type="pct"/>
            <w:vMerge w:val="continue"/>
            <w:vAlign w:val="center"/>
          </w:tcPr>
          <w:p w14:paraId="0A197966">
            <w:pPr>
              <w:adjustRightInd w:val="0"/>
              <w:snapToGrid w:val="0"/>
              <w:spacing w:line="300" w:lineRule="exact"/>
              <w:jc w:val="center"/>
              <w:rPr>
                <w:rFonts w:ascii="Times New Roman" w:hAnsi="Times New Roman" w:eastAsia="宋体" w:cs="Times New Roman"/>
                <w:color w:val="000000"/>
                <w:sz w:val="21"/>
                <w:szCs w:val="21"/>
              </w:rPr>
            </w:pPr>
          </w:p>
        </w:tc>
        <w:tc>
          <w:tcPr>
            <w:tcW w:w="937" w:type="pct"/>
            <w:vAlign w:val="center"/>
          </w:tcPr>
          <w:p w14:paraId="4690BCA3">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柱状样点数</w:t>
            </w:r>
          </w:p>
        </w:tc>
        <w:tc>
          <w:tcPr>
            <w:tcW w:w="881" w:type="pct"/>
            <w:gridSpan w:val="2"/>
            <w:vAlign w:val="center"/>
          </w:tcPr>
          <w:p w14:paraId="42004E75">
            <w:pPr>
              <w:adjustRightInd w:val="0"/>
              <w:snapToGrid w:val="0"/>
              <w:spacing w:line="300" w:lineRule="exact"/>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c>
          <w:tcPr>
            <w:tcW w:w="845" w:type="pct"/>
            <w:gridSpan w:val="2"/>
            <w:vAlign w:val="center"/>
          </w:tcPr>
          <w:p w14:paraId="63BD5BC3">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727" w:type="pct"/>
            <w:vAlign w:val="center"/>
          </w:tcPr>
          <w:p w14:paraId="1750AF2D">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0-0.5m</w:t>
            </w:r>
          </w:p>
        </w:tc>
      </w:tr>
      <w:tr w14:paraId="50A951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continue"/>
            <w:vAlign w:val="center"/>
          </w:tcPr>
          <w:p w14:paraId="304B5DAF">
            <w:pPr>
              <w:adjustRightInd w:val="0"/>
              <w:snapToGrid w:val="0"/>
              <w:spacing w:line="280" w:lineRule="exact"/>
              <w:jc w:val="center"/>
              <w:rPr>
                <w:rFonts w:ascii="Times New Roman" w:hAnsi="Times New Roman" w:eastAsia="宋体" w:cs="Times New Roman"/>
                <w:color w:val="000000"/>
                <w:sz w:val="21"/>
                <w:szCs w:val="21"/>
              </w:rPr>
            </w:pPr>
          </w:p>
        </w:tc>
        <w:tc>
          <w:tcPr>
            <w:tcW w:w="1184" w:type="pct"/>
            <w:vAlign w:val="center"/>
          </w:tcPr>
          <w:p w14:paraId="73BEA006">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现状监测因子</w:t>
            </w:r>
          </w:p>
        </w:tc>
        <w:tc>
          <w:tcPr>
            <w:tcW w:w="3392" w:type="pct"/>
            <w:gridSpan w:val="6"/>
            <w:vAlign w:val="center"/>
          </w:tcPr>
          <w:p w14:paraId="61110A60">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pH、砷、铅、铜、镉、汞、铬、锌、镍</w:t>
            </w:r>
          </w:p>
        </w:tc>
      </w:tr>
      <w:tr w14:paraId="5A1635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restart"/>
            <w:vAlign w:val="center"/>
          </w:tcPr>
          <w:p w14:paraId="3E2F2733">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现状评价</w:t>
            </w:r>
          </w:p>
          <w:p w14:paraId="062D57FB">
            <w:pPr>
              <w:adjustRightInd w:val="0"/>
              <w:snapToGrid w:val="0"/>
              <w:spacing w:line="300" w:lineRule="exact"/>
              <w:jc w:val="center"/>
              <w:rPr>
                <w:rFonts w:ascii="Times New Roman" w:hAnsi="Times New Roman" w:eastAsia="宋体" w:cs="Times New Roman"/>
                <w:color w:val="000000"/>
                <w:sz w:val="21"/>
                <w:szCs w:val="21"/>
              </w:rPr>
            </w:pPr>
          </w:p>
        </w:tc>
        <w:tc>
          <w:tcPr>
            <w:tcW w:w="1184" w:type="pct"/>
            <w:vAlign w:val="center"/>
          </w:tcPr>
          <w:p w14:paraId="0FE18EFB">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评价因子</w:t>
            </w:r>
          </w:p>
        </w:tc>
        <w:tc>
          <w:tcPr>
            <w:tcW w:w="3392" w:type="pct"/>
            <w:gridSpan w:val="6"/>
            <w:vAlign w:val="center"/>
          </w:tcPr>
          <w:p w14:paraId="2213259E">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pH、砷、铅、铜、镉、汞、铬、锌、镍</w:t>
            </w:r>
          </w:p>
        </w:tc>
      </w:tr>
      <w:tr w14:paraId="5EFF51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continue"/>
            <w:vAlign w:val="center"/>
          </w:tcPr>
          <w:p w14:paraId="01051744">
            <w:pPr>
              <w:adjustRightInd w:val="0"/>
              <w:snapToGrid w:val="0"/>
              <w:spacing w:line="300" w:lineRule="exact"/>
              <w:jc w:val="center"/>
              <w:rPr>
                <w:rFonts w:ascii="Times New Roman" w:hAnsi="Times New Roman" w:eastAsia="宋体" w:cs="Times New Roman"/>
                <w:color w:val="000000"/>
                <w:sz w:val="21"/>
                <w:szCs w:val="21"/>
              </w:rPr>
            </w:pPr>
          </w:p>
        </w:tc>
        <w:tc>
          <w:tcPr>
            <w:tcW w:w="1184" w:type="pct"/>
            <w:vAlign w:val="center"/>
          </w:tcPr>
          <w:p w14:paraId="306A40FD">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评价标准</w:t>
            </w:r>
          </w:p>
        </w:tc>
        <w:tc>
          <w:tcPr>
            <w:tcW w:w="3392" w:type="pct"/>
            <w:gridSpan w:val="6"/>
            <w:vAlign w:val="center"/>
          </w:tcPr>
          <w:p w14:paraId="373CA3CE">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GB 15618</w:t>
            </w:r>
            <w:r>
              <w:rPr>
                <w:rFonts w:ascii="Times New Roman" w:hAnsi="Times New Roman" w:eastAsia="宋体" w:cs="Times New Roman"/>
                <w:color w:val="000000"/>
                <w:sz w:val="21"/>
                <w:szCs w:val="21"/>
              </w:rPr>
              <w:sym w:font="Wingdings 2" w:char="0052"/>
            </w:r>
            <w:r>
              <w:rPr>
                <w:rFonts w:ascii="Times New Roman" w:hAnsi="Times New Roman" w:eastAsia="宋体" w:cs="Times New Roman"/>
                <w:color w:val="000000"/>
                <w:sz w:val="21"/>
                <w:szCs w:val="21"/>
              </w:rPr>
              <w:t>； GB 36600□； 表 D.1 □； 表 D.2 □； 其他（ ）</w:t>
            </w:r>
          </w:p>
        </w:tc>
      </w:tr>
      <w:tr w14:paraId="52FEAE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continue"/>
            <w:vAlign w:val="center"/>
          </w:tcPr>
          <w:p w14:paraId="7CB4434A">
            <w:pPr>
              <w:adjustRightInd w:val="0"/>
              <w:snapToGrid w:val="0"/>
              <w:spacing w:line="300" w:lineRule="exact"/>
              <w:jc w:val="center"/>
              <w:rPr>
                <w:rFonts w:ascii="Times New Roman" w:hAnsi="Times New Roman" w:eastAsia="宋体" w:cs="Times New Roman"/>
                <w:color w:val="000000"/>
                <w:sz w:val="21"/>
                <w:szCs w:val="21"/>
              </w:rPr>
            </w:pPr>
          </w:p>
        </w:tc>
        <w:tc>
          <w:tcPr>
            <w:tcW w:w="1184" w:type="pct"/>
            <w:vAlign w:val="center"/>
          </w:tcPr>
          <w:p w14:paraId="3C6E0DAA">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现状评价结论</w:t>
            </w:r>
          </w:p>
        </w:tc>
        <w:tc>
          <w:tcPr>
            <w:tcW w:w="3392" w:type="pct"/>
            <w:gridSpan w:val="6"/>
            <w:vAlign w:val="center"/>
          </w:tcPr>
          <w:p w14:paraId="1957D090">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土壤各污染物指标均达到</w:t>
            </w:r>
            <w:r>
              <w:rPr>
                <w:rFonts w:ascii="Times New Roman" w:hAnsi="Times New Roman" w:eastAsia="宋体" w:cs="Times New Roman"/>
                <w:color w:val="000000"/>
                <w:sz w:val="21"/>
                <w:szCs w:val="21"/>
              </w:rPr>
              <w:t>《土壤环境质量 农用地土壤污染风险管控标准》（GB15618-2018）表1中</w:t>
            </w:r>
            <w:r>
              <w:rPr>
                <w:rStyle w:val="47"/>
                <w:rFonts w:ascii="Times New Roman" w:hAnsi="Times New Roman" w:eastAsia="宋体" w:cs="Times New Roman"/>
                <w:color w:val="000000"/>
              </w:rPr>
              <w:t>农用地土壤污染风险筛选值</w:t>
            </w:r>
          </w:p>
        </w:tc>
      </w:tr>
      <w:tr w14:paraId="176757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restart"/>
            <w:vAlign w:val="center"/>
          </w:tcPr>
          <w:p w14:paraId="6352532D">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影响预测</w:t>
            </w:r>
          </w:p>
        </w:tc>
        <w:tc>
          <w:tcPr>
            <w:tcW w:w="1184" w:type="pct"/>
            <w:vAlign w:val="center"/>
          </w:tcPr>
          <w:p w14:paraId="03CD9764">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预测因子</w:t>
            </w:r>
          </w:p>
        </w:tc>
        <w:tc>
          <w:tcPr>
            <w:tcW w:w="3392" w:type="pct"/>
            <w:gridSpan w:val="6"/>
            <w:vAlign w:val="center"/>
          </w:tcPr>
          <w:p w14:paraId="504D6333">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55D2DE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continue"/>
            <w:vAlign w:val="center"/>
          </w:tcPr>
          <w:p w14:paraId="0D9960BE">
            <w:pPr>
              <w:adjustRightInd w:val="0"/>
              <w:snapToGrid w:val="0"/>
              <w:spacing w:line="300" w:lineRule="exact"/>
              <w:jc w:val="center"/>
              <w:rPr>
                <w:rFonts w:ascii="Times New Roman" w:hAnsi="Times New Roman" w:eastAsia="宋体" w:cs="Times New Roman"/>
                <w:color w:val="000000"/>
                <w:sz w:val="21"/>
                <w:szCs w:val="21"/>
              </w:rPr>
            </w:pPr>
          </w:p>
        </w:tc>
        <w:tc>
          <w:tcPr>
            <w:tcW w:w="1184" w:type="pct"/>
            <w:vAlign w:val="center"/>
          </w:tcPr>
          <w:p w14:paraId="2E93C11E">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预测方法</w:t>
            </w:r>
          </w:p>
        </w:tc>
        <w:tc>
          <w:tcPr>
            <w:tcW w:w="3392" w:type="pct"/>
            <w:gridSpan w:val="6"/>
            <w:vAlign w:val="center"/>
          </w:tcPr>
          <w:p w14:paraId="52AB1469">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附录 E □； 附录 F □； 其他（ ）</w:t>
            </w:r>
          </w:p>
        </w:tc>
      </w:tr>
      <w:tr w14:paraId="1FE3AB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continue"/>
            <w:vAlign w:val="center"/>
          </w:tcPr>
          <w:p w14:paraId="4CCE2710">
            <w:pPr>
              <w:adjustRightInd w:val="0"/>
              <w:snapToGrid w:val="0"/>
              <w:spacing w:line="300" w:lineRule="exact"/>
              <w:jc w:val="center"/>
              <w:rPr>
                <w:rFonts w:ascii="Times New Roman" w:hAnsi="Times New Roman" w:eastAsia="宋体" w:cs="Times New Roman"/>
                <w:color w:val="000000"/>
                <w:sz w:val="21"/>
                <w:szCs w:val="21"/>
              </w:rPr>
            </w:pPr>
          </w:p>
        </w:tc>
        <w:tc>
          <w:tcPr>
            <w:tcW w:w="1184" w:type="pct"/>
            <w:vAlign w:val="center"/>
          </w:tcPr>
          <w:p w14:paraId="2388E1F7">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预测分析内容</w:t>
            </w:r>
          </w:p>
        </w:tc>
        <w:tc>
          <w:tcPr>
            <w:tcW w:w="3392" w:type="pct"/>
            <w:gridSpan w:val="6"/>
            <w:vAlign w:val="center"/>
          </w:tcPr>
          <w:p w14:paraId="0127D13D">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影响范围（</w:t>
            </w:r>
            <w:r>
              <w:rPr>
                <w:rFonts w:hint="eastAsia" w:ascii="Times New Roman" w:hAnsi="Times New Roman" w:eastAsia="宋体" w:cs="Times New Roman"/>
                <w:color w:val="000000"/>
                <w:sz w:val="21"/>
                <w:szCs w:val="21"/>
              </w:rPr>
              <w:t xml:space="preserve">  </w:t>
            </w:r>
            <w:r>
              <w:rPr>
                <w:rFonts w:ascii="Times New Roman" w:hAnsi="Times New Roman" w:eastAsia="宋体" w:cs="Times New Roman"/>
                <w:color w:val="000000"/>
                <w:sz w:val="21"/>
                <w:szCs w:val="21"/>
              </w:rPr>
              <w:t>）；影响程度（</w:t>
            </w:r>
            <w:r>
              <w:rPr>
                <w:rFonts w:hint="eastAsia" w:ascii="Times New Roman" w:hAnsi="Times New Roman" w:eastAsia="宋体" w:cs="Times New Roman"/>
                <w:color w:val="000000"/>
                <w:sz w:val="21"/>
                <w:szCs w:val="21"/>
              </w:rPr>
              <w:t xml:space="preserve"> </w:t>
            </w:r>
            <w:r>
              <w:rPr>
                <w:rFonts w:ascii="Times New Roman" w:hAnsi="Times New Roman" w:eastAsia="宋体" w:cs="Times New Roman"/>
                <w:color w:val="000000"/>
                <w:sz w:val="21"/>
                <w:szCs w:val="21"/>
              </w:rPr>
              <w:t>）</w:t>
            </w:r>
          </w:p>
        </w:tc>
      </w:tr>
      <w:tr w14:paraId="50EFAB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continue"/>
            <w:vAlign w:val="center"/>
          </w:tcPr>
          <w:p w14:paraId="4609C0D4">
            <w:pPr>
              <w:adjustRightInd w:val="0"/>
              <w:snapToGrid w:val="0"/>
              <w:spacing w:line="300" w:lineRule="exact"/>
              <w:jc w:val="center"/>
              <w:rPr>
                <w:rFonts w:ascii="Times New Roman" w:hAnsi="Times New Roman" w:eastAsia="宋体" w:cs="Times New Roman"/>
                <w:color w:val="000000"/>
                <w:sz w:val="21"/>
                <w:szCs w:val="21"/>
              </w:rPr>
            </w:pPr>
          </w:p>
        </w:tc>
        <w:tc>
          <w:tcPr>
            <w:tcW w:w="1184" w:type="pct"/>
            <w:vAlign w:val="center"/>
          </w:tcPr>
          <w:p w14:paraId="01782011">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预测结论</w:t>
            </w:r>
          </w:p>
        </w:tc>
        <w:tc>
          <w:tcPr>
            <w:tcW w:w="3392" w:type="pct"/>
            <w:gridSpan w:val="6"/>
            <w:vAlign w:val="center"/>
          </w:tcPr>
          <w:p w14:paraId="5CC7BA96">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达标结论： a）□； b）□；c）□</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不达标结论： a）□； b）□</w:t>
            </w:r>
          </w:p>
        </w:tc>
      </w:tr>
      <w:tr w14:paraId="161A03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restart"/>
            <w:vAlign w:val="center"/>
          </w:tcPr>
          <w:p w14:paraId="342AE08C">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防治</w:t>
            </w:r>
          </w:p>
          <w:p w14:paraId="0F8C34A6">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措施</w:t>
            </w:r>
          </w:p>
        </w:tc>
        <w:tc>
          <w:tcPr>
            <w:tcW w:w="1184" w:type="pct"/>
            <w:vAlign w:val="center"/>
          </w:tcPr>
          <w:p w14:paraId="68733EB4">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防控措施</w:t>
            </w:r>
          </w:p>
        </w:tc>
        <w:tc>
          <w:tcPr>
            <w:tcW w:w="3392" w:type="pct"/>
            <w:gridSpan w:val="6"/>
            <w:vAlign w:val="center"/>
          </w:tcPr>
          <w:p w14:paraId="2162525C">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土壤环境质量现状保障</w:t>
            </w:r>
            <w:r>
              <w:rPr>
                <w:rFonts w:ascii="Times New Roman" w:hAnsi="Times New Roman" w:eastAsia="宋体" w:cs="Times New Roman"/>
                <w:color w:val="000000"/>
                <w:sz w:val="21"/>
                <w:szCs w:val="21"/>
              </w:rPr>
              <w:sym w:font="Wingdings 2" w:char="0052"/>
            </w:r>
            <w:r>
              <w:rPr>
                <w:rFonts w:ascii="Times New Roman" w:hAnsi="Times New Roman" w:eastAsia="宋体" w:cs="Times New Roman"/>
                <w:color w:val="000000"/>
                <w:sz w:val="21"/>
                <w:szCs w:val="21"/>
              </w:rPr>
              <w:t>； 源头控制</w:t>
            </w:r>
            <w:r>
              <w:rPr>
                <w:rFonts w:ascii="Times New Roman" w:hAnsi="Times New Roman" w:eastAsia="宋体" w:cs="Times New Roman"/>
                <w:color w:val="000000"/>
                <w:sz w:val="21"/>
                <w:szCs w:val="21"/>
              </w:rPr>
              <w:sym w:font="Wingdings 2" w:char="0052"/>
            </w:r>
            <w:r>
              <w:rPr>
                <w:rFonts w:ascii="Times New Roman" w:hAnsi="Times New Roman" w:eastAsia="宋体" w:cs="Times New Roman"/>
                <w:color w:val="000000"/>
                <w:sz w:val="21"/>
                <w:szCs w:val="21"/>
              </w:rPr>
              <w:t>； 过程防控</w:t>
            </w:r>
            <w:r>
              <w:rPr>
                <w:rFonts w:ascii="Times New Roman" w:hAnsi="Times New Roman" w:eastAsia="宋体" w:cs="Times New Roman"/>
                <w:color w:val="000000"/>
                <w:sz w:val="21"/>
                <w:szCs w:val="21"/>
              </w:rPr>
              <w:sym w:font="Wingdings 2" w:char="0052"/>
            </w:r>
            <w:r>
              <w:rPr>
                <w:rFonts w:ascii="Times New Roman" w:hAnsi="Times New Roman" w:eastAsia="宋体" w:cs="Times New Roman"/>
                <w:color w:val="000000"/>
                <w:sz w:val="21"/>
                <w:szCs w:val="21"/>
              </w:rPr>
              <w:t>； 其他（ ）</w:t>
            </w:r>
          </w:p>
        </w:tc>
      </w:tr>
      <w:tr w14:paraId="732F51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continue"/>
            <w:vAlign w:val="center"/>
          </w:tcPr>
          <w:p w14:paraId="3BE8D43F">
            <w:pPr>
              <w:adjustRightInd w:val="0"/>
              <w:snapToGrid w:val="0"/>
              <w:spacing w:line="300" w:lineRule="exact"/>
              <w:jc w:val="center"/>
              <w:rPr>
                <w:rFonts w:ascii="Times New Roman" w:hAnsi="Times New Roman" w:eastAsia="宋体" w:cs="Times New Roman"/>
                <w:color w:val="000000"/>
                <w:sz w:val="21"/>
                <w:szCs w:val="21"/>
              </w:rPr>
            </w:pPr>
          </w:p>
        </w:tc>
        <w:tc>
          <w:tcPr>
            <w:tcW w:w="1184" w:type="pct"/>
            <w:vMerge w:val="restart"/>
            <w:vAlign w:val="center"/>
          </w:tcPr>
          <w:p w14:paraId="3023ABA5">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跟踪监测</w:t>
            </w:r>
          </w:p>
        </w:tc>
        <w:tc>
          <w:tcPr>
            <w:tcW w:w="942" w:type="pct"/>
            <w:gridSpan w:val="2"/>
            <w:vAlign w:val="center"/>
          </w:tcPr>
          <w:p w14:paraId="152C892B">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监测点数</w:t>
            </w:r>
          </w:p>
        </w:tc>
        <w:tc>
          <w:tcPr>
            <w:tcW w:w="1398" w:type="pct"/>
            <w:gridSpan w:val="2"/>
            <w:vAlign w:val="center"/>
          </w:tcPr>
          <w:p w14:paraId="48DEA735">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监测指标</w:t>
            </w:r>
          </w:p>
        </w:tc>
        <w:tc>
          <w:tcPr>
            <w:tcW w:w="1051" w:type="pct"/>
            <w:gridSpan w:val="2"/>
            <w:vAlign w:val="center"/>
          </w:tcPr>
          <w:p w14:paraId="2B2D749A">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监测频次</w:t>
            </w:r>
          </w:p>
        </w:tc>
      </w:tr>
      <w:tr w14:paraId="3323D7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continue"/>
            <w:vAlign w:val="center"/>
          </w:tcPr>
          <w:p w14:paraId="64A8FBF5">
            <w:pPr>
              <w:adjustRightInd w:val="0"/>
              <w:snapToGrid w:val="0"/>
              <w:spacing w:line="300" w:lineRule="exact"/>
              <w:jc w:val="center"/>
              <w:rPr>
                <w:rFonts w:ascii="Times New Roman" w:hAnsi="Times New Roman" w:eastAsia="宋体" w:cs="Times New Roman"/>
                <w:color w:val="000000"/>
                <w:sz w:val="21"/>
                <w:szCs w:val="21"/>
              </w:rPr>
            </w:pPr>
          </w:p>
        </w:tc>
        <w:tc>
          <w:tcPr>
            <w:tcW w:w="1184" w:type="pct"/>
            <w:vMerge w:val="continue"/>
            <w:vAlign w:val="center"/>
          </w:tcPr>
          <w:p w14:paraId="30ADA2A7">
            <w:pPr>
              <w:adjustRightInd w:val="0"/>
              <w:snapToGrid w:val="0"/>
              <w:spacing w:line="300" w:lineRule="exact"/>
              <w:jc w:val="center"/>
              <w:rPr>
                <w:rFonts w:ascii="Times New Roman" w:hAnsi="Times New Roman" w:eastAsia="宋体" w:cs="Times New Roman"/>
                <w:color w:val="000000"/>
                <w:sz w:val="21"/>
                <w:szCs w:val="21"/>
              </w:rPr>
            </w:pPr>
          </w:p>
        </w:tc>
        <w:tc>
          <w:tcPr>
            <w:tcW w:w="942" w:type="pct"/>
            <w:gridSpan w:val="2"/>
            <w:vAlign w:val="center"/>
          </w:tcPr>
          <w:p w14:paraId="5B8FCDE7">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p>
        </w:tc>
        <w:tc>
          <w:tcPr>
            <w:tcW w:w="1398" w:type="pct"/>
            <w:gridSpan w:val="2"/>
            <w:vAlign w:val="center"/>
          </w:tcPr>
          <w:p w14:paraId="4D435A42">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pH、砷、铅、铜、镉、汞、铬、锌、镍</w:t>
            </w:r>
          </w:p>
        </w:tc>
        <w:tc>
          <w:tcPr>
            <w:tcW w:w="1051" w:type="pct"/>
            <w:gridSpan w:val="2"/>
            <w:vAlign w:val="center"/>
          </w:tcPr>
          <w:p w14:paraId="6271A1EC">
            <w:pPr>
              <w:adjustRightInd w:val="0"/>
              <w:snapToGrid w:val="0"/>
              <w:spacing w:line="300" w:lineRule="exact"/>
              <w:jc w:val="center"/>
              <w:rPr>
                <w:rFonts w:ascii="Times New Roman" w:hAnsi="Times New Roman" w:eastAsia="宋体" w:cs="Times New Roman"/>
                <w:color w:val="000000"/>
                <w:sz w:val="21"/>
                <w:szCs w:val="21"/>
              </w:rPr>
            </w:pPr>
            <w:r>
              <w:rPr>
                <w:rFonts w:hint="eastAsia" w:ascii="Times New Roman" w:hAnsi="Times New Roman" w:cs="Times New Roman"/>
                <w:spacing w:val="-4"/>
                <w:sz w:val="21"/>
                <w:szCs w:val="21"/>
              </w:rPr>
              <w:t>必要时开展监测</w:t>
            </w:r>
          </w:p>
        </w:tc>
      </w:tr>
      <w:tr w14:paraId="36D12E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3" w:type="pct"/>
            <w:vMerge w:val="continue"/>
            <w:vAlign w:val="center"/>
          </w:tcPr>
          <w:p w14:paraId="49D48DE1">
            <w:pPr>
              <w:adjustRightInd w:val="0"/>
              <w:snapToGrid w:val="0"/>
              <w:spacing w:line="300" w:lineRule="exact"/>
              <w:jc w:val="center"/>
              <w:rPr>
                <w:rFonts w:ascii="Times New Roman" w:hAnsi="Times New Roman" w:eastAsia="宋体" w:cs="Times New Roman"/>
                <w:color w:val="000000"/>
                <w:sz w:val="21"/>
                <w:szCs w:val="21"/>
              </w:rPr>
            </w:pPr>
          </w:p>
        </w:tc>
        <w:tc>
          <w:tcPr>
            <w:tcW w:w="1184" w:type="pct"/>
            <w:vAlign w:val="center"/>
          </w:tcPr>
          <w:p w14:paraId="3954728C">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信息公开指标</w:t>
            </w:r>
          </w:p>
        </w:tc>
        <w:tc>
          <w:tcPr>
            <w:tcW w:w="3392" w:type="pct"/>
            <w:gridSpan w:val="6"/>
            <w:vAlign w:val="center"/>
          </w:tcPr>
          <w:p w14:paraId="3E4BA382">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pH、砷、铅、铜、镉、汞、铬、锌、镍</w:t>
            </w:r>
          </w:p>
        </w:tc>
      </w:tr>
      <w:tr w14:paraId="1EE7E4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07" w:type="pct"/>
            <w:gridSpan w:val="2"/>
            <w:vAlign w:val="center"/>
          </w:tcPr>
          <w:p w14:paraId="6DB0CB83">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评价结论</w:t>
            </w:r>
          </w:p>
        </w:tc>
        <w:tc>
          <w:tcPr>
            <w:tcW w:w="3392" w:type="pct"/>
            <w:gridSpan w:val="6"/>
            <w:vAlign w:val="center"/>
          </w:tcPr>
          <w:p w14:paraId="3B9D2C1F">
            <w:pPr>
              <w:adjustRightInd w:val="0"/>
              <w:snapToGri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土壤各污染物指标均达到</w:t>
            </w:r>
            <w:r>
              <w:rPr>
                <w:rFonts w:ascii="Times New Roman" w:hAnsi="Times New Roman" w:eastAsia="宋体" w:cs="Times New Roman"/>
                <w:color w:val="000000"/>
                <w:sz w:val="21"/>
                <w:szCs w:val="21"/>
              </w:rPr>
              <w:t>《土壤环境质量 农用地土壤污染风险管控标准》（GB15618-2018）表1中</w:t>
            </w:r>
            <w:r>
              <w:rPr>
                <w:rStyle w:val="47"/>
                <w:rFonts w:ascii="Times New Roman" w:hAnsi="Times New Roman" w:eastAsia="宋体" w:cs="Times New Roman"/>
                <w:color w:val="000000"/>
              </w:rPr>
              <w:t>农用地土壤污染风险筛选值</w:t>
            </w:r>
          </w:p>
        </w:tc>
      </w:tr>
    </w:tbl>
    <w:p w14:paraId="1162C1B7">
      <w:pPr>
        <w:pStyle w:val="4"/>
        <w:spacing w:after="0" w:line="480" w:lineRule="exact"/>
        <w:jc w:val="both"/>
      </w:pPr>
      <w:bookmarkStart w:id="125" w:name="_Toc30092"/>
      <w:r>
        <w:rPr>
          <w:rFonts w:hint="eastAsia"/>
        </w:rPr>
        <w:t>5</w:t>
      </w:r>
      <w:r>
        <w:t xml:space="preserve">.8 </w:t>
      </w:r>
      <w:r>
        <w:rPr>
          <w:rFonts w:hint="eastAsia"/>
        </w:rPr>
        <w:t>生态环境影响分析</w:t>
      </w:r>
      <w:bookmarkEnd w:id="125"/>
    </w:p>
    <w:p w14:paraId="7998B65B">
      <w:pPr>
        <w:spacing w:line="480" w:lineRule="exact"/>
        <w:ind w:firstLine="480" w:firstLineChars="200"/>
      </w:pPr>
      <w:r>
        <w:rPr>
          <w:rFonts w:hint="eastAsia"/>
        </w:rPr>
        <w:t>本项目拟建地点为已开发用地，不新增占地面积。故本项目不会破坏原有地貌，不会造成评价区植被类型的消失。</w:t>
      </w:r>
    </w:p>
    <w:p w14:paraId="46B24A34">
      <w:pPr>
        <w:spacing w:line="480" w:lineRule="exact"/>
        <w:ind w:firstLine="480" w:firstLineChars="200"/>
      </w:pPr>
      <w:r>
        <w:rPr>
          <w:rFonts w:hint="eastAsia"/>
        </w:rPr>
        <w:t>本项目对周围生态的影响主要是恶臭气体H</w:t>
      </w:r>
      <w:r>
        <w:rPr>
          <w:rFonts w:hint="eastAsia"/>
          <w:vertAlign w:val="subscript"/>
        </w:rPr>
        <w:t>2</w:t>
      </w:r>
      <w:r>
        <w:rPr>
          <w:rFonts w:hint="eastAsia"/>
        </w:rPr>
        <w:t>S、NH</w:t>
      </w:r>
      <w:r>
        <w:rPr>
          <w:rFonts w:hint="eastAsia"/>
          <w:vertAlign w:val="subscript"/>
        </w:rPr>
        <w:t>3</w:t>
      </w:r>
      <w:r>
        <w:rPr>
          <w:rFonts w:hint="eastAsia"/>
        </w:rPr>
        <w:t>气体可能影响庄稼生长。本项目通过对区域鸡只养殖实施集约化管理，并对鸡只养殖产生的粪污进行减量化、无害化、资源化综合利用，并对鸡舍、粪污处理工程产生的恶臭气体采取了消毒除臭等措施，项目建成后进行合理绿化，减少对周边植被的影响。</w:t>
      </w:r>
    </w:p>
    <w:p w14:paraId="30E0D8D3">
      <w:pPr>
        <w:spacing w:line="480" w:lineRule="exact"/>
        <w:ind w:firstLine="480" w:firstLineChars="200"/>
      </w:pPr>
      <w:r>
        <w:rPr>
          <w:rFonts w:hint="eastAsia"/>
        </w:rPr>
        <w:t>本项目运营期大气污染物对生态环境影响主要体现在对农业生产的影响方面，其影响途径主要有2条：污染物经大气沉降进入土壤，影响土壤</w:t>
      </w:r>
      <w:r>
        <w:t>系统</w:t>
      </w:r>
      <w:r>
        <w:rPr>
          <w:rFonts w:hint="eastAsia"/>
        </w:rPr>
        <w:t>；通过大气污染物直接影响农作物光合作用、呼吸作用，从而影响农作物正常生长。</w:t>
      </w:r>
    </w:p>
    <w:p w14:paraId="2231C4FA">
      <w:pPr>
        <w:spacing w:line="480" w:lineRule="exact"/>
        <w:ind w:firstLine="480" w:firstLineChars="200"/>
      </w:pPr>
      <w:r>
        <w:rPr>
          <w:rFonts w:hint="eastAsia"/>
        </w:rPr>
        <w:t>①大气污染物对土壤影响</w:t>
      </w:r>
    </w:p>
    <w:p w14:paraId="31D9272D">
      <w:pPr>
        <w:spacing w:line="480" w:lineRule="exact"/>
        <w:ind w:firstLine="480" w:firstLineChars="200"/>
      </w:pPr>
      <w:r>
        <w:rPr>
          <w:rFonts w:hint="eastAsia"/>
        </w:rPr>
        <w:t>排放在大气中的恶臭等污染物会对周围的空气质量造成污染，恶臭中含有大量的氨、硫化氢等有毒</w:t>
      </w:r>
      <w:r>
        <w:t>物质</w:t>
      </w:r>
      <w:r>
        <w:rPr>
          <w:rFonts w:hint="eastAsia"/>
        </w:rPr>
        <w:t>，这些物质会通过空气扩散到周围的环境中，形成以其污染源为中心，成条带状或椭圆状分布，其长轴沿当地风向延伸，污染物随着飘尘以及气溶胶进入土壤，影响土壤生态系统。</w:t>
      </w:r>
    </w:p>
    <w:p w14:paraId="25E2B476">
      <w:pPr>
        <w:spacing w:line="480" w:lineRule="exact"/>
        <w:ind w:firstLine="480" w:firstLineChars="200"/>
      </w:pPr>
      <w:r>
        <w:rPr>
          <w:rFonts w:hint="eastAsia"/>
        </w:rPr>
        <w:t>②大气污染物对农业生态影响</w:t>
      </w:r>
    </w:p>
    <w:p w14:paraId="119224D3">
      <w:pPr>
        <w:spacing w:line="480" w:lineRule="exact"/>
        <w:ind w:firstLine="480" w:firstLineChars="200"/>
      </w:pPr>
      <w:r>
        <w:rPr>
          <w:rFonts w:hint="eastAsia"/>
        </w:rPr>
        <w:t>排放在大气中的恶臭等污染物会对周围的空气质量造成污染，恶臭中含有大量的氨、硫化氢等有毒物质，这些污染物进入大气后，部分被作物叶片截留并</w:t>
      </w:r>
      <w:r>
        <w:t>吸收，</w:t>
      </w:r>
      <w:r>
        <w:rPr>
          <w:rFonts w:hint="eastAsia"/>
        </w:rPr>
        <w:t>由于氨、硫化氢具有</w:t>
      </w:r>
      <w:r>
        <w:t>一定毒性</w:t>
      </w:r>
      <w:r>
        <w:rPr>
          <w:rFonts w:hint="eastAsia"/>
        </w:rPr>
        <w:t>，浓度</w:t>
      </w:r>
      <w:r>
        <w:t>较高情况下，会</w:t>
      </w:r>
      <w:r>
        <w:rPr>
          <w:rFonts w:hint="eastAsia"/>
        </w:rPr>
        <w:t>破坏</w:t>
      </w:r>
      <w:r>
        <w:t>植物叶片</w:t>
      </w:r>
      <w:r>
        <w:rPr>
          <w:rFonts w:hint="eastAsia"/>
        </w:rPr>
        <w:t>系统，影响植物光合作用和呼吸作用，或者进入作物体内，影响作物正常生长。</w:t>
      </w:r>
    </w:p>
    <w:p w14:paraId="56985C55">
      <w:pPr>
        <w:spacing w:line="480" w:lineRule="exact"/>
        <w:ind w:firstLine="480" w:firstLineChars="200"/>
      </w:pPr>
      <w:r>
        <w:rPr>
          <w:rFonts w:hint="eastAsia"/>
        </w:rPr>
        <w:t>根据大气预测结果可知正常排放情况下厂区有组织和无组织废气最大落地浓度占标率均小于10%，对周围生态环境影响较小。</w:t>
      </w:r>
    </w:p>
    <w:p w14:paraId="0D991291">
      <w:pPr>
        <w:spacing w:line="480" w:lineRule="exact"/>
        <w:ind w:firstLine="480" w:firstLineChars="200"/>
      </w:pPr>
      <w:r>
        <w:rPr>
          <w:rFonts w:hint="eastAsia"/>
        </w:rPr>
        <w:t>（2）废水对农业生态环境影响</w:t>
      </w:r>
    </w:p>
    <w:p w14:paraId="50BD63C5">
      <w:pPr>
        <w:spacing w:line="480" w:lineRule="exact"/>
        <w:ind w:firstLine="480" w:firstLineChars="200"/>
      </w:pPr>
      <w:r>
        <w:rPr>
          <w:rFonts w:hint="eastAsia"/>
        </w:rPr>
        <w:t>本项目落实环评规定的措施后，场区各类废水经污水处理站处理后外运用于农田灌溉。因此本项目运营期对水环境影响较小。</w:t>
      </w:r>
    </w:p>
    <w:p w14:paraId="261A9298">
      <w:pPr>
        <w:spacing w:line="480" w:lineRule="exact"/>
        <w:ind w:firstLine="480" w:firstLineChars="200"/>
      </w:pPr>
      <w:r>
        <w:rPr>
          <w:rFonts w:hint="eastAsia"/>
        </w:rPr>
        <w:t>（3）固废对农业生态环境的影响</w:t>
      </w:r>
    </w:p>
    <w:p w14:paraId="35FBED56">
      <w:pPr>
        <w:spacing w:line="480" w:lineRule="exact"/>
        <w:ind w:firstLine="480" w:firstLineChars="200"/>
      </w:pPr>
      <w:r>
        <w:rPr>
          <w:rFonts w:hint="eastAsia"/>
        </w:rPr>
        <w:t>本项目运营期固体废物主要包括</w:t>
      </w:r>
      <w:r>
        <w:rPr>
          <w:rFonts w:ascii="Times New Roman" w:hAnsi="Times New Roman" w:cs="Times New Roman"/>
          <w:szCs w:val="24"/>
        </w:rPr>
        <w:t>病死鸡、鸡粪、废包装、医疗废物、污泥、</w:t>
      </w:r>
      <w:r>
        <w:rPr>
          <w:rFonts w:ascii="Times New Roman" w:hAnsi="Times New Roman" w:cs="Times New Roman"/>
          <w:kern w:val="0"/>
          <w:szCs w:val="24"/>
        </w:rPr>
        <w:t>饲料残渣</w:t>
      </w:r>
      <w:r>
        <w:rPr>
          <w:rFonts w:hint="eastAsia" w:ascii="Times New Roman" w:hAnsi="Times New Roman" w:cs="Times New Roman"/>
          <w:kern w:val="0"/>
          <w:szCs w:val="24"/>
        </w:rPr>
        <w:t>及</w:t>
      </w:r>
      <w:r>
        <w:rPr>
          <w:rFonts w:ascii="Times New Roman" w:hAnsi="Times New Roman" w:cs="Times New Roman"/>
          <w:kern w:val="0"/>
          <w:szCs w:val="24"/>
        </w:rPr>
        <w:t>散落羽毛</w:t>
      </w:r>
      <w:r>
        <w:rPr>
          <w:rFonts w:hint="eastAsia" w:ascii="Times New Roman" w:hAnsi="Times New Roman" w:cs="Times New Roman"/>
          <w:kern w:val="0"/>
          <w:szCs w:val="24"/>
        </w:rPr>
        <w:t>、废树脂</w:t>
      </w:r>
      <w:r>
        <w:rPr>
          <w:rFonts w:ascii="Times New Roman" w:hAnsi="Times New Roman" w:cs="Times New Roman"/>
          <w:szCs w:val="24"/>
        </w:rPr>
        <w:t>和生活垃圾</w:t>
      </w:r>
      <w:r>
        <w:rPr>
          <w:rFonts w:hint="eastAsia"/>
        </w:rPr>
        <w:t>等。根据工程分析可知，对所有固体废物均采用了合理的综合利用和处置措施，不会对土壤造成不利影响。</w:t>
      </w:r>
    </w:p>
    <w:p w14:paraId="7444D1BC">
      <w:pPr>
        <w:spacing w:line="480" w:lineRule="exact"/>
        <w:ind w:firstLine="480" w:firstLineChars="200"/>
      </w:pPr>
      <w:r>
        <w:rPr>
          <w:rFonts w:hint="eastAsia"/>
        </w:rPr>
        <w:t>综上，本项目建设前后对区域的生态系统影响不大。</w:t>
      </w:r>
    </w:p>
    <w:p w14:paraId="7C64E7A9">
      <w:pPr>
        <w:pStyle w:val="4"/>
        <w:spacing w:after="0" w:line="480" w:lineRule="exact"/>
        <w:jc w:val="both"/>
      </w:pPr>
      <w:bookmarkStart w:id="126" w:name="_Toc3389"/>
      <w:r>
        <w:rPr>
          <w:rFonts w:hint="eastAsia"/>
        </w:rPr>
        <w:t>5</w:t>
      </w:r>
      <w:r>
        <w:t xml:space="preserve">.9 </w:t>
      </w:r>
      <w:r>
        <w:rPr>
          <w:rFonts w:hint="eastAsia"/>
        </w:rPr>
        <w:t>环境风险评价</w:t>
      </w:r>
      <w:bookmarkEnd w:id="126"/>
    </w:p>
    <w:p w14:paraId="2C19DC6C">
      <w:pPr>
        <w:spacing w:line="480" w:lineRule="exact"/>
        <w:ind w:firstLine="480" w:firstLineChars="200"/>
      </w:pPr>
      <w:r>
        <w:rPr>
          <w:rFonts w:hint="eastAsia"/>
        </w:rPr>
        <w:t>本项目环境风险评价等级为简单分析，本次评价将对本项目运营过程中可能发生的环境风险事故及其后果进行定性分析。</w:t>
      </w:r>
    </w:p>
    <w:p w14:paraId="3BC33794">
      <w:pPr>
        <w:pStyle w:val="7"/>
        <w:spacing w:line="480" w:lineRule="exact"/>
      </w:pPr>
      <w:bookmarkStart w:id="127" w:name="_Toc14957"/>
      <w:r>
        <w:rPr>
          <w:rFonts w:hint="eastAsia"/>
        </w:rPr>
        <w:t>5</w:t>
      </w:r>
      <w:r>
        <w:t>.9.</w:t>
      </w:r>
      <w:r>
        <w:rPr>
          <w:rFonts w:hint="eastAsia"/>
        </w:rPr>
        <w:t xml:space="preserve">1 </w:t>
      </w:r>
      <w:bookmarkStart w:id="128" w:name="_Toc22897"/>
      <w:bookmarkStart w:id="129" w:name="_Toc29468"/>
      <w:bookmarkStart w:id="130" w:name="_Toc26159"/>
      <w:bookmarkStart w:id="131" w:name="_Toc24694"/>
      <w:r>
        <w:rPr>
          <w:rFonts w:hint="eastAsia"/>
        </w:rPr>
        <w:t>环境风险事故情形设定</w:t>
      </w:r>
      <w:bookmarkEnd w:id="127"/>
      <w:bookmarkEnd w:id="128"/>
      <w:bookmarkEnd w:id="129"/>
      <w:bookmarkEnd w:id="130"/>
      <w:bookmarkEnd w:id="131"/>
    </w:p>
    <w:p w14:paraId="49FB987A">
      <w:pPr>
        <w:widowControl/>
        <w:spacing w:line="480" w:lineRule="exact"/>
        <w:ind w:firstLine="480" w:firstLineChars="200"/>
        <w:jc w:val="left"/>
        <w:rPr>
          <w:rFonts w:ascii="Times New Roman" w:hAnsi="Times New Roman" w:eastAsia="宋体" w:cs="Times New Roman"/>
          <w:szCs w:val="24"/>
        </w:rPr>
      </w:pPr>
      <w:r>
        <w:rPr>
          <w:rFonts w:ascii="Times New Roman" w:hAnsi="Times New Roman" w:eastAsia="宋体" w:cs="Times New Roman"/>
          <w:color w:val="000000"/>
          <w:kern w:val="0"/>
          <w:szCs w:val="24"/>
          <w:lang w:bidi="ar"/>
        </w:rPr>
        <w:t>环境风险事故情形应包括危险物质泄漏，以及火灾、爆炸等引发的伴生/次生污染物排放情形。对不同环境要素产生影响的风险事故情形分别进行设定。风险事故情形设定的不确定性与筛选。由于事故触发因素具有不确定性，因此事故情形的设定并不能包含全部可能的环境风险，但通过具有代表性的事故情形分析可为风险管理提供科学依据。</w:t>
      </w:r>
    </w:p>
    <w:p w14:paraId="7A3D886E">
      <w:pPr>
        <w:widowControl/>
        <w:spacing w:line="480" w:lineRule="exact"/>
        <w:ind w:firstLine="480" w:firstLineChars="200"/>
        <w:jc w:val="left"/>
        <w:rPr>
          <w:rFonts w:ascii="Times New Roman" w:hAnsi="Times New Roman" w:eastAsia="宋体" w:cs="Times New Roman"/>
          <w:szCs w:val="24"/>
        </w:rPr>
      </w:pPr>
      <w:r>
        <w:rPr>
          <w:rFonts w:ascii="Times New Roman" w:hAnsi="Times New Roman" w:eastAsia="宋体" w:cs="Times New Roman"/>
          <w:color w:val="000000"/>
          <w:kern w:val="0"/>
          <w:szCs w:val="24"/>
          <w:lang w:bidi="ar"/>
        </w:rPr>
        <w:t>泄漏事故类型如容器、管道、泵体、压缩机、装卸臂和装卸软管的泄漏和破裂等泄漏频率采用风险导则（HJ169-2018）附录E.1，详见下表</w:t>
      </w:r>
      <w:r>
        <w:rPr>
          <w:rFonts w:hint="eastAsia" w:ascii="Times New Roman" w:hAnsi="Times New Roman" w:eastAsia="宋体" w:cs="Times New Roman"/>
          <w:color w:val="000000"/>
          <w:kern w:val="0"/>
          <w:szCs w:val="24"/>
          <w:lang w:bidi="ar"/>
        </w:rPr>
        <w:t>5.9-1</w:t>
      </w:r>
      <w:r>
        <w:rPr>
          <w:rFonts w:ascii="Times New Roman" w:hAnsi="Times New Roman" w:eastAsia="宋体" w:cs="Times New Roman"/>
          <w:color w:val="000000"/>
          <w:kern w:val="0"/>
          <w:szCs w:val="24"/>
          <w:lang w:bidi="ar"/>
        </w:rPr>
        <w:t>。</w:t>
      </w:r>
    </w:p>
    <w:p w14:paraId="33C39C30">
      <w:pPr>
        <w:pStyle w:val="86"/>
        <w:adjustRightInd w:val="0"/>
        <w:spacing w:line="480" w:lineRule="exact"/>
        <w:ind w:firstLine="0" w:firstLineChars="0"/>
        <w:jc w:val="center"/>
        <w:rPr>
          <w:rFonts w:ascii="Times New Roman" w:hAnsi="Times New Roman" w:eastAsia="宋体" w:cs="Times New Roman"/>
          <w:b/>
          <w:bCs/>
        </w:rPr>
      </w:pPr>
      <w:r>
        <w:rPr>
          <w:rFonts w:ascii="Times New Roman" w:hAnsi="Times New Roman" w:eastAsia="宋体" w:cs="Times New Roman"/>
          <w:b/>
          <w:bCs/>
        </w:rPr>
        <w:drawing>
          <wp:anchor distT="0" distB="0" distL="114300" distR="114300" simplePos="0" relativeHeight="251664384" behindDoc="0" locked="0" layoutInCell="1" allowOverlap="1">
            <wp:simplePos x="0" y="0"/>
            <wp:positionH relativeFrom="column">
              <wp:posOffset>191770</wp:posOffset>
            </wp:positionH>
            <wp:positionV relativeFrom="paragraph">
              <wp:posOffset>283210</wp:posOffset>
            </wp:positionV>
            <wp:extent cx="5386070" cy="3557905"/>
            <wp:effectExtent l="0" t="0" r="5080" b="4445"/>
            <wp:wrapNone/>
            <wp:docPr id="181" name="图片 3" descr="提取自睢宁养猪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 descr="提取自睢宁养猪_00"/>
                    <pic:cNvPicPr>
                      <a:picLocks noChangeAspect="1"/>
                    </pic:cNvPicPr>
                  </pic:nvPicPr>
                  <pic:blipFill>
                    <a:blip r:embed="rId84"/>
                    <a:srcRect l="12105" t="10367" r="9993" b="53256"/>
                    <a:stretch>
                      <a:fillRect/>
                    </a:stretch>
                  </pic:blipFill>
                  <pic:spPr>
                    <a:xfrm>
                      <a:off x="0" y="0"/>
                      <a:ext cx="5386070" cy="3557905"/>
                    </a:xfrm>
                    <a:prstGeom prst="rect">
                      <a:avLst/>
                    </a:prstGeom>
                    <a:noFill/>
                    <a:ln>
                      <a:noFill/>
                    </a:ln>
                  </pic:spPr>
                </pic:pic>
              </a:graphicData>
            </a:graphic>
          </wp:anchor>
        </w:drawing>
      </w:r>
      <w:r>
        <w:rPr>
          <w:rFonts w:ascii="Times New Roman" w:hAnsi="Times New Roman" w:eastAsia="宋体" w:cs="Times New Roman"/>
          <w:b/>
          <w:bCs/>
        </w:rPr>
        <w:t>表5.</w:t>
      </w:r>
      <w:r>
        <w:rPr>
          <w:rFonts w:hint="eastAsia" w:ascii="Times New Roman" w:hAnsi="Times New Roman" w:eastAsia="宋体" w:cs="Times New Roman"/>
          <w:b/>
          <w:bCs/>
        </w:rPr>
        <w:t>9</w:t>
      </w:r>
      <w:r>
        <w:rPr>
          <w:rFonts w:ascii="Times New Roman" w:hAnsi="Times New Roman" w:eastAsia="宋体" w:cs="Times New Roman"/>
          <w:b/>
          <w:bCs/>
        </w:rPr>
        <w:t>-1泄漏事故频率表</w:t>
      </w:r>
    </w:p>
    <w:p w14:paraId="737F81E8">
      <w:pPr>
        <w:pStyle w:val="86"/>
        <w:adjustRightInd w:val="0"/>
        <w:spacing w:line="480" w:lineRule="exact"/>
        <w:ind w:firstLine="0" w:firstLineChars="0"/>
        <w:jc w:val="center"/>
        <w:rPr>
          <w:rFonts w:ascii="Times New Roman" w:hAnsi="Times New Roman" w:eastAsia="宋体" w:cs="Times New Roman"/>
          <w:b/>
          <w:bCs/>
        </w:rPr>
      </w:pPr>
    </w:p>
    <w:p w14:paraId="2104CF2D">
      <w:pPr>
        <w:pStyle w:val="86"/>
        <w:adjustRightInd w:val="0"/>
        <w:snapToGrid w:val="0"/>
        <w:rPr>
          <w:rFonts w:ascii="Times New Roman" w:hAnsi="Times New Roman" w:cs="Times New Roman"/>
        </w:rPr>
      </w:pPr>
    </w:p>
    <w:p w14:paraId="2A759048">
      <w:pPr>
        <w:pStyle w:val="86"/>
        <w:adjustRightInd w:val="0"/>
        <w:snapToGrid w:val="0"/>
        <w:rPr>
          <w:rFonts w:ascii="Times New Roman" w:hAnsi="Times New Roman" w:cs="Times New Roman"/>
        </w:rPr>
      </w:pPr>
    </w:p>
    <w:p w14:paraId="720DDC63">
      <w:pPr>
        <w:pStyle w:val="86"/>
        <w:adjustRightInd w:val="0"/>
        <w:snapToGrid w:val="0"/>
        <w:rPr>
          <w:rFonts w:ascii="Times New Roman" w:hAnsi="Times New Roman" w:cs="Times New Roman"/>
        </w:rPr>
      </w:pPr>
    </w:p>
    <w:p w14:paraId="7BFF6D13">
      <w:pPr>
        <w:pStyle w:val="86"/>
        <w:adjustRightInd w:val="0"/>
        <w:snapToGrid w:val="0"/>
        <w:rPr>
          <w:rFonts w:ascii="Times New Roman" w:hAnsi="Times New Roman" w:cs="Times New Roman"/>
        </w:rPr>
      </w:pPr>
    </w:p>
    <w:p w14:paraId="1965BA77">
      <w:pPr>
        <w:pStyle w:val="86"/>
        <w:adjustRightInd w:val="0"/>
        <w:snapToGrid w:val="0"/>
        <w:rPr>
          <w:rFonts w:ascii="Times New Roman" w:hAnsi="Times New Roman" w:cs="Times New Roman"/>
        </w:rPr>
      </w:pPr>
    </w:p>
    <w:p w14:paraId="0B8A3BA8">
      <w:pPr>
        <w:pStyle w:val="86"/>
        <w:adjustRightInd w:val="0"/>
        <w:snapToGrid w:val="0"/>
        <w:rPr>
          <w:rFonts w:ascii="Times New Roman" w:hAnsi="Times New Roman" w:cs="Times New Roman"/>
        </w:rPr>
      </w:pPr>
    </w:p>
    <w:p w14:paraId="38801B96">
      <w:pPr>
        <w:pStyle w:val="86"/>
        <w:adjustRightInd w:val="0"/>
        <w:snapToGrid w:val="0"/>
        <w:rPr>
          <w:rFonts w:ascii="Times New Roman" w:hAnsi="Times New Roman" w:cs="Times New Roman"/>
        </w:rPr>
      </w:pPr>
    </w:p>
    <w:p w14:paraId="0FA18CFF">
      <w:pPr>
        <w:pStyle w:val="86"/>
        <w:adjustRightInd w:val="0"/>
        <w:snapToGrid w:val="0"/>
        <w:rPr>
          <w:rFonts w:ascii="Times New Roman" w:hAnsi="Times New Roman" w:cs="Times New Roman"/>
        </w:rPr>
      </w:pPr>
    </w:p>
    <w:p w14:paraId="21CF51ED">
      <w:pPr>
        <w:pStyle w:val="86"/>
        <w:adjustRightInd w:val="0"/>
        <w:snapToGrid w:val="0"/>
        <w:rPr>
          <w:rFonts w:ascii="Times New Roman" w:hAnsi="Times New Roman" w:cs="Times New Roman"/>
        </w:rPr>
      </w:pPr>
    </w:p>
    <w:p w14:paraId="762F9BB2">
      <w:pPr>
        <w:pStyle w:val="86"/>
        <w:adjustRightInd w:val="0"/>
        <w:snapToGrid w:val="0"/>
        <w:rPr>
          <w:rFonts w:ascii="Times New Roman" w:hAnsi="Times New Roman" w:cs="Times New Roman"/>
        </w:rPr>
      </w:pPr>
    </w:p>
    <w:p w14:paraId="693CFF42">
      <w:pPr>
        <w:pStyle w:val="86"/>
        <w:adjustRightInd w:val="0"/>
        <w:snapToGrid w:val="0"/>
        <w:rPr>
          <w:rFonts w:ascii="Times New Roman" w:hAnsi="Times New Roman" w:cs="Times New Roman"/>
        </w:rPr>
      </w:pPr>
    </w:p>
    <w:p w14:paraId="62E835F2">
      <w:pPr>
        <w:widowControl/>
        <w:ind w:firstLine="480" w:firstLineChars="200"/>
        <w:jc w:val="left"/>
        <w:rPr>
          <w:rFonts w:ascii="Times New Roman" w:hAnsi="Times New Roman" w:eastAsia="宋体" w:cs="Times New Roman"/>
          <w:color w:val="000000"/>
          <w:kern w:val="0"/>
          <w:szCs w:val="24"/>
          <w:lang w:bidi="ar"/>
        </w:rPr>
      </w:pPr>
    </w:p>
    <w:p w14:paraId="5C36E11C">
      <w:pPr>
        <w:widowControl/>
        <w:spacing w:line="480" w:lineRule="atLeast"/>
        <w:ind w:firstLine="480" w:firstLineChars="200"/>
        <w:jc w:val="left"/>
        <w:rPr>
          <w:rFonts w:ascii="Times New Roman" w:hAnsi="Times New Roman" w:eastAsia="宋体" w:cs="Times New Roman"/>
        </w:rPr>
      </w:pPr>
      <w:r>
        <w:rPr>
          <w:rFonts w:ascii="Times New Roman" w:hAnsi="Times New Roman" w:eastAsia="宋体" w:cs="Times New Roman"/>
          <w:color w:val="000000"/>
          <w:kern w:val="0"/>
          <w:szCs w:val="24"/>
          <w:lang w:bidi="ar"/>
        </w:rPr>
        <w:t>对照上面的风险识别和概率统计的数据进行汇总，本项目环境风险识别</w:t>
      </w:r>
      <w:r>
        <w:rPr>
          <w:rFonts w:hint="eastAsia" w:ascii="Times New Roman" w:hAnsi="Times New Roman" w:eastAsia="宋体" w:cs="Times New Roman"/>
          <w:color w:val="000000"/>
          <w:kern w:val="0"/>
          <w:szCs w:val="24"/>
          <w:lang w:bidi="ar"/>
        </w:rPr>
        <w:t>见</w:t>
      </w:r>
      <w:r>
        <w:rPr>
          <w:rFonts w:ascii="Times New Roman" w:hAnsi="Times New Roman" w:eastAsia="宋体" w:cs="Times New Roman"/>
          <w:color w:val="000000"/>
          <w:kern w:val="0"/>
          <w:szCs w:val="24"/>
          <w:lang w:bidi="ar"/>
        </w:rPr>
        <w:t>表</w:t>
      </w:r>
      <w:r>
        <w:rPr>
          <w:rFonts w:hint="eastAsia" w:ascii="Times New Roman" w:hAnsi="Times New Roman" w:eastAsia="宋体" w:cs="Times New Roman"/>
          <w:color w:val="000000"/>
          <w:kern w:val="0"/>
          <w:szCs w:val="24"/>
          <w:lang w:bidi="ar"/>
        </w:rPr>
        <w:t>5.9-2</w:t>
      </w:r>
      <w:r>
        <w:rPr>
          <w:rFonts w:ascii="Times New Roman" w:hAnsi="Times New Roman" w:eastAsia="宋体" w:cs="Times New Roman"/>
          <w:color w:val="000000"/>
          <w:kern w:val="0"/>
          <w:szCs w:val="24"/>
          <w:lang w:bidi="ar"/>
        </w:rPr>
        <w:t>。</w:t>
      </w:r>
    </w:p>
    <w:p w14:paraId="33BAE014">
      <w:pPr>
        <w:pStyle w:val="86"/>
        <w:adjustRightInd w:val="0"/>
        <w:snapToGrid w:val="0"/>
        <w:spacing w:line="480" w:lineRule="atLeast"/>
        <w:ind w:firstLine="0" w:firstLineChars="0"/>
        <w:jc w:val="center"/>
        <w:rPr>
          <w:rFonts w:ascii="Times New Roman" w:hAnsi="Times New Roman" w:eastAsia="宋体" w:cs="Times New Roman"/>
          <w:b/>
          <w:bCs/>
        </w:rPr>
      </w:pPr>
      <w:r>
        <w:rPr>
          <w:rFonts w:ascii="Times New Roman" w:hAnsi="Times New Roman" w:eastAsia="宋体" w:cs="Times New Roman"/>
          <w:b/>
          <w:bCs/>
        </w:rPr>
        <w:t>表5.</w:t>
      </w:r>
      <w:r>
        <w:rPr>
          <w:rFonts w:hint="eastAsia" w:ascii="Times New Roman" w:hAnsi="Times New Roman" w:eastAsia="宋体" w:cs="Times New Roman"/>
          <w:b/>
          <w:bCs/>
        </w:rPr>
        <w:t>9</w:t>
      </w:r>
      <w:r>
        <w:rPr>
          <w:rFonts w:ascii="Times New Roman" w:hAnsi="Times New Roman" w:eastAsia="宋体" w:cs="Times New Roman"/>
          <w:b/>
          <w:bCs/>
        </w:rPr>
        <w:t>-2建设项目环境风险事故情形设定一览表</w:t>
      </w:r>
    </w:p>
    <w:tbl>
      <w:tblPr>
        <w:tblStyle w:val="41"/>
        <w:tblW w:w="4997"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149"/>
        <w:gridCol w:w="1076"/>
        <w:gridCol w:w="1419"/>
        <w:gridCol w:w="1314"/>
        <w:gridCol w:w="1384"/>
        <w:gridCol w:w="1234"/>
        <w:gridCol w:w="1491"/>
      </w:tblGrid>
      <w:tr w14:paraId="113693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7" w:hRule="atLeast"/>
          <w:jc w:val="center"/>
        </w:trPr>
        <w:tc>
          <w:tcPr>
            <w:tcW w:w="633" w:type="pct"/>
            <w:tcBorders>
              <w:top w:val="single" w:color="000000" w:sz="12" w:space="0"/>
              <w:left w:val="nil"/>
              <w:bottom w:val="single" w:color="000000" w:sz="4" w:space="0"/>
              <w:right w:val="single" w:color="000000" w:sz="4" w:space="0"/>
            </w:tcBorders>
            <w:vAlign w:val="center"/>
          </w:tcPr>
          <w:p w14:paraId="5D756D79">
            <w:pPr>
              <w:pStyle w:val="93"/>
              <w:autoSpaceDE/>
              <w:autoSpaceDN/>
              <w:spacing w:line="300" w:lineRule="exact"/>
              <w:rPr>
                <w:rFonts w:ascii="Times New Roman" w:hAnsi="Times New Roman" w:eastAsia="宋体" w:cs="Times New Roman"/>
                <w:bCs/>
                <w:sz w:val="21"/>
                <w:szCs w:val="21"/>
              </w:rPr>
            </w:pPr>
            <w:r>
              <w:rPr>
                <w:rFonts w:ascii="Times New Roman" w:hAnsi="Times New Roman" w:eastAsia="宋体" w:cs="Times New Roman"/>
                <w:bCs/>
                <w:sz w:val="21"/>
                <w:szCs w:val="21"/>
              </w:rPr>
              <w:t>危险单元</w:t>
            </w:r>
          </w:p>
        </w:tc>
        <w:tc>
          <w:tcPr>
            <w:tcW w:w="593" w:type="pct"/>
            <w:tcBorders>
              <w:top w:val="single" w:color="000000" w:sz="12" w:space="0"/>
              <w:left w:val="single" w:color="000000" w:sz="4" w:space="0"/>
              <w:bottom w:val="single" w:color="000000" w:sz="4" w:space="0"/>
              <w:right w:val="single" w:color="000000" w:sz="4" w:space="0"/>
            </w:tcBorders>
            <w:vAlign w:val="center"/>
          </w:tcPr>
          <w:p w14:paraId="7A8C7A1D">
            <w:pPr>
              <w:pStyle w:val="93"/>
              <w:autoSpaceDE/>
              <w:autoSpaceDN/>
              <w:spacing w:line="300" w:lineRule="exact"/>
              <w:rPr>
                <w:rFonts w:ascii="Times New Roman" w:hAnsi="Times New Roman" w:eastAsia="宋体" w:cs="Times New Roman"/>
                <w:bCs/>
                <w:sz w:val="21"/>
                <w:szCs w:val="21"/>
              </w:rPr>
            </w:pPr>
            <w:r>
              <w:rPr>
                <w:rFonts w:ascii="Times New Roman" w:hAnsi="Times New Roman" w:eastAsia="宋体" w:cs="Times New Roman"/>
                <w:bCs/>
                <w:sz w:val="21"/>
                <w:szCs w:val="21"/>
              </w:rPr>
              <w:t>潜在风险源</w:t>
            </w:r>
          </w:p>
        </w:tc>
        <w:tc>
          <w:tcPr>
            <w:tcW w:w="782" w:type="pct"/>
            <w:tcBorders>
              <w:top w:val="single" w:color="000000" w:sz="12" w:space="0"/>
              <w:left w:val="single" w:color="000000" w:sz="4" w:space="0"/>
              <w:bottom w:val="single" w:color="000000" w:sz="4" w:space="0"/>
              <w:right w:val="single" w:color="000000" w:sz="4" w:space="0"/>
            </w:tcBorders>
            <w:vAlign w:val="center"/>
          </w:tcPr>
          <w:p w14:paraId="2C864A60">
            <w:pPr>
              <w:pStyle w:val="93"/>
              <w:autoSpaceDE/>
              <w:autoSpaceDN/>
              <w:spacing w:line="300" w:lineRule="exact"/>
              <w:rPr>
                <w:rFonts w:ascii="Times New Roman" w:hAnsi="Times New Roman" w:eastAsia="宋体" w:cs="Times New Roman"/>
                <w:bCs/>
                <w:sz w:val="21"/>
                <w:szCs w:val="21"/>
              </w:rPr>
            </w:pPr>
            <w:r>
              <w:rPr>
                <w:rFonts w:ascii="Times New Roman" w:hAnsi="Times New Roman" w:eastAsia="宋体" w:cs="Times New Roman"/>
                <w:bCs/>
                <w:sz w:val="21"/>
                <w:szCs w:val="21"/>
              </w:rPr>
              <w:t>主要危险物质</w:t>
            </w:r>
          </w:p>
        </w:tc>
        <w:tc>
          <w:tcPr>
            <w:tcW w:w="724" w:type="pct"/>
            <w:tcBorders>
              <w:top w:val="single" w:color="000000" w:sz="12" w:space="0"/>
              <w:left w:val="single" w:color="000000" w:sz="4" w:space="0"/>
              <w:bottom w:val="single" w:color="000000" w:sz="4" w:space="0"/>
              <w:right w:val="single" w:color="000000" w:sz="4" w:space="0"/>
            </w:tcBorders>
            <w:vAlign w:val="center"/>
          </w:tcPr>
          <w:p w14:paraId="03ED3620">
            <w:pPr>
              <w:pStyle w:val="93"/>
              <w:autoSpaceDE/>
              <w:autoSpaceDN/>
              <w:spacing w:line="300" w:lineRule="exact"/>
              <w:rPr>
                <w:rFonts w:ascii="Times New Roman" w:hAnsi="Times New Roman" w:eastAsia="宋体" w:cs="Times New Roman"/>
                <w:bCs/>
                <w:sz w:val="21"/>
                <w:szCs w:val="21"/>
              </w:rPr>
            </w:pPr>
            <w:r>
              <w:rPr>
                <w:rFonts w:ascii="Times New Roman" w:hAnsi="Times New Roman" w:eastAsia="宋体" w:cs="Times New Roman"/>
                <w:bCs/>
                <w:sz w:val="21"/>
                <w:szCs w:val="21"/>
              </w:rPr>
              <w:t>环境风险类型</w:t>
            </w:r>
          </w:p>
        </w:tc>
        <w:tc>
          <w:tcPr>
            <w:tcW w:w="763" w:type="pct"/>
            <w:tcBorders>
              <w:top w:val="single" w:color="000000" w:sz="12" w:space="0"/>
              <w:left w:val="single" w:color="000000" w:sz="4" w:space="0"/>
              <w:bottom w:val="single" w:color="000000" w:sz="4" w:space="0"/>
              <w:right w:val="single" w:color="000000" w:sz="4" w:space="0"/>
            </w:tcBorders>
            <w:vAlign w:val="center"/>
          </w:tcPr>
          <w:p w14:paraId="4EDE9858">
            <w:pPr>
              <w:pStyle w:val="93"/>
              <w:autoSpaceDE/>
              <w:autoSpaceDN/>
              <w:spacing w:line="300" w:lineRule="exact"/>
              <w:rPr>
                <w:rFonts w:ascii="Times New Roman" w:hAnsi="Times New Roman" w:eastAsia="宋体" w:cs="Times New Roman"/>
                <w:bCs/>
                <w:sz w:val="21"/>
                <w:szCs w:val="21"/>
              </w:rPr>
            </w:pPr>
            <w:r>
              <w:rPr>
                <w:rFonts w:ascii="Times New Roman" w:hAnsi="Times New Roman" w:eastAsia="宋体" w:cs="Times New Roman"/>
                <w:bCs/>
                <w:sz w:val="21"/>
                <w:szCs w:val="21"/>
              </w:rPr>
              <w:t>环境影响途径</w:t>
            </w:r>
          </w:p>
        </w:tc>
        <w:tc>
          <w:tcPr>
            <w:tcW w:w="680" w:type="pct"/>
            <w:tcBorders>
              <w:top w:val="single" w:color="000000" w:sz="12" w:space="0"/>
              <w:left w:val="single" w:color="000000" w:sz="4" w:space="0"/>
              <w:bottom w:val="single" w:color="000000" w:sz="4" w:space="0"/>
              <w:right w:val="single" w:color="000000" w:sz="4" w:space="0"/>
            </w:tcBorders>
            <w:vAlign w:val="center"/>
          </w:tcPr>
          <w:p w14:paraId="50EFA943">
            <w:pPr>
              <w:pStyle w:val="93"/>
              <w:autoSpaceDE/>
              <w:autoSpaceDN/>
              <w:spacing w:line="300" w:lineRule="exact"/>
              <w:rPr>
                <w:rFonts w:ascii="Times New Roman" w:hAnsi="Times New Roman" w:eastAsia="宋体" w:cs="Times New Roman"/>
                <w:bCs/>
                <w:sz w:val="21"/>
                <w:szCs w:val="21"/>
                <w:lang w:eastAsia="zh-CN"/>
              </w:rPr>
            </w:pPr>
            <w:r>
              <w:rPr>
                <w:rFonts w:ascii="Times New Roman" w:hAnsi="Times New Roman" w:eastAsia="宋体" w:cs="Times New Roman"/>
                <w:bCs/>
                <w:sz w:val="21"/>
                <w:szCs w:val="21"/>
                <w:lang w:eastAsia="zh-CN"/>
              </w:rPr>
              <w:t>可能受影响的环境敏感目标</w:t>
            </w:r>
          </w:p>
        </w:tc>
        <w:tc>
          <w:tcPr>
            <w:tcW w:w="822" w:type="pct"/>
            <w:tcBorders>
              <w:top w:val="single" w:color="000000" w:sz="12" w:space="0"/>
              <w:left w:val="single" w:color="000000" w:sz="4" w:space="0"/>
              <w:bottom w:val="single" w:color="000000" w:sz="4" w:space="0"/>
              <w:right w:val="nil"/>
            </w:tcBorders>
            <w:vAlign w:val="center"/>
          </w:tcPr>
          <w:p w14:paraId="3FC5FEF0">
            <w:pPr>
              <w:pStyle w:val="93"/>
              <w:autoSpaceDE/>
              <w:autoSpaceDN/>
              <w:spacing w:line="300" w:lineRule="exact"/>
              <w:rPr>
                <w:rFonts w:ascii="Times New Roman" w:hAnsi="Times New Roman" w:eastAsia="宋体" w:cs="Times New Roman"/>
                <w:bCs/>
                <w:sz w:val="21"/>
                <w:szCs w:val="21"/>
              </w:rPr>
            </w:pPr>
            <w:r>
              <w:rPr>
                <w:rFonts w:ascii="Times New Roman" w:hAnsi="Times New Roman" w:eastAsia="宋体" w:cs="Times New Roman"/>
                <w:bCs/>
                <w:sz w:val="21"/>
                <w:szCs w:val="21"/>
              </w:rPr>
              <w:t>统计概率</w:t>
            </w:r>
          </w:p>
        </w:tc>
      </w:tr>
      <w:tr w14:paraId="1565FC9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633" w:type="pct"/>
            <w:tcBorders>
              <w:top w:val="single" w:color="000000" w:sz="4" w:space="0"/>
              <w:left w:val="nil"/>
              <w:bottom w:val="single" w:color="000000" w:sz="4" w:space="0"/>
              <w:right w:val="single" w:color="000000" w:sz="4" w:space="0"/>
            </w:tcBorders>
            <w:vAlign w:val="center"/>
          </w:tcPr>
          <w:p w14:paraId="4185962B">
            <w:pPr>
              <w:pStyle w:val="93"/>
              <w:autoSpaceDE/>
              <w:autoSpaceDN/>
              <w:spacing w:line="300" w:lineRule="exact"/>
              <w:rPr>
                <w:rFonts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eastAsia="zh-CN"/>
              </w:rPr>
              <w:t>备用</w:t>
            </w:r>
            <w:r>
              <w:rPr>
                <w:rFonts w:hint="eastAsia" w:ascii="Times New Roman" w:hAnsi="Times New Roman" w:eastAsia="宋体" w:cs="Times New Roman"/>
                <w:bCs/>
                <w:kern w:val="0"/>
                <w:sz w:val="21"/>
                <w:szCs w:val="21"/>
                <w:lang w:eastAsia="zh-CN"/>
              </w:rPr>
              <w:t>柴油</w:t>
            </w:r>
            <w:r>
              <w:rPr>
                <w:rFonts w:hint="eastAsia" w:ascii="Times New Roman" w:hAnsi="Times New Roman" w:eastAsia="宋体" w:cs="Times New Roman"/>
                <w:bCs/>
                <w:sz w:val="21"/>
                <w:szCs w:val="21"/>
                <w:lang w:eastAsia="zh-CN"/>
              </w:rPr>
              <w:t>发电机房</w:t>
            </w:r>
          </w:p>
        </w:tc>
        <w:tc>
          <w:tcPr>
            <w:tcW w:w="593" w:type="pct"/>
            <w:tcBorders>
              <w:top w:val="single" w:color="000000" w:sz="4" w:space="0"/>
              <w:left w:val="single" w:color="000000" w:sz="4" w:space="0"/>
              <w:bottom w:val="single" w:color="000000" w:sz="4" w:space="0"/>
              <w:right w:val="single" w:color="000000" w:sz="4" w:space="0"/>
            </w:tcBorders>
            <w:vAlign w:val="center"/>
          </w:tcPr>
          <w:p w14:paraId="71C05C3C">
            <w:pPr>
              <w:pStyle w:val="93"/>
              <w:autoSpaceDE/>
              <w:autoSpaceDN/>
              <w:spacing w:line="300" w:lineRule="exact"/>
              <w:rPr>
                <w:rFonts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eastAsia="zh-CN"/>
              </w:rPr>
              <w:t>桶装柴油</w:t>
            </w:r>
          </w:p>
        </w:tc>
        <w:tc>
          <w:tcPr>
            <w:tcW w:w="782" w:type="pct"/>
            <w:tcBorders>
              <w:top w:val="single" w:color="000000" w:sz="4" w:space="0"/>
              <w:left w:val="single" w:color="000000" w:sz="4" w:space="0"/>
              <w:bottom w:val="single" w:color="000000" w:sz="4" w:space="0"/>
              <w:right w:val="single" w:color="000000" w:sz="4" w:space="0"/>
            </w:tcBorders>
            <w:vAlign w:val="center"/>
          </w:tcPr>
          <w:p w14:paraId="61D795B8">
            <w:pPr>
              <w:pStyle w:val="93"/>
              <w:autoSpaceDE/>
              <w:autoSpaceDN/>
              <w:spacing w:line="300" w:lineRule="exact"/>
              <w:rPr>
                <w:rFonts w:ascii="Times New Roman" w:hAnsi="Times New Roman" w:eastAsia="宋体" w:cs="Times New Roman"/>
                <w:bCs/>
                <w:sz w:val="21"/>
                <w:szCs w:val="21"/>
                <w:lang w:eastAsia="zh-CN" w:bidi="zh-CN"/>
              </w:rPr>
            </w:pPr>
            <w:r>
              <w:rPr>
                <w:rFonts w:hint="eastAsia" w:ascii="Times New Roman" w:hAnsi="Times New Roman" w:eastAsia="宋体" w:cs="Times New Roman"/>
                <w:bCs/>
                <w:sz w:val="21"/>
                <w:szCs w:val="21"/>
                <w:lang w:eastAsia="zh-CN"/>
              </w:rPr>
              <w:t>柴油</w:t>
            </w:r>
          </w:p>
        </w:tc>
        <w:tc>
          <w:tcPr>
            <w:tcW w:w="724" w:type="pct"/>
            <w:tcBorders>
              <w:top w:val="single" w:color="000000" w:sz="4" w:space="0"/>
              <w:left w:val="single" w:color="000000" w:sz="4" w:space="0"/>
              <w:bottom w:val="single" w:color="000000" w:sz="4" w:space="0"/>
              <w:right w:val="single" w:color="000000" w:sz="4" w:space="0"/>
            </w:tcBorders>
            <w:vAlign w:val="center"/>
          </w:tcPr>
          <w:p w14:paraId="79B0DE4F">
            <w:pPr>
              <w:pStyle w:val="93"/>
              <w:autoSpaceDE/>
              <w:autoSpaceDN/>
              <w:spacing w:line="300" w:lineRule="exact"/>
              <w:rPr>
                <w:rFonts w:ascii="Times New Roman" w:hAnsi="Times New Roman" w:eastAsia="宋体" w:cs="Times New Roman"/>
                <w:bCs/>
                <w:sz w:val="21"/>
                <w:szCs w:val="21"/>
                <w:lang w:val="zh-CN" w:eastAsia="zh-CN" w:bidi="zh-CN"/>
              </w:rPr>
            </w:pPr>
            <w:r>
              <w:rPr>
                <w:rFonts w:ascii="Times New Roman" w:hAnsi="Times New Roman" w:eastAsia="宋体" w:cs="Times New Roman"/>
                <w:bCs/>
                <w:sz w:val="21"/>
                <w:szCs w:val="21"/>
                <w:lang w:eastAsia="zh-CN"/>
              </w:rPr>
              <w:t>泄漏</w:t>
            </w:r>
            <w:r>
              <w:rPr>
                <w:rFonts w:ascii="Times New Roman" w:hAnsi="Times New Roman" w:eastAsia="宋体" w:cs="Times New Roman"/>
                <w:bCs/>
                <w:sz w:val="21"/>
                <w:szCs w:val="21"/>
              </w:rPr>
              <w:t>、火灾、爆炸</w:t>
            </w:r>
          </w:p>
        </w:tc>
        <w:tc>
          <w:tcPr>
            <w:tcW w:w="763" w:type="pct"/>
            <w:tcBorders>
              <w:top w:val="single" w:color="000000" w:sz="4" w:space="0"/>
              <w:left w:val="single" w:color="000000" w:sz="4" w:space="0"/>
              <w:bottom w:val="single" w:color="000000" w:sz="4" w:space="0"/>
              <w:right w:val="single" w:color="000000" w:sz="4" w:space="0"/>
            </w:tcBorders>
            <w:vAlign w:val="center"/>
          </w:tcPr>
          <w:p w14:paraId="7D5AB380">
            <w:pPr>
              <w:pStyle w:val="93"/>
              <w:autoSpaceDE/>
              <w:autoSpaceDN/>
              <w:spacing w:line="300" w:lineRule="exact"/>
              <w:rPr>
                <w:rFonts w:ascii="Times New Roman" w:hAnsi="Times New Roman" w:eastAsia="宋体" w:cs="Times New Roman"/>
                <w:bCs/>
                <w:sz w:val="21"/>
                <w:szCs w:val="21"/>
                <w:lang w:val="zh-CN" w:eastAsia="zh-CN" w:bidi="zh-CN"/>
              </w:rPr>
            </w:pPr>
            <w:r>
              <w:rPr>
                <w:rFonts w:ascii="Times New Roman" w:hAnsi="Times New Roman" w:eastAsia="宋体" w:cs="Times New Roman"/>
                <w:bCs/>
                <w:sz w:val="21"/>
                <w:szCs w:val="21"/>
              </w:rPr>
              <w:t>大气扩散</w:t>
            </w:r>
          </w:p>
        </w:tc>
        <w:tc>
          <w:tcPr>
            <w:tcW w:w="680" w:type="pct"/>
            <w:tcBorders>
              <w:top w:val="single" w:color="000000" w:sz="4" w:space="0"/>
              <w:left w:val="single" w:color="000000" w:sz="4" w:space="0"/>
              <w:bottom w:val="single" w:color="000000" w:sz="4" w:space="0"/>
              <w:right w:val="single" w:color="000000" w:sz="4" w:space="0"/>
            </w:tcBorders>
            <w:vAlign w:val="center"/>
          </w:tcPr>
          <w:p w14:paraId="6AFF6B70">
            <w:pPr>
              <w:pStyle w:val="93"/>
              <w:autoSpaceDE/>
              <w:autoSpaceDN/>
              <w:spacing w:line="300" w:lineRule="exact"/>
              <w:rPr>
                <w:rFonts w:ascii="Times New Roman" w:hAnsi="Times New Roman" w:eastAsia="宋体" w:cs="Times New Roman"/>
                <w:bCs/>
                <w:sz w:val="21"/>
                <w:szCs w:val="21"/>
                <w:lang w:val="zh-CN" w:eastAsia="zh-CN" w:bidi="zh-CN"/>
              </w:rPr>
            </w:pPr>
            <w:r>
              <w:rPr>
                <w:rFonts w:ascii="Times New Roman" w:hAnsi="Times New Roman" w:eastAsia="宋体" w:cs="Times New Roman"/>
                <w:bCs/>
                <w:sz w:val="21"/>
                <w:szCs w:val="21"/>
              </w:rPr>
              <w:t>大气</w:t>
            </w:r>
          </w:p>
        </w:tc>
        <w:tc>
          <w:tcPr>
            <w:tcW w:w="822" w:type="pct"/>
            <w:tcBorders>
              <w:top w:val="single" w:color="000000" w:sz="4" w:space="0"/>
              <w:left w:val="single" w:color="000000" w:sz="4" w:space="0"/>
              <w:bottom w:val="single" w:color="000000" w:sz="4" w:space="0"/>
              <w:right w:val="nil"/>
            </w:tcBorders>
            <w:vAlign w:val="center"/>
          </w:tcPr>
          <w:p w14:paraId="6CDB5DE0">
            <w:pPr>
              <w:pStyle w:val="93"/>
              <w:autoSpaceDE/>
              <w:autoSpaceDN/>
              <w:spacing w:line="300" w:lineRule="exact"/>
              <w:rPr>
                <w:rFonts w:ascii="Times New Roman" w:hAnsi="Times New Roman" w:eastAsia="宋体" w:cs="Times New Roman"/>
                <w:bCs/>
                <w:sz w:val="21"/>
                <w:szCs w:val="21"/>
              </w:rPr>
            </w:pPr>
            <w:r>
              <w:rPr>
                <w:rFonts w:ascii="Times New Roman" w:hAnsi="Times New Roman" w:eastAsia="宋体" w:cs="Times New Roman"/>
                <w:bCs/>
                <w:sz w:val="21"/>
                <w:szCs w:val="21"/>
              </w:rPr>
              <w:t>1×10</w:t>
            </w:r>
            <w:r>
              <w:rPr>
                <w:rFonts w:hint="eastAsia" w:ascii="Times New Roman" w:hAnsi="Times New Roman" w:eastAsia="宋体" w:cs="Times New Roman"/>
                <w:bCs/>
                <w:sz w:val="21"/>
                <w:szCs w:val="21"/>
                <w:vertAlign w:val="superscript"/>
                <w:lang w:eastAsia="zh-CN"/>
              </w:rPr>
              <w:t>-6</w:t>
            </w:r>
            <w:r>
              <w:rPr>
                <w:rFonts w:ascii="Times New Roman" w:hAnsi="Times New Roman" w:eastAsia="宋体" w:cs="Times New Roman"/>
                <w:bCs/>
                <w:sz w:val="21"/>
                <w:szCs w:val="21"/>
              </w:rPr>
              <w:t>/(m•a)</w:t>
            </w:r>
          </w:p>
        </w:tc>
      </w:tr>
      <w:tr w14:paraId="5F9A316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633" w:type="pct"/>
            <w:vMerge w:val="restart"/>
            <w:tcBorders>
              <w:top w:val="single" w:color="000000" w:sz="4" w:space="0"/>
              <w:left w:val="nil"/>
              <w:right w:val="single" w:color="000000" w:sz="4" w:space="0"/>
            </w:tcBorders>
            <w:vAlign w:val="center"/>
          </w:tcPr>
          <w:p w14:paraId="22D5A9A3">
            <w:pPr>
              <w:pStyle w:val="93"/>
              <w:autoSpaceDE/>
              <w:autoSpaceDN/>
              <w:spacing w:line="300" w:lineRule="exact"/>
              <w:rPr>
                <w:rFonts w:ascii="Times New Roman" w:hAnsi="Times New Roman" w:eastAsia="宋体" w:cs="Times New Roman"/>
                <w:bCs/>
                <w:sz w:val="21"/>
                <w:szCs w:val="21"/>
              </w:rPr>
            </w:pPr>
            <w:r>
              <w:rPr>
                <w:rFonts w:ascii="Times New Roman" w:hAnsi="Times New Roman" w:eastAsia="宋体" w:cs="Times New Roman"/>
                <w:bCs/>
                <w:sz w:val="21"/>
                <w:szCs w:val="21"/>
              </w:rPr>
              <w:t>废水治理措施</w:t>
            </w:r>
          </w:p>
        </w:tc>
        <w:tc>
          <w:tcPr>
            <w:tcW w:w="593" w:type="pct"/>
            <w:vMerge w:val="restart"/>
            <w:tcBorders>
              <w:top w:val="single" w:color="000000" w:sz="4" w:space="0"/>
              <w:left w:val="single" w:color="000000" w:sz="4" w:space="0"/>
              <w:right w:val="single" w:color="000000" w:sz="4" w:space="0"/>
            </w:tcBorders>
            <w:vAlign w:val="center"/>
          </w:tcPr>
          <w:p w14:paraId="01A117A2">
            <w:pPr>
              <w:pStyle w:val="93"/>
              <w:autoSpaceDE/>
              <w:autoSpaceDN/>
              <w:spacing w:line="300" w:lineRule="exact"/>
              <w:rPr>
                <w:rFonts w:ascii="Times New Roman" w:hAnsi="Times New Roman" w:eastAsia="宋体" w:cs="Times New Roman"/>
                <w:bCs/>
                <w:sz w:val="21"/>
                <w:szCs w:val="21"/>
                <w:lang w:eastAsia="zh-CN"/>
              </w:rPr>
            </w:pPr>
            <w:r>
              <w:rPr>
                <w:rFonts w:ascii="Times New Roman" w:hAnsi="Times New Roman" w:eastAsia="宋体" w:cs="Times New Roman"/>
                <w:bCs/>
                <w:sz w:val="21"/>
                <w:szCs w:val="21"/>
                <w:lang w:eastAsia="zh-CN"/>
              </w:rPr>
              <w:t>污水处理站</w:t>
            </w:r>
          </w:p>
        </w:tc>
        <w:tc>
          <w:tcPr>
            <w:tcW w:w="782" w:type="pct"/>
            <w:tcBorders>
              <w:top w:val="single" w:color="000000" w:sz="4" w:space="0"/>
              <w:left w:val="single" w:color="000000" w:sz="4" w:space="0"/>
              <w:bottom w:val="single" w:color="000000" w:sz="4" w:space="0"/>
              <w:right w:val="single" w:color="000000" w:sz="4" w:space="0"/>
            </w:tcBorders>
            <w:vAlign w:val="center"/>
          </w:tcPr>
          <w:p w14:paraId="0A243ECF">
            <w:pPr>
              <w:pStyle w:val="93"/>
              <w:autoSpaceDE/>
              <w:autoSpaceDN/>
              <w:spacing w:line="300" w:lineRule="exact"/>
              <w:rPr>
                <w:rFonts w:ascii="Times New Roman" w:hAnsi="Times New Roman" w:eastAsia="宋体" w:cs="Times New Roman"/>
                <w:bCs/>
                <w:sz w:val="21"/>
                <w:szCs w:val="21"/>
                <w:lang w:val="zh-CN" w:eastAsia="zh-CN" w:bidi="zh-CN"/>
              </w:rPr>
            </w:pPr>
            <w:r>
              <w:rPr>
                <w:rFonts w:ascii="Times New Roman" w:hAnsi="Times New Roman" w:eastAsia="宋体" w:cs="Times New Roman"/>
                <w:bCs/>
                <w:sz w:val="21"/>
                <w:szCs w:val="21"/>
              </w:rPr>
              <w:t>COD、氨氮</w:t>
            </w:r>
          </w:p>
        </w:tc>
        <w:tc>
          <w:tcPr>
            <w:tcW w:w="724" w:type="pct"/>
            <w:tcBorders>
              <w:top w:val="single" w:color="000000" w:sz="4" w:space="0"/>
              <w:left w:val="single" w:color="000000" w:sz="4" w:space="0"/>
              <w:bottom w:val="single" w:color="000000" w:sz="4" w:space="0"/>
              <w:right w:val="single" w:color="000000" w:sz="4" w:space="0"/>
            </w:tcBorders>
            <w:vAlign w:val="center"/>
          </w:tcPr>
          <w:p w14:paraId="546439C9">
            <w:pPr>
              <w:pStyle w:val="93"/>
              <w:autoSpaceDE/>
              <w:autoSpaceDN/>
              <w:spacing w:line="300" w:lineRule="exact"/>
              <w:rPr>
                <w:rFonts w:ascii="Times New Roman" w:hAnsi="Times New Roman" w:eastAsia="宋体" w:cs="Times New Roman"/>
                <w:bCs/>
                <w:sz w:val="21"/>
                <w:szCs w:val="21"/>
                <w:lang w:val="zh-CN" w:eastAsia="zh-CN" w:bidi="zh-CN"/>
              </w:rPr>
            </w:pPr>
            <w:r>
              <w:rPr>
                <w:rFonts w:ascii="Times New Roman" w:hAnsi="Times New Roman" w:eastAsia="宋体" w:cs="Times New Roman"/>
                <w:bCs/>
                <w:sz w:val="21"/>
                <w:szCs w:val="21"/>
                <w:lang w:eastAsia="zh-CN"/>
              </w:rPr>
              <w:t>泄漏</w:t>
            </w:r>
          </w:p>
        </w:tc>
        <w:tc>
          <w:tcPr>
            <w:tcW w:w="763" w:type="pct"/>
            <w:tcBorders>
              <w:top w:val="single" w:color="000000" w:sz="4" w:space="0"/>
              <w:left w:val="single" w:color="000000" w:sz="4" w:space="0"/>
              <w:bottom w:val="single" w:color="000000" w:sz="4" w:space="0"/>
              <w:right w:val="single" w:color="000000" w:sz="4" w:space="0"/>
            </w:tcBorders>
            <w:vAlign w:val="center"/>
          </w:tcPr>
          <w:p w14:paraId="2AEC9CD9">
            <w:pPr>
              <w:pStyle w:val="93"/>
              <w:autoSpaceDE/>
              <w:autoSpaceDN/>
              <w:spacing w:line="300" w:lineRule="exact"/>
              <w:rPr>
                <w:rFonts w:ascii="Times New Roman" w:hAnsi="Times New Roman" w:eastAsia="宋体" w:cs="Times New Roman"/>
                <w:bCs/>
                <w:sz w:val="21"/>
                <w:szCs w:val="21"/>
                <w:lang w:val="zh-CN" w:eastAsia="zh-CN" w:bidi="zh-CN"/>
              </w:rPr>
            </w:pPr>
            <w:r>
              <w:rPr>
                <w:rFonts w:ascii="Times New Roman" w:hAnsi="Times New Roman" w:eastAsia="宋体" w:cs="Times New Roman"/>
                <w:bCs/>
                <w:sz w:val="21"/>
                <w:szCs w:val="21"/>
              </w:rPr>
              <w:t>漫流、渗透、吸收</w:t>
            </w:r>
          </w:p>
        </w:tc>
        <w:tc>
          <w:tcPr>
            <w:tcW w:w="680" w:type="pct"/>
            <w:tcBorders>
              <w:top w:val="single" w:color="000000" w:sz="4" w:space="0"/>
              <w:left w:val="single" w:color="000000" w:sz="4" w:space="0"/>
              <w:bottom w:val="single" w:color="000000" w:sz="4" w:space="0"/>
              <w:right w:val="single" w:color="000000" w:sz="4" w:space="0"/>
            </w:tcBorders>
            <w:vAlign w:val="center"/>
          </w:tcPr>
          <w:p w14:paraId="0C48295A">
            <w:pPr>
              <w:pStyle w:val="93"/>
              <w:autoSpaceDE/>
              <w:autoSpaceDN/>
              <w:spacing w:line="300" w:lineRule="exact"/>
              <w:rPr>
                <w:rFonts w:ascii="Times New Roman" w:hAnsi="Times New Roman" w:eastAsia="宋体" w:cs="Times New Roman"/>
                <w:bCs/>
                <w:sz w:val="21"/>
                <w:szCs w:val="21"/>
                <w:lang w:val="zh-CN" w:eastAsia="zh-CN" w:bidi="zh-CN"/>
              </w:rPr>
            </w:pPr>
            <w:r>
              <w:rPr>
                <w:rFonts w:ascii="Times New Roman" w:hAnsi="Times New Roman" w:eastAsia="宋体" w:cs="Times New Roman"/>
                <w:bCs/>
                <w:sz w:val="21"/>
                <w:szCs w:val="21"/>
              </w:rPr>
              <w:t>地表水、地下水等</w:t>
            </w:r>
          </w:p>
        </w:tc>
        <w:tc>
          <w:tcPr>
            <w:tcW w:w="822" w:type="pct"/>
            <w:tcBorders>
              <w:top w:val="single" w:color="000000" w:sz="4" w:space="0"/>
              <w:left w:val="single" w:color="000000" w:sz="4" w:space="0"/>
              <w:bottom w:val="single" w:color="000000" w:sz="4" w:space="0"/>
              <w:right w:val="nil"/>
            </w:tcBorders>
            <w:vAlign w:val="center"/>
          </w:tcPr>
          <w:p w14:paraId="0C60C55F">
            <w:pPr>
              <w:pStyle w:val="93"/>
              <w:autoSpaceDE/>
              <w:autoSpaceDN/>
              <w:spacing w:line="300" w:lineRule="exact"/>
              <w:rPr>
                <w:rFonts w:ascii="Times New Roman" w:hAnsi="Times New Roman" w:eastAsia="宋体" w:cs="Times New Roman"/>
                <w:bCs/>
                <w:sz w:val="21"/>
                <w:szCs w:val="21"/>
              </w:rPr>
            </w:pPr>
            <w:r>
              <w:rPr>
                <w:rFonts w:ascii="Times New Roman" w:hAnsi="Times New Roman" w:eastAsia="宋体" w:cs="Times New Roman"/>
                <w:bCs/>
                <w:sz w:val="21"/>
                <w:szCs w:val="21"/>
              </w:rPr>
              <w:t>1×10</w:t>
            </w:r>
            <w:r>
              <w:rPr>
                <w:rFonts w:ascii="Times New Roman" w:hAnsi="Times New Roman" w:eastAsia="宋体" w:cs="Times New Roman"/>
                <w:bCs/>
                <w:sz w:val="21"/>
                <w:szCs w:val="21"/>
                <w:vertAlign w:val="superscript"/>
              </w:rPr>
              <w:t>-6</w:t>
            </w:r>
            <w:r>
              <w:rPr>
                <w:rFonts w:ascii="Times New Roman" w:hAnsi="Times New Roman" w:eastAsia="宋体" w:cs="Times New Roman"/>
                <w:bCs/>
                <w:sz w:val="21"/>
                <w:szCs w:val="21"/>
              </w:rPr>
              <w:t>/(m•a)</w:t>
            </w:r>
          </w:p>
        </w:tc>
      </w:tr>
      <w:tr w14:paraId="7C4D691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633" w:type="pct"/>
            <w:vMerge w:val="continue"/>
            <w:tcBorders>
              <w:left w:val="nil"/>
              <w:right w:val="single" w:color="000000" w:sz="4" w:space="0"/>
            </w:tcBorders>
            <w:vAlign w:val="center"/>
          </w:tcPr>
          <w:p w14:paraId="2818005E">
            <w:pPr>
              <w:pStyle w:val="93"/>
              <w:autoSpaceDE/>
              <w:autoSpaceDN/>
              <w:spacing w:line="300" w:lineRule="exact"/>
              <w:rPr>
                <w:rFonts w:ascii="Times New Roman" w:hAnsi="Times New Roman" w:eastAsia="宋体" w:cs="Times New Roman"/>
                <w:bCs/>
                <w:sz w:val="21"/>
                <w:szCs w:val="21"/>
              </w:rPr>
            </w:pPr>
          </w:p>
        </w:tc>
        <w:tc>
          <w:tcPr>
            <w:tcW w:w="593" w:type="pct"/>
            <w:vMerge w:val="continue"/>
            <w:tcBorders>
              <w:left w:val="single" w:color="000000" w:sz="4" w:space="0"/>
              <w:right w:val="single" w:color="000000" w:sz="4" w:space="0"/>
            </w:tcBorders>
            <w:vAlign w:val="center"/>
          </w:tcPr>
          <w:p w14:paraId="4FB50AEB">
            <w:pPr>
              <w:pStyle w:val="93"/>
              <w:autoSpaceDE/>
              <w:autoSpaceDN/>
              <w:spacing w:line="300" w:lineRule="exact"/>
              <w:rPr>
                <w:rFonts w:ascii="Times New Roman" w:hAnsi="Times New Roman" w:eastAsia="宋体" w:cs="Times New Roman"/>
                <w:bCs/>
                <w:sz w:val="21"/>
                <w:szCs w:val="21"/>
                <w:lang w:eastAsia="zh-CN"/>
              </w:rPr>
            </w:pPr>
          </w:p>
        </w:tc>
        <w:tc>
          <w:tcPr>
            <w:tcW w:w="782" w:type="pct"/>
            <w:tcBorders>
              <w:top w:val="single" w:color="000000" w:sz="4" w:space="0"/>
              <w:left w:val="single" w:color="000000" w:sz="4" w:space="0"/>
              <w:bottom w:val="single" w:color="000000" w:sz="4" w:space="0"/>
              <w:right w:val="single" w:color="000000" w:sz="4" w:space="0"/>
            </w:tcBorders>
            <w:vAlign w:val="center"/>
          </w:tcPr>
          <w:p w14:paraId="77556BC1">
            <w:pPr>
              <w:pStyle w:val="93"/>
              <w:autoSpaceDE/>
              <w:autoSpaceDN/>
              <w:spacing w:line="300" w:lineRule="exact"/>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沼气（甲烷）</w:t>
            </w:r>
          </w:p>
        </w:tc>
        <w:tc>
          <w:tcPr>
            <w:tcW w:w="724" w:type="pct"/>
            <w:tcBorders>
              <w:top w:val="single" w:color="000000" w:sz="4" w:space="0"/>
              <w:left w:val="single" w:color="000000" w:sz="4" w:space="0"/>
              <w:bottom w:val="single" w:color="000000" w:sz="4" w:space="0"/>
              <w:right w:val="single" w:color="000000" w:sz="4" w:space="0"/>
            </w:tcBorders>
            <w:vAlign w:val="center"/>
          </w:tcPr>
          <w:p w14:paraId="053BE4BC">
            <w:pPr>
              <w:pStyle w:val="93"/>
              <w:autoSpaceDE/>
              <w:autoSpaceDN/>
              <w:spacing w:line="300" w:lineRule="exact"/>
              <w:rPr>
                <w:rFonts w:ascii="Times New Roman" w:hAnsi="Times New Roman" w:eastAsia="宋体" w:cs="Times New Roman"/>
                <w:bCs/>
                <w:sz w:val="21"/>
                <w:szCs w:val="21"/>
                <w:lang w:eastAsia="zh-CN"/>
              </w:rPr>
            </w:pPr>
            <w:r>
              <w:rPr>
                <w:rFonts w:ascii="Times New Roman" w:hAnsi="Times New Roman" w:eastAsia="宋体" w:cs="Times New Roman"/>
                <w:bCs/>
                <w:sz w:val="21"/>
                <w:szCs w:val="21"/>
                <w:lang w:eastAsia="zh-CN"/>
              </w:rPr>
              <w:t>泄漏</w:t>
            </w:r>
          </w:p>
        </w:tc>
        <w:tc>
          <w:tcPr>
            <w:tcW w:w="763" w:type="pct"/>
            <w:tcBorders>
              <w:top w:val="single" w:color="000000" w:sz="4" w:space="0"/>
              <w:left w:val="single" w:color="000000" w:sz="4" w:space="0"/>
              <w:bottom w:val="single" w:color="000000" w:sz="4" w:space="0"/>
              <w:right w:val="single" w:color="000000" w:sz="4" w:space="0"/>
            </w:tcBorders>
            <w:vAlign w:val="center"/>
          </w:tcPr>
          <w:p w14:paraId="701BEFBC">
            <w:pPr>
              <w:pStyle w:val="93"/>
              <w:autoSpaceDE/>
              <w:autoSpaceDN/>
              <w:spacing w:line="300" w:lineRule="exact"/>
              <w:rPr>
                <w:rFonts w:ascii="Times New Roman" w:hAnsi="Times New Roman" w:eastAsia="宋体" w:cs="Times New Roman"/>
                <w:bCs/>
                <w:sz w:val="21"/>
                <w:szCs w:val="21"/>
              </w:rPr>
            </w:pPr>
            <w:r>
              <w:rPr>
                <w:rFonts w:ascii="Times New Roman" w:hAnsi="Times New Roman" w:eastAsia="宋体" w:cs="Times New Roman"/>
                <w:bCs/>
                <w:sz w:val="21"/>
                <w:szCs w:val="21"/>
              </w:rPr>
              <w:t>大气扩散</w:t>
            </w:r>
          </w:p>
        </w:tc>
        <w:tc>
          <w:tcPr>
            <w:tcW w:w="680" w:type="pct"/>
            <w:tcBorders>
              <w:top w:val="single" w:color="000000" w:sz="4" w:space="0"/>
              <w:left w:val="single" w:color="000000" w:sz="4" w:space="0"/>
              <w:bottom w:val="single" w:color="000000" w:sz="4" w:space="0"/>
              <w:right w:val="single" w:color="000000" w:sz="4" w:space="0"/>
            </w:tcBorders>
            <w:vAlign w:val="center"/>
          </w:tcPr>
          <w:p w14:paraId="718AF69A">
            <w:pPr>
              <w:pStyle w:val="93"/>
              <w:autoSpaceDE/>
              <w:autoSpaceDN/>
              <w:spacing w:line="300" w:lineRule="exact"/>
              <w:rPr>
                <w:rFonts w:ascii="Times New Roman" w:hAnsi="Times New Roman" w:eastAsia="宋体" w:cs="Times New Roman"/>
                <w:bCs/>
                <w:sz w:val="21"/>
                <w:szCs w:val="21"/>
              </w:rPr>
            </w:pPr>
            <w:r>
              <w:rPr>
                <w:rFonts w:ascii="Times New Roman" w:hAnsi="Times New Roman" w:eastAsia="宋体" w:cs="Times New Roman"/>
                <w:bCs/>
                <w:sz w:val="21"/>
                <w:szCs w:val="21"/>
              </w:rPr>
              <w:t>大气</w:t>
            </w:r>
          </w:p>
        </w:tc>
        <w:tc>
          <w:tcPr>
            <w:tcW w:w="822" w:type="pct"/>
            <w:tcBorders>
              <w:top w:val="single" w:color="000000" w:sz="4" w:space="0"/>
              <w:left w:val="single" w:color="000000" w:sz="4" w:space="0"/>
              <w:bottom w:val="single" w:color="000000" w:sz="4" w:space="0"/>
              <w:right w:val="nil"/>
            </w:tcBorders>
            <w:vAlign w:val="center"/>
          </w:tcPr>
          <w:p w14:paraId="32A68097">
            <w:pPr>
              <w:pStyle w:val="93"/>
              <w:autoSpaceDE/>
              <w:autoSpaceDN/>
              <w:spacing w:line="300" w:lineRule="exact"/>
              <w:rPr>
                <w:rFonts w:ascii="Times New Roman" w:hAnsi="Times New Roman" w:eastAsia="宋体" w:cs="Times New Roman"/>
                <w:bCs/>
                <w:sz w:val="21"/>
                <w:szCs w:val="21"/>
              </w:rPr>
            </w:pPr>
            <w:r>
              <w:rPr>
                <w:rFonts w:hint="eastAsia" w:ascii="Times New Roman" w:hAnsi="Times New Roman" w:eastAsia="宋体" w:cs="Times New Roman"/>
                <w:bCs/>
                <w:sz w:val="21"/>
                <w:szCs w:val="21"/>
                <w:lang w:val="en-US" w:eastAsia="zh-CN"/>
              </w:rPr>
              <w:t>1.25</w:t>
            </w:r>
            <w:r>
              <w:rPr>
                <w:rFonts w:ascii="Times New Roman" w:hAnsi="Times New Roman" w:eastAsia="宋体" w:cs="Times New Roman"/>
                <w:bCs/>
                <w:sz w:val="21"/>
                <w:szCs w:val="21"/>
              </w:rPr>
              <w:t>×10</w:t>
            </w:r>
            <w:r>
              <w:rPr>
                <w:rFonts w:hint="eastAsia" w:ascii="Times New Roman" w:hAnsi="Times New Roman" w:eastAsia="宋体" w:cs="Times New Roman"/>
                <w:bCs/>
                <w:sz w:val="21"/>
                <w:szCs w:val="21"/>
                <w:vertAlign w:val="superscript"/>
                <w:lang w:val="en-US" w:eastAsia="zh-CN"/>
              </w:rPr>
              <w:t>8</w:t>
            </w:r>
            <w:r>
              <w:rPr>
                <w:rFonts w:ascii="Times New Roman" w:hAnsi="Times New Roman" w:eastAsia="宋体" w:cs="Times New Roman"/>
                <w:bCs/>
                <w:sz w:val="21"/>
                <w:szCs w:val="21"/>
              </w:rPr>
              <w:t>/(m•a)</w:t>
            </w:r>
          </w:p>
        </w:tc>
      </w:tr>
    </w:tbl>
    <w:p w14:paraId="215A899B">
      <w:pPr>
        <w:pStyle w:val="7"/>
        <w:spacing w:line="480" w:lineRule="exact"/>
      </w:pPr>
      <w:r>
        <w:rPr>
          <w:rFonts w:hint="eastAsia"/>
        </w:rPr>
        <w:t>5</w:t>
      </w:r>
      <w:r>
        <w:t xml:space="preserve">.9.2 </w:t>
      </w:r>
      <w:r>
        <w:rPr>
          <w:rFonts w:hint="eastAsia"/>
        </w:rPr>
        <w:t>环境风险影响分析</w:t>
      </w:r>
    </w:p>
    <w:p w14:paraId="497B4BFC">
      <w:pPr>
        <w:pStyle w:val="8"/>
        <w:spacing w:line="480" w:lineRule="exact"/>
      </w:pPr>
      <w:r>
        <w:rPr>
          <w:rFonts w:hint="eastAsia"/>
        </w:rPr>
        <w:t>5</w:t>
      </w:r>
      <w:r>
        <w:t>.9.2.1 废水事故排放对地表水</w:t>
      </w:r>
      <w:r>
        <w:rPr>
          <w:rFonts w:hint="eastAsia"/>
        </w:rPr>
        <w:t>环境</w:t>
      </w:r>
      <w:r>
        <w:t>影响分析</w:t>
      </w:r>
    </w:p>
    <w:p w14:paraId="39AD67AF">
      <w:pPr>
        <w:spacing w:line="480" w:lineRule="exact"/>
        <w:ind w:firstLine="480" w:firstLineChars="200"/>
      </w:pPr>
      <w:r>
        <w:t>本项目所排废水包括</w:t>
      </w:r>
      <w:r>
        <w:rPr>
          <w:rFonts w:hint="eastAsia"/>
        </w:rPr>
        <w:t>冲洗废水</w:t>
      </w:r>
      <w:r>
        <w:t>、</w:t>
      </w:r>
      <w:r>
        <w:rPr>
          <w:rFonts w:hint="eastAsia"/>
        </w:rPr>
        <w:t>喷淋废水、</w:t>
      </w:r>
      <w:r>
        <w:t>生活污水</w:t>
      </w:r>
      <w:r>
        <w:rPr>
          <w:rFonts w:hint="eastAsia"/>
        </w:rPr>
        <w:t>及初期雨水</w:t>
      </w:r>
      <w:r>
        <w:t>，废水产生总量为</w:t>
      </w:r>
      <w:r>
        <w:rPr>
          <w:rFonts w:hint="eastAsia"/>
        </w:rPr>
        <w:t>1361.4</w:t>
      </w:r>
      <w:r>
        <w:t>t/a。建设单位拟设1个</w:t>
      </w:r>
      <w:r>
        <w:rPr>
          <w:color w:val="000000" w:themeColor="text1"/>
          <w14:textFill>
            <w14:solidFill>
              <w14:schemeClr w14:val="tx1"/>
            </w14:solidFill>
          </w14:textFill>
        </w:rPr>
        <w:t>容量为</w:t>
      </w:r>
      <w:r>
        <w:rPr>
          <w:rFonts w:hint="eastAsia"/>
          <w:color w:val="000000" w:themeColor="text1"/>
          <w14:textFill>
            <w14:solidFill>
              <w14:schemeClr w14:val="tx1"/>
            </w14:solidFill>
          </w14:textFill>
        </w:rPr>
        <w:t>150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的应</w:t>
      </w:r>
      <w:r>
        <w:t>急事故池。在污水处理区发生事故状态下，产生的事故废水可全部排入应急事故池，不会排入外部地表水环境，因此事故发生时不会对周围水环境产生影响。综上所述，本项目污水处理设施事故风险较小。</w:t>
      </w:r>
    </w:p>
    <w:p w14:paraId="1EC6FFDD">
      <w:pPr>
        <w:pStyle w:val="8"/>
        <w:pageBreakBefore w:val="0"/>
        <w:kinsoku/>
        <w:wordWrap/>
        <w:overflowPunct/>
        <w:topLinePunct w:val="0"/>
        <w:autoSpaceDE/>
        <w:autoSpaceDN/>
        <w:bidi w:val="0"/>
        <w:adjustRightInd/>
        <w:snapToGrid/>
        <w:spacing w:line="460" w:lineRule="exact"/>
        <w:textAlignment w:val="auto"/>
      </w:pPr>
      <w:r>
        <w:rPr>
          <w:rFonts w:hint="eastAsia"/>
        </w:rPr>
        <w:t>5</w:t>
      </w:r>
      <w:r>
        <w:t>.9.2.</w:t>
      </w:r>
      <w:r>
        <w:rPr>
          <w:rFonts w:hint="eastAsia"/>
        </w:rPr>
        <w:t>2</w:t>
      </w:r>
      <w:r>
        <w:t>废水</w:t>
      </w:r>
      <w:r>
        <w:rPr>
          <w:rFonts w:hint="eastAsia"/>
        </w:rPr>
        <w:t>泄漏对周边地下水环境</w:t>
      </w:r>
      <w:r>
        <w:t>影响分析</w:t>
      </w:r>
    </w:p>
    <w:p w14:paraId="41CA0034">
      <w:pPr>
        <w:pageBreakBefore w:val="0"/>
        <w:widowControl/>
        <w:kinsoku/>
        <w:wordWrap/>
        <w:overflowPunct/>
        <w:topLinePunct w:val="0"/>
        <w:autoSpaceDE/>
        <w:autoSpaceDN/>
        <w:bidi w:val="0"/>
        <w:adjustRightInd/>
        <w:snapToGrid/>
        <w:spacing w:line="460" w:lineRule="exact"/>
        <w:ind w:firstLine="480" w:firstLineChars="200"/>
        <w:jc w:val="left"/>
        <w:textAlignment w:val="auto"/>
        <w:rPr>
          <w:rFonts w:ascii="Times New Roman" w:hAnsi="Times New Roman" w:eastAsia="宋体" w:cs="Times New Roman"/>
          <w:color w:val="000000"/>
          <w:kern w:val="0"/>
          <w:szCs w:val="24"/>
          <w:lang w:bidi="ar"/>
        </w:rPr>
      </w:pPr>
      <w:r>
        <w:rPr>
          <w:rFonts w:ascii="Times New Roman" w:hAnsi="Times New Roman" w:cs="Times New Roman"/>
          <w:szCs w:val="24"/>
        </w:rPr>
        <w:t>本评价主要考虑污水处理站防渗层出现裂缝，造成废水泄漏，预测其对地下水的影响。详见章节5.</w:t>
      </w:r>
      <w:r>
        <w:rPr>
          <w:rFonts w:hint="eastAsia" w:ascii="Times New Roman" w:hAnsi="Times New Roman" w:cs="Times New Roman"/>
          <w:szCs w:val="24"/>
        </w:rPr>
        <w:t>6.4</w:t>
      </w:r>
      <w:r>
        <w:rPr>
          <w:rFonts w:ascii="Times New Roman" w:hAnsi="Times New Roman" w:cs="Times New Roman"/>
          <w:szCs w:val="24"/>
        </w:rPr>
        <w:t>地下水环境影响分析。</w:t>
      </w:r>
    </w:p>
    <w:p w14:paraId="278B3B42">
      <w:pPr>
        <w:pageBreakBefore w:val="0"/>
        <w:widowControl/>
        <w:kinsoku/>
        <w:wordWrap/>
        <w:overflowPunct/>
        <w:topLinePunct w:val="0"/>
        <w:autoSpaceDE/>
        <w:autoSpaceDN/>
        <w:bidi w:val="0"/>
        <w:adjustRightInd/>
        <w:snapToGrid/>
        <w:spacing w:line="460" w:lineRule="exact"/>
        <w:ind w:firstLine="480" w:firstLineChars="200"/>
        <w:jc w:val="left"/>
        <w:textAlignment w:val="auto"/>
        <w:rPr>
          <w:rFonts w:ascii="Times New Roman" w:hAnsi="Times New Roman" w:eastAsia="宋体" w:cs="Times New Roman"/>
          <w:color w:val="000000"/>
          <w:kern w:val="0"/>
          <w:szCs w:val="24"/>
          <w:lang w:bidi="ar"/>
        </w:rPr>
      </w:pPr>
      <w:r>
        <w:rPr>
          <w:rFonts w:ascii="Times New Roman" w:hAnsi="Times New Roman" w:cs="Times New Roman"/>
          <w:kern w:val="0"/>
        </w:rPr>
        <w:t>预测结果显示，在非正常工况下，随着时间的增加，在污染物泄漏100天之内的超标扩散距离最大值为</w:t>
      </w:r>
      <w:r>
        <w:rPr>
          <w:rFonts w:hint="eastAsia" w:ascii="Times New Roman" w:hAnsi="Times New Roman" w:cs="Times New Roman"/>
          <w:kern w:val="0"/>
        </w:rPr>
        <w:t>98</w:t>
      </w:r>
      <w:r>
        <w:rPr>
          <w:rFonts w:ascii="Times New Roman" w:hAnsi="Times New Roman" w:cs="Times New Roman"/>
          <w:kern w:val="0"/>
        </w:rPr>
        <w:t>m</w:t>
      </w:r>
      <w:r>
        <w:rPr>
          <w:rFonts w:hint="eastAsia" w:ascii="Times New Roman" w:hAnsi="Times New Roman" w:cs="Times New Roman"/>
          <w:kern w:val="0"/>
        </w:rPr>
        <w:t>；</w:t>
      </w:r>
      <w:r>
        <w:rPr>
          <w:rFonts w:ascii="Times New Roman" w:hAnsi="Times New Roman" w:cs="Times New Roman"/>
          <w:kern w:val="0"/>
        </w:rPr>
        <w:t>如果厂区污水处理站发生渗漏/泄漏未被发现或未被及时控制，污染物将形成持续污染源，</w:t>
      </w:r>
      <w:r>
        <w:rPr>
          <w:rFonts w:hint="eastAsia" w:ascii="Times New Roman" w:hAnsi="Times New Roman" w:cs="Times New Roman"/>
          <w:kern w:val="0"/>
        </w:rPr>
        <w:t>1000d、3650d</w:t>
      </w:r>
      <w:r>
        <w:rPr>
          <w:rFonts w:ascii="Times New Roman" w:hAnsi="Times New Roman" w:cs="Times New Roman"/>
          <w:kern w:val="0"/>
        </w:rPr>
        <w:t>后，污染因子的超标扩散距离均较大，最大值为</w:t>
      </w:r>
      <w:r>
        <w:rPr>
          <w:rFonts w:hint="eastAsia" w:ascii="Times New Roman" w:hAnsi="Times New Roman" w:cs="Times New Roman"/>
          <w:kern w:val="0"/>
        </w:rPr>
        <w:t>755</w:t>
      </w:r>
      <w:r>
        <w:rPr>
          <w:rFonts w:ascii="Times New Roman" w:hAnsi="Times New Roman" w:cs="Times New Roman"/>
          <w:kern w:val="0"/>
        </w:rPr>
        <w:t>m，污染物将会对厂内附近的地下水水体造成不同程度的污染。</w:t>
      </w:r>
    </w:p>
    <w:p w14:paraId="03D49B7E">
      <w:pPr>
        <w:pageBreakBefore w:val="0"/>
        <w:widowControl/>
        <w:kinsoku/>
        <w:wordWrap/>
        <w:overflowPunct/>
        <w:topLinePunct w:val="0"/>
        <w:autoSpaceDE/>
        <w:autoSpaceDN/>
        <w:bidi w:val="0"/>
        <w:adjustRightInd/>
        <w:snapToGrid/>
        <w:spacing w:line="460" w:lineRule="exact"/>
        <w:ind w:firstLine="480" w:firstLineChars="200"/>
        <w:jc w:val="left"/>
        <w:textAlignment w:val="auto"/>
        <w:rPr>
          <w:rFonts w:ascii="Times New Roman" w:hAnsi="Times New Roman" w:eastAsia="宋体" w:cs="Times New Roman"/>
          <w:szCs w:val="24"/>
        </w:rPr>
      </w:pPr>
      <w:r>
        <w:rPr>
          <w:rFonts w:ascii="Times New Roman" w:hAnsi="Times New Roman" w:eastAsia="宋体" w:cs="Times New Roman"/>
          <w:szCs w:val="24"/>
        </w:rPr>
        <w:t>因此本环评要求在鸡舍区、鸡粪</w:t>
      </w:r>
      <w:r>
        <w:rPr>
          <w:rFonts w:hint="eastAsia" w:ascii="Times New Roman" w:hAnsi="Times New Roman" w:eastAsia="宋体" w:cs="Times New Roman"/>
          <w:szCs w:val="24"/>
        </w:rPr>
        <w:t>暂存库</w:t>
      </w:r>
      <w:r>
        <w:rPr>
          <w:rFonts w:ascii="Times New Roman" w:hAnsi="Times New Roman" w:eastAsia="宋体" w:cs="Times New Roman"/>
          <w:szCs w:val="24"/>
        </w:rPr>
        <w:t>以及污水处理站进行厂区硬化，按要求做好防渗，避免废水泄漏造成土壤污染及地下水污染。</w:t>
      </w:r>
    </w:p>
    <w:p w14:paraId="25D4790A">
      <w:pPr>
        <w:pStyle w:val="8"/>
        <w:pageBreakBefore w:val="0"/>
        <w:kinsoku/>
        <w:wordWrap/>
        <w:overflowPunct/>
        <w:topLinePunct w:val="0"/>
        <w:autoSpaceDE/>
        <w:autoSpaceDN/>
        <w:bidi w:val="0"/>
        <w:adjustRightInd/>
        <w:snapToGrid/>
        <w:spacing w:line="460" w:lineRule="exact"/>
        <w:textAlignment w:val="auto"/>
      </w:pPr>
      <w:r>
        <w:rPr>
          <w:rFonts w:hint="eastAsia"/>
        </w:rPr>
        <w:t>5</w:t>
      </w:r>
      <w:r>
        <w:t>.9.2.</w:t>
      </w:r>
      <w:r>
        <w:rPr>
          <w:rFonts w:hint="eastAsia"/>
        </w:rPr>
        <w:t>3</w:t>
      </w:r>
      <w:bookmarkStart w:id="132" w:name="_Toc5064"/>
      <w:bookmarkStart w:id="133" w:name="_Toc27325"/>
      <w:r>
        <w:rPr>
          <w:rFonts w:hint="eastAsia"/>
        </w:rPr>
        <w:t>雨水系统事故排放影响分析</w:t>
      </w:r>
      <w:bookmarkEnd w:id="132"/>
      <w:bookmarkEnd w:id="133"/>
    </w:p>
    <w:p w14:paraId="1ADE047E">
      <w:pPr>
        <w:pStyle w:val="104"/>
        <w:pageBreakBefore w:val="0"/>
        <w:kinsoku/>
        <w:wordWrap/>
        <w:overflowPunct/>
        <w:topLinePunct w:val="0"/>
        <w:autoSpaceDE/>
        <w:autoSpaceDN/>
        <w:bidi w:val="0"/>
        <w:adjustRightInd/>
        <w:snapToGrid/>
        <w:spacing w:line="460" w:lineRule="exact"/>
        <w:ind w:firstLine="480" w:firstLineChars="200"/>
        <w:textAlignment w:val="auto"/>
      </w:pPr>
      <w:r>
        <w:t>在事故状态下，由于管理和误操作等原因，可能会导致泄漏冲洗污染水和消防污染水通过雨水系统从雨水管网扩散，污染周边地表水环境。</w:t>
      </w:r>
    </w:p>
    <w:p w14:paraId="4C2DEF73">
      <w:pPr>
        <w:pStyle w:val="104"/>
        <w:pageBreakBefore w:val="0"/>
        <w:kinsoku/>
        <w:wordWrap/>
        <w:overflowPunct/>
        <w:topLinePunct w:val="0"/>
        <w:autoSpaceDE/>
        <w:autoSpaceDN/>
        <w:bidi w:val="0"/>
        <w:adjustRightInd/>
        <w:snapToGrid/>
        <w:spacing w:line="460" w:lineRule="exact"/>
        <w:ind w:firstLine="480" w:firstLineChars="200"/>
        <w:textAlignment w:val="auto"/>
      </w:pPr>
      <w:r>
        <w:t>本项目未污染雨水由厂内雨水管网就近排入沟渠，厂方应在雨水排放口设置切换阀、截流阀，一旦发生泄漏事故，如果溢出废水流淌，立即调整项目与雨水管网之间设置的切换阀，并设置应急事故池。将事故污水截留在厂区内，以截断事故情况下雨水系统排入外环境的途径。</w:t>
      </w:r>
    </w:p>
    <w:p w14:paraId="384CF928">
      <w:pPr>
        <w:pStyle w:val="104"/>
        <w:pageBreakBefore w:val="0"/>
        <w:kinsoku/>
        <w:wordWrap/>
        <w:overflowPunct/>
        <w:topLinePunct w:val="0"/>
        <w:autoSpaceDE/>
        <w:autoSpaceDN/>
        <w:bidi w:val="0"/>
        <w:adjustRightInd/>
        <w:snapToGrid/>
        <w:spacing w:line="460" w:lineRule="exact"/>
        <w:ind w:firstLine="480" w:firstLineChars="200"/>
        <w:textAlignment w:val="auto"/>
      </w:pPr>
      <w:r>
        <w:rPr>
          <w:rFonts w:hint="eastAsia"/>
        </w:rPr>
        <w:t>同时本项目设置</w:t>
      </w:r>
      <w:r>
        <w:rPr>
          <w:rFonts w:hint="eastAsia"/>
          <w:color w:val="000000" w:themeColor="text1"/>
          <w14:textFill>
            <w14:solidFill>
              <w14:schemeClr w14:val="tx1"/>
            </w14:solidFill>
          </w14:textFill>
        </w:rPr>
        <w:t>1个50</w:t>
      </w:r>
      <w:r>
        <w:rPr>
          <w:rFonts w:ascii="Times New Roman" w:hAnsi="Times New Roman" w:eastAsia="宋体" w:cs="Times New Roman"/>
          <w:color w:val="000000" w:themeColor="text1"/>
          <w:kern w:val="0"/>
          <w:szCs w:val="24"/>
          <w:lang w:bidi="ar"/>
          <w14:textFill>
            <w14:solidFill>
              <w14:schemeClr w14:val="tx1"/>
            </w14:solidFill>
          </w14:textFill>
        </w:rPr>
        <w:t>m</w:t>
      </w:r>
      <w:r>
        <w:rPr>
          <w:rFonts w:ascii="Times New Roman" w:hAnsi="Times New Roman" w:eastAsia="宋体" w:cs="Times New Roman"/>
          <w:color w:val="000000" w:themeColor="text1"/>
          <w:kern w:val="0"/>
          <w:szCs w:val="24"/>
          <w:vertAlign w:val="superscript"/>
          <w:lang w:bidi="ar"/>
          <w14:textFill>
            <w14:solidFill>
              <w14:schemeClr w14:val="tx1"/>
            </w14:solidFill>
          </w14:textFill>
        </w:rPr>
        <w:t>3</w:t>
      </w:r>
      <w:r>
        <w:rPr>
          <w:rFonts w:hint="eastAsia"/>
          <w:color w:val="000000" w:themeColor="text1"/>
          <w14:textFill>
            <w14:solidFill>
              <w14:schemeClr w14:val="tx1"/>
            </w14:solidFill>
          </w14:textFill>
        </w:rPr>
        <w:t>初期雨水</w:t>
      </w:r>
      <w:r>
        <w:rPr>
          <w:rFonts w:hint="eastAsia"/>
        </w:rPr>
        <w:t>收集池，用于收集厂区内可能受鸡粪污染的初期雨水，收集后的初期雨水进入厂区污水处理站处理后用于农田灌溉不外排。</w:t>
      </w:r>
    </w:p>
    <w:p w14:paraId="68EE6478">
      <w:pPr>
        <w:pStyle w:val="8"/>
        <w:pageBreakBefore w:val="0"/>
        <w:kinsoku/>
        <w:wordWrap/>
        <w:overflowPunct/>
        <w:topLinePunct w:val="0"/>
        <w:autoSpaceDE/>
        <w:autoSpaceDN/>
        <w:bidi w:val="0"/>
        <w:adjustRightInd/>
        <w:snapToGrid/>
        <w:spacing w:line="460" w:lineRule="exact"/>
        <w:textAlignment w:val="auto"/>
      </w:pPr>
      <w:r>
        <w:rPr>
          <w:rFonts w:hint="eastAsia"/>
        </w:rPr>
        <w:t>5</w:t>
      </w:r>
      <w:r>
        <w:t>.9.2.</w:t>
      </w:r>
      <w:r>
        <w:rPr>
          <w:rFonts w:hint="eastAsia"/>
        </w:rPr>
        <w:t>4废气处理设施故障环境风险分析</w:t>
      </w:r>
    </w:p>
    <w:p w14:paraId="2CD17AAC">
      <w:pPr>
        <w:pageBreakBefore w:val="0"/>
        <w:kinsoku/>
        <w:wordWrap/>
        <w:overflowPunct/>
        <w:topLinePunct w:val="0"/>
        <w:autoSpaceDE/>
        <w:autoSpaceDN/>
        <w:bidi w:val="0"/>
        <w:adjustRightInd/>
        <w:snapToGrid/>
        <w:spacing w:line="460" w:lineRule="exact"/>
        <w:ind w:firstLine="480" w:firstLineChars="200"/>
        <w:textAlignment w:val="auto"/>
      </w:pPr>
      <w:r>
        <w:rPr>
          <w:rFonts w:hint="eastAsia"/>
        </w:rPr>
        <w:t>项目污水处理站恶臭与鸡粪暂存</w:t>
      </w:r>
      <w:r>
        <w:t>库</w:t>
      </w:r>
      <w:r>
        <w:rPr>
          <w:rFonts w:hint="eastAsia"/>
        </w:rPr>
        <w:t>恶臭废气</w:t>
      </w:r>
      <w:r>
        <w:t>共同采用1套</w:t>
      </w:r>
      <w:r>
        <w:rPr>
          <w:rFonts w:hint="eastAsia"/>
        </w:rPr>
        <w:t>“</w:t>
      </w:r>
      <w:r>
        <w:t>生物除臭喷淋装置</w:t>
      </w:r>
      <w:r>
        <w:rPr>
          <w:rFonts w:hint="eastAsia"/>
        </w:rPr>
        <w:t>”</w:t>
      </w:r>
      <w:r>
        <w:t>处理</w:t>
      </w:r>
      <w:r>
        <w:rPr>
          <w:rFonts w:hint="eastAsia"/>
        </w:rPr>
        <w:t>，</w:t>
      </w:r>
      <w:r>
        <w:t>当</w:t>
      </w:r>
      <w:r>
        <w:rPr>
          <w:rFonts w:hint="eastAsia"/>
        </w:rPr>
        <w:t>“</w:t>
      </w:r>
      <w:r>
        <w:t>生物除臭喷淋装置</w:t>
      </w:r>
      <w:r>
        <w:rPr>
          <w:rFonts w:hint="eastAsia"/>
        </w:rPr>
        <w:t>”</w:t>
      </w:r>
      <w:r>
        <w:t>故障时，</w:t>
      </w:r>
      <w:r>
        <w:rPr>
          <w:rFonts w:ascii="Times New Roman" w:hAnsi="Times New Roman" w:cs="Times New Roman"/>
        </w:rPr>
        <w:t>未经</w:t>
      </w:r>
      <w:r>
        <w:rPr>
          <w:rFonts w:hint="eastAsia"/>
        </w:rPr>
        <w:t>处理的废气会扩散至周围大气环境中，通过前文对废气处理设施故障状态的预测，未经处理的废气将对周边居民和环境造成一定的影响。因此应加强废气处理设施的保养、维护，减少废气事故排放。</w:t>
      </w:r>
    </w:p>
    <w:p w14:paraId="3C53D856">
      <w:pPr>
        <w:pStyle w:val="8"/>
        <w:pageBreakBefore w:val="0"/>
        <w:kinsoku/>
        <w:wordWrap/>
        <w:overflowPunct/>
        <w:topLinePunct w:val="0"/>
        <w:autoSpaceDE/>
        <w:autoSpaceDN/>
        <w:bidi w:val="0"/>
        <w:adjustRightInd/>
        <w:snapToGrid/>
        <w:spacing w:line="460" w:lineRule="exact"/>
        <w:textAlignment w:val="auto"/>
      </w:pPr>
      <w:r>
        <w:rPr>
          <w:rFonts w:hint="eastAsia"/>
        </w:rPr>
        <w:t>5</w:t>
      </w:r>
      <w:r>
        <w:t>.9.2.</w:t>
      </w:r>
      <w:r>
        <w:rPr>
          <w:rFonts w:hint="eastAsia"/>
        </w:rPr>
        <w:t>5柴油泄漏发生火灾、爆炸事故环境风险分析</w:t>
      </w:r>
    </w:p>
    <w:p w14:paraId="15D4EE2E">
      <w:pPr>
        <w:pStyle w:val="104"/>
        <w:pageBreakBefore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cs="Times New Roman"/>
        </w:rPr>
      </w:pPr>
      <w:r>
        <w:rPr>
          <w:rFonts w:hint="eastAsia" w:ascii="Times New Roman" w:hAnsi="Times New Roman" w:cs="Times New Roman"/>
        </w:rPr>
        <w:t>本项目柴油储存在密闭的柴油储桶中，柴油为易燃物质，泄露后遇热源和明火有燃烧爆炸的危险。燃烧产物为二氧化碳、水，少量因不完全燃烧产生一氧化碳。废气进入大气环境，无其它次生伴生的反应。</w:t>
      </w:r>
    </w:p>
    <w:p w14:paraId="52789F97">
      <w:pPr>
        <w:pStyle w:val="104"/>
        <w:pageBreakBefore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cs="Times New Roman"/>
        </w:rPr>
      </w:pPr>
      <w:r>
        <w:rPr>
          <w:rFonts w:hint="eastAsia" w:ascii="Times New Roman" w:hAnsi="Times New Roman" w:cs="Times New Roman"/>
        </w:rPr>
        <w:t>此外发生火灾后救援过程会产生大量消防废水，若不及时收集，可能流出厂界进入河道，对地表水体造成污染。企业应针对火灾事故设置应急预案，及时汇报并采取应急措施，减轻事故带来的不利影响。</w:t>
      </w:r>
    </w:p>
    <w:p w14:paraId="59628C2E">
      <w:pPr>
        <w:pStyle w:val="8"/>
        <w:pageBreakBefore w:val="0"/>
        <w:kinsoku/>
        <w:wordWrap/>
        <w:overflowPunct/>
        <w:topLinePunct w:val="0"/>
        <w:autoSpaceDE/>
        <w:autoSpaceDN/>
        <w:bidi w:val="0"/>
        <w:adjustRightInd/>
        <w:snapToGrid/>
        <w:spacing w:line="460" w:lineRule="exact"/>
        <w:textAlignment w:val="auto"/>
      </w:pPr>
      <w:r>
        <w:rPr>
          <w:rFonts w:hint="eastAsia"/>
        </w:rPr>
        <w:t>5</w:t>
      </w:r>
      <w:r>
        <w:t>.9.2.</w:t>
      </w:r>
      <w:r>
        <w:rPr>
          <w:rFonts w:hint="eastAsia"/>
          <w:lang w:val="en-US" w:eastAsia="zh-CN"/>
        </w:rPr>
        <w:t>6农灌对土壤及地下水</w:t>
      </w:r>
      <w:r>
        <w:rPr>
          <w:rFonts w:hint="eastAsia"/>
        </w:rPr>
        <w:t>环境风险分析</w:t>
      </w:r>
    </w:p>
    <w:p w14:paraId="375CEC96">
      <w:pPr>
        <w:pStyle w:val="104"/>
        <w:pageBreakBefore w:val="0"/>
        <w:kinsoku/>
        <w:wordWrap/>
        <w:overflowPunct/>
        <w:topLinePunct w:val="0"/>
        <w:autoSpaceDE/>
        <w:autoSpaceDN/>
        <w:bidi w:val="0"/>
        <w:adjustRightInd/>
        <w:snapToGrid/>
        <w:spacing w:line="460" w:lineRule="exact"/>
        <w:ind w:firstLine="480" w:firstLineChars="200"/>
        <w:textAlignment w:val="auto"/>
        <w:rPr>
          <w:rFonts w:hint="default" w:eastAsiaTheme="minorEastAsia"/>
          <w:szCs w:val="24"/>
          <w:lang w:val="en-US" w:eastAsia="zh-CN"/>
        </w:rPr>
      </w:pPr>
      <w:r>
        <w:rPr>
          <w:rFonts w:hint="eastAsia" w:ascii="Times New Roman" w:hAnsi="Times New Roman" w:cs="Times New Roman"/>
        </w:rPr>
        <w:t>本项目</w:t>
      </w:r>
      <w:r>
        <w:rPr>
          <w:rFonts w:hint="eastAsia"/>
          <w:szCs w:val="24"/>
          <w:lang w:val="en-US" w:eastAsia="zh-CN"/>
        </w:rPr>
        <w:t>产生</w:t>
      </w:r>
      <w:r>
        <w:rPr>
          <w:rFonts w:hint="eastAsia"/>
          <w:szCs w:val="24"/>
        </w:rPr>
        <w:t>的</w:t>
      </w:r>
      <w:r>
        <w:rPr>
          <w:rFonts w:hint="eastAsia"/>
          <w:szCs w:val="24"/>
          <w:lang w:val="en-US" w:eastAsia="zh-CN"/>
        </w:rPr>
        <w:t>废水</w:t>
      </w:r>
      <w:r>
        <w:rPr>
          <w:szCs w:val="24"/>
        </w:rPr>
        <w:t>主要是</w:t>
      </w:r>
      <w:r>
        <w:rPr>
          <w:rFonts w:hint="eastAsia"/>
          <w:sz w:val="24"/>
          <w:szCs w:val="24"/>
        </w:rPr>
        <w:t>鸡舍冲洗废水</w:t>
      </w:r>
      <w:r>
        <w:rPr>
          <w:sz w:val="24"/>
          <w:szCs w:val="24"/>
        </w:rPr>
        <w:t>、</w:t>
      </w:r>
      <w:r>
        <w:rPr>
          <w:rFonts w:hint="eastAsia"/>
          <w:sz w:val="24"/>
          <w:szCs w:val="24"/>
        </w:rPr>
        <w:t>初期雨水、喷淋废水及</w:t>
      </w:r>
      <w:r>
        <w:rPr>
          <w:sz w:val="24"/>
          <w:szCs w:val="24"/>
        </w:rPr>
        <w:t>生活污水，</w:t>
      </w:r>
      <w:r>
        <w:rPr>
          <w:rFonts w:eastAsia="宋体"/>
          <w:b w:val="0"/>
          <w:bCs/>
          <w:color w:val="000000"/>
          <w:sz w:val="24"/>
          <w:szCs w:val="24"/>
          <w:lang w:bidi="ar"/>
        </w:rPr>
        <w:t>生活污水经化粪池处理后与其他生产废水一同经</w:t>
      </w:r>
      <w:r>
        <w:rPr>
          <w:rFonts w:eastAsia="宋体"/>
          <w:b w:val="0"/>
          <w:bCs/>
          <w:color w:val="000000"/>
          <w:sz w:val="24"/>
          <w:szCs w:val="24"/>
        </w:rPr>
        <w:t>厂区污水处理站（</w:t>
      </w:r>
      <w:r>
        <w:rPr>
          <w:rFonts w:eastAsia="宋体"/>
          <w:b w:val="0"/>
          <w:bCs/>
          <w:sz w:val="24"/>
          <w:szCs w:val="24"/>
        </w:rPr>
        <w:t>格栅+沉砂集水+水解酸化+厌氧反应+好氧处理+消毒</w:t>
      </w:r>
      <w:r>
        <w:rPr>
          <w:rFonts w:eastAsia="宋体"/>
          <w:b w:val="0"/>
          <w:bCs/>
          <w:color w:val="000000"/>
          <w:sz w:val="24"/>
          <w:szCs w:val="24"/>
        </w:rPr>
        <w:t>）</w:t>
      </w:r>
      <w:r>
        <w:rPr>
          <w:rFonts w:eastAsia="宋体"/>
          <w:b w:val="0"/>
          <w:bCs/>
          <w:sz w:val="24"/>
          <w:szCs w:val="24"/>
        </w:rPr>
        <w:t>处理</w:t>
      </w:r>
      <w:r>
        <w:rPr>
          <w:rFonts w:hint="eastAsia" w:eastAsia="宋体"/>
          <w:b w:val="0"/>
          <w:bCs/>
          <w:sz w:val="24"/>
          <w:szCs w:val="24"/>
          <w:lang w:eastAsia="zh-CN"/>
        </w:rPr>
        <w:t>，</w:t>
      </w:r>
      <w:r>
        <w:rPr>
          <w:rFonts w:hint="eastAsia" w:eastAsia="宋体"/>
          <w:b w:val="0"/>
          <w:bCs/>
          <w:sz w:val="24"/>
          <w:szCs w:val="24"/>
          <w:lang w:val="en-US" w:eastAsia="zh-CN"/>
        </w:rPr>
        <w:t>处理达</w:t>
      </w:r>
      <w:r>
        <w:rPr>
          <w:rFonts w:hint="eastAsia"/>
        </w:rPr>
        <w:t>《农田灌溉水质标准》</w:t>
      </w:r>
      <w:r>
        <w:rPr>
          <w:rFonts w:hint="eastAsia"/>
          <w:lang w:val="en-US" w:eastAsia="zh-CN"/>
        </w:rPr>
        <w:t>后</w:t>
      </w:r>
      <w:r>
        <w:rPr>
          <w:rFonts w:ascii="Times New Roman" w:hAnsi="Times New Roman" w:eastAsia="宋体" w:cs="Times New Roman"/>
          <w:color w:val="000000"/>
          <w:sz w:val="24"/>
          <w:szCs w:val="24"/>
        </w:rPr>
        <w:t>通</w:t>
      </w:r>
      <w:r>
        <w:rPr>
          <w:rFonts w:hint="eastAsia" w:ascii="Times New Roman" w:hAnsi="Times New Roman" w:eastAsia="宋体" w:cs="Times New Roman"/>
          <w:color w:val="000000"/>
          <w:sz w:val="24"/>
          <w:szCs w:val="24"/>
          <w:lang w:eastAsia="zh-CN"/>
        </w:rPr>
        <w:t>过管道输送至项目配套农田</w:t>
      </w:r>
      <w:r>
        <w:rPr>
          <w:rFonts w:ascii="Times New Roman" w:hAnsi="Times New Roman" w:eastAsia="宋体" w:cs="Times New Roman"/>
          <w:color w:val="000000"/>
          <w:sz w:val="24"/>
          <w:szCs w:val="24"/>
        </w:rPr>
        <w:t>作为灌溉用水</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处理后的尾水</w:t>
      </w:r>
      <w:r>
        <w:rPr>
          <w:szCs w:val="24"/>
        </w:rPr>
        <w:t>中不仅含有一定的氮、磷、钾等元素，而且还含有钙、镁、锰等多种微量元素，对</w:t>
      </w:r>
      <w:r>
        <w:rPr>
          <w:rFonts w:hint="eastAsia"/>
          <w:szCs w:val="24"/>
        </w:rPr>
        <w:t>农作物</w:t>
      </w:r>
      <w:r>
        <w:rPr>
          <w:szCs w:val="24"/>
        </w:rPr>
        <w:t>的生长是有利的。</w:t>
      </w:r>
      <w:r>
        <w:rPr>
          <w:rFonts w:hint="eastAsia"/>
          <w:szCs w:val="24"/>
          <w:lang w:val="en-US" w:eastAsia="zh-CN"/>
        </w:rPr>
        <w:t>但如果处理后的尾水未达到</w:t>
      </w:r>
      <w:r>
        <w:rPr>
          <w:rFonts w:hint="eastAsia"/>
        </w:rPr>
        <w:t>《农田灌溉水质标准》</w:t>
      </w:r>
      <w:r>
        <w:rPr>
          <w:rFonts w:hint="eastAsia"/>
          <w:lang w:val="en-US" w:eastAsia="zh-CN"/>
        </w:rPr>
        <w:t>就直接用于农田灌溉，尾水中富含的</w:t>
      </w:r>
      <w:r>
        <w:rPr>
          <w:szCs w:val="24"/>
        </w:rPr>
        <w:t>氮、磷、钾</w:t>
      </w:r>
      <w:r>
        <w:rPr>
          <w:rFonts w:hint="eastAsia"/>
          <w:szCs w:val="24"/>
          <w:lang w:val="en-US" w:eastAsia="zh-CN"/>
        </w:rPr>
        <w:t>及</w:t>
      </w:r>
      <w:r>
        <w:rPr>
          <w:szCs w:val="24"/>
        </w:rPr>
        <w:t>钙、镁、锰等多种元素</w:t>
      </w:r>
      <w:r>
        <w:rPr>
          <w:rFonts w:hint="eastAsia"/>
          <w:szCs w:val="24"/>
          <w:lang w:val="en-US" w:eastAsia="zh-CN"/>
        </w:rPr>
        <w:t>将通过下渗进入土壤、地下水，并在土壤中富集，将对土壤及地下水造成一定程度的影响。</w:t>
      </w:r>
    </w:p>
    <w:p w14:paraId="4D70CC7B">
      <w:pPr>
        <w:pStyle w:val="104"/>
        <w:pageBreakBefore w:val="0"/>
        <w:kinsoku/>
        <w:wordWrap/>
        <w:overflowPunct/>
        <w:topLinePunct w:val="0"/>
        <w:autoSpaceDE/>
        <w:autoSpaceDN/>
        <w:bidi w:val="0"/>
        <w:adjustRightInd/>
        <w:snapToGrid/>
        <w:spacing w:line="460" w:lineRule="exact"/>
        <w:ind w:firstLine="480" w:firstLineChars="200"/>
        <w:textAlignment w:val="auto"/>
        <w:rPr>
          <w:rFonts w:hint="default" w:ascii="宋体" w:hAnsi="宋体"/>
          <w:sz w:val="24"/>
          <w:lang w:val="en-US" w:eastAsia="zh-CN"/>
        </w:rPr>
      </w:pPr>
      <w:r>
        <w:rPr>
          <w:rFonts w:hint="eastAsia"/>
          <w:szCs w:val="24"/>
          <w:lang w:val="en-US" w:eastAsia="zh-CN"/>
        </w:rPr>
        <w:t>因此，针对以上情况，项目灌溉期应对处理后的尾水进行检测，尾水在达到</w:t>
      </w:r>
      <w:r>
        <w:rPr>
          <w:rFonts w:hint="eastAsia"/>
        </w:rPr>
        <w:t>《农田灌溉水质标准》</w:t>
      </w:r>
      <w:r>
        <w:rPr>
          <w:rFonts w:hint="eastAsia"/>
          <w:lang w:val="en-US" w:eastAsia="zh-CN"/>
        </w:rPr>
        <w:t>时再通过</w:t>
      </w:r>
      <w:r>
        <w:rPr>
          <w:rFonts w:hint="eastAsia" w:ascii="Times New Roman" w:hAnsi="Times New Roman" w:eastAsia="宋体" w:cs="Times New Roman"/>
          <w:color w:val="000000"/>
          <w:sz w:val="24"/>
          <w:szCs w:val="24"/>
          <w:lang w:eastAsia="zh-CN"/>
        </w:rPr>
        <w:t>管道输送至项目配套农田</w:t>
      </w:r>
      <w:r>
        <w:rPr>
          <w:rFonts w:hint="eastAsia" w:ascii="Times New Roman" w:hAnsi="Times New Roman" w:eastAsia="宋体" w:cs="Times New Roman"/>
          <w:color w:val="000000"/>
          <w:sz w:val="24"/>
          <w:szCs w:val="24"/>
          <w:lang w:val="en-US" w:eastAsia="zh-CN"/>
        </w:rPr>
        <w:t>进行</w:t>
      </w:r>
      <w:r>
        <w:rPr>
          <w:rFonts w:ascii="Times New Roman" w:hAnsi="Times New Roman" w:eastAsia="宋体" w:cs="Times New Roman"/>
          <w:color w:val="000000"/>
          <w:sz w:val="24"/>
          <w:szCs w:val="24"/>
        </w:rPr>
        <w:t>灌溉</w:t>
      </w:r>
      <w:r>
        <w:rPr>
          <w:rFonts w:hint="eastAsia" w:ascii="Times New Roman" w:hAnsi="Times New Roman" w:eastAsia="宋体" w:cs="Times New Roman"/>
          <w:color w:val="000000"/>
          <w:sz w:val="24"/>
          <w:szCs w:val="24"/>
          <w:lang w:eastAsia="zh-CN"/>
        </w:rPr>
        <w:t>，</w:t>
      </w:r>
      <w:r>
        <w:rPr>
          <w:rFonts w:hint="eastAsia" w:hAnsi="宋体"/>
          <w:color w:val="000000" w:themeColor="text1"/>
          <w:kern w:val="0"/>
          <w:szCs w:val="24"/>
          <w:lang w:val="en-US" w:eastAsia="zh-CN"/>
          <w14:textFill>
            <w14:solidFill>
              <w14:schemeClr w14:val="tx1"/>
            </w14:solidFill>
          </w14:textFill>
        </w:rPr>
        <w:t>项目</w:t>
      </w:r>
      <w:r>
        <w:rPr>
          <w:rFonts w:hint="eastAsia" w:hAnsi="宋体"/>
          <w:color w:val="000000" w:themeColor="text1"/>
          <w:kern w:val="0"/>
          <w:szCs w:val="24"/>
          <w14:textFill>
            <w14:solidFill>
              <w14:schemeClr w14:val="tx1"/>
            </w14:solidFill>
          </w14:textFill>
        </w:rPr>
        <w:t>灌溉农田时</w:t>
      </w:r>
      <w:r>
        <w:rPr>
          <w:rFonts w:hint="eastAsia" w:hAnsi="宋体"/>
          <w:color w:val="000000" w:themeColor="text1"/>
          <w:kern w:val="0"/>
          <w:szCs w:val="24"/>
          <w:lang w:val="en-US" w:eastAsia="zh-CN"/>
          <w14:textFill>
            <w14:solidFill>
              <w14:schemeClr w14:val="tx1"/>
            </w14:solidFill>
          </w14:textFill>
        </w:rPr>
        <w:t>应科学灌溉，尾水灌溉</w:t>
      </w:r>
      <w:r>
        <w:rPr>
          <w:rFonts w:hint="eastAsia" w:hAnsi="宋体"/>
          <w:color w:val="000000" w:themeColor="text1"/>
          <w:kern w:val="0"/>
          <w:szCs w:val="24"/>
          <w14:textFill>
            <w14:solidFill>
              <w14:schemeClr w14:val="tx1"/>
            </w14:solidFill>
          </w14:textFill>
        </w:rPr>
        <w:t>使用管道滴灌，不得漫灌，也不得形成地表径流排入周边水体</w:t>
      </w:r>
      <w:r>
        <w:rPr>
          <w:rFonts w:hint="eastAsia" w:hAnsi="宋体"/>
          <w:color w:val="000000" w:themeColor="text1"/>
          <w:kern w:val="0"/>
          <w:szCs w:val="24"/>
          <w:lang w:eastAsia="zh-CN"/>
          <w14:textFill>
            <w14:solidFill>
              <w14:schemeClr w14:val="tx1"/>
            </w14:solidFill>
          </w14:textFill>
        </w:rPr>
        <w:t>，</w:t>
      </w:r>
      <w:r>
        <w:rPr>
          <w:rFonts w:hint="eastAsia" w:hAnsi="宋体"/>
          <w:color w:val="000000" w:themeColor="text1"/>
          <w:kern w:val="0"/>
          <w:szCs w:val="24"/>
          <w:lang w:val="en-US" w:eastAsia="zh-CN"/>
          <w14:textFill>
            <w14:solidFill>
              <w14:schemeClr w14:val="tx1"/>
            </w14:solidFill>
          </w14:textFill>
        </w:rPr>
        <w:t>同时</w:t>
      </w:r>
      <w:r>
        <w:rPr>
          <w:rFonts w:ascii="宋体" w:hAnsi="宋体"/>
          <w:sz w:val="24"/>
        </w:rPr>
        <w:t>禁止</w:t>
      </w:r>
      <w:r>
        <w:rPr>
          <w:rFonts w:hint="eastAsia" w:ascii="宋体" w:hAnsi="宋体"/>
          <w:sz w:val="24"/>
          <w:lang w:val="en-US" w:eastAsia="zh-CN"/>
        </w:rPr>
        <w:t>在雨天灌溉，防止尾水流入地表水体。通过采取以上措施，项目尾水灌溉对土壤及地下水将不会造成较大影响。</w:t>
      </w:r>
    </w:p>
    <w:p w14:paraId="78A0AE6D">
      <w:pPr>
        <w:pStyle w:val="7"/>
        <w:spacing w:line="480" w:lineRule="exact"/>
      </w:pPr>
      <w:r>
        <w:rPr>
          <w:rFonts w:hint="eastAsia"/>
        </w:rPr>
        <w:t>5</w:t>
      </w:r>
      <w:r>
        <w:t>.9.</w:t>
      </w:r>
      <w:r>
        <w:rPr>
          <w:rFonts w:hint="eastAsia"/>
        </w:rPr>
        <w:t>3</w:t>
      </w:r>
      <w:r>
        <w:t xml:space="preserve"> </w:t>
      </w:r>
      <w:r>
        <w:rPr>
          <w:rFonts w:hint="eastAsia"/>
        </w:rPr>
        <w:t>环境风险评价小结</w:t>
      </w:r>
    </w:p>
    <w:p w14:paraId="617318EB">
      <w:pPr>
        <w:spacing w:line="480" w:lineRule="exact"/>
        <w:ind w:firstLine="480" w:firstLineChars="200"/>
        <w:rPr>
          <w:rFonts w:ascii="Times New Roman" w:hAnsi="Times New Roman" w:eastAsia="宋体" w:cs="Times New Roman"/>
          <w:b/>
          <w:szCs w:val="24"/>
        </w:rPr>
      </w:pPr>
      <w:r>
        <w:rPr>
          <w:rFonts w:hAnsi="宋体"/>
        </w:rPr>
        <w:t>参照《建设项目环境风险评价技术导则》（</w:t>
      </w:r>
      <w:r>
        <w:t>HJ169-2018</w:t>
      </w:r>
      <w:r>
        <w:rPr>
          <w:rFonts w:hAnsi="宋体"/>
        </w:rPr>
        <w:t>）附录</w:t>
      </w:r>
      <w:r>
        <w:t>A</w:t>
      </w:r>
      <w:r>
        <w:rPr>
          <w:rFonts w:hAnsi="宋体"/>
        </w:rPr>
        <w:t>，</w:t>
      </w:r>
      <w:r>
        <w:rPr>
          <w:rFonts w:hint="eastAsia" w:hAnsi="宋体"/>
        </w:rPr>
        <w:t>本项目</w:t>
      </w:r>
      <w:r>
        <w:rPr>
          <w:rFonts w:hAnsi="宋体"/>
        </w:rPr>
        <w:t>环境风险影响分析见表</w:t>
      </w:r>
      <w:r>
        <w:rPr>
          <w:rFonts w:hint="eastAsia"/>
          <w:color w:val="000000"/>
        </w:rPr>
        <w:t>5.9-3</w:t>
      </w:r>
      <w:r>
        <w:rPr>
          <w:rFonts w:ascii="Times New Roman" w:hAnsi="Times New Roman" w:eastAsia="宋体" w:cs="Times New Roman"/>
          <w:szCs w:val="24"/>
        </w:rPr>
        <w:t>。</w:t>
      </w:r>
    </w:p>
    <w:p w14:paraId="788D6A1C">
      <w:pPr>
        <w:pStyle w:val="93"/>
        <w:autoSpaceDE/>
        <w:autoSpaceDN/>
        <w:spacing w:line="480" w:lineRule="exact"/>
        <w:rPr>
          <w:rFonts w:ascii="Times New Roman" w:hAnsi="Times New Roman" w:eastAsia="宋体" w:cs="Times New Roman"/>
          <w:b/>
          <w:sz w:val="24"/>
          <w:lang w:eastAsia="zh-CN"/>
        </w:rPr>
      </w:pPr>
      <w:r>
        <w:rPr>
          <w:rFonts w:ascii="Times New Roman" w:hAnsi="Times New Roman" w:eastAsia="宋体" w:cs="Times New Roman"/>
          <w:b/>
          <w:sz w:val="24"/>
          <w:lang w:eastAsia="zh-CN"/>
        </w:rPr>
        <w:t>表5.</w:t>
      </w:r>
      <w:r>
        <w:rPr>
          <w:rFonts w:hint="eastAsia" w:ascii="Times New Roman" w:hAnsi="Times New Roman" w:eastAsia="宋体" w:cs="Times New Roman"/>
          <w:b/>
          <w:sz w:val="24"/>
          <w:lang w:eastAsia="zh-CN"/>
        </w:rPr>
        <w:t>9</w:t>
      </w:r>
      <w:r>
        <w:rPr>
          <w:rFonts w:ascii="Times New Roman" w:hAnsi="Times New Roman" w:eastAsia="宋体" w:cs="Times New Roman"/>
          <w:b/>
          <w:sz w:val="24"/>
          <w:lang w:eastAsia="zh-CN"/>
        </w:rPr>
        <w:t>-3建设项目环境风险简单分析内容表</w:t>
      </w:r>
    </w:p>
    <w:tbl>
      <w:tblPr>
        <w:tblStyle w:val="41"/>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650"/>
        <w:gridCol w:w="2248"/>
        <w:gridCol w:w="1721"/>
        <w:gridCol w:w="1720"/>
        <w:gridCol w:w="1729"/>
      </w:tblGrid>
      <w:tr w14:paraId="6E8C25D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910" w:type="pct"/>
            <w:vAlign w:val="center"/>
          </w:tcPr>
          <w:p w14:paraId="3F190EF1">
            <w:pPr>
              <w:adjustRightIn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建设项目名称</w:t>
            </w:r>
          </w:p>
        </w:tc>
        <w:tc>
          <w:tcPr>
            <w:tcW w:w="4089" w:type="pct"/>
            <w:gridSpan w:val="4"/>
            <w:vAlign w:val="center"/>
          </w:tcPr>
          <w:p w14:paraId="16D301D7">
            <w:pPr>
              <w:adjustRightInd w:val="0"/>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泗阳县恒邦农业发展有限公司年出栏100万只肉鸡养殖项目</w:t>
            </w:r>
          </w:p>
        </w:tc>
      </w:tr>
      <w:tr w14:paraId="54EFA1E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910" w:type="pct"/>
            <w:vAlign w:val="center"/>
          </w:tcPr>
          <w:p w14:paraId="146D007C">
            <w:pPr>
              <w:adjustRightIn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建设地点</w:t>
            </w:r>
          </w:p>
        </w:tc>
        <w:tc>
          <w:tcPr>
            <w:tcW w:w="4089" w:type="pct"/>
            <w:gridSpan w:val="4"/>
            <w:vAlign w:val="center"/>
          </w:tcPr>
          <w:p w14:paraId="293E7B16">
            <w:pPr>
              <w:adjustRightInd w:val="0"/>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宿迁市泗阳县穿城镇向阳村四组</w:t>
            </w:r>
          </w:p>
        </w:tc>
      </w:tr>
      <w:tr w14:paraId="0FA7A8F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910" w:type="pct"/>
            <w:vAlign w:val="center"/>
          </w:tcPr>
          <w:p w14:paraId="58DBF473">
            <w:pPr>
              <w:adjustRightIn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地理坐标</w:t>
            </w:r>
          </w:p>
        </w:tc>
        <w:tc>
          <w:tcPr>
            <w:tcW w:w="2188" w:type="pct"/>
            <w:gridSpan w:val="2"/>
            <w:vAlign w:val="center"/>
          </w:tcPr>
          <w:p w14:paraId="2ED4E37B">
            <w:pPr>
              <w:adjustRightInd w:val="0"/>
              <w:spacing w:line="300" w:lineRule="exact"/>
              <w:jc w:val="center"/>
              <w:rPr>
                <w:rFonts w:ascii="Times New Roman" w:hAnsi="Times New Roman" w:eastAsia="宋体" w:cs="Times New Roman"/>
                <w:color w:val="0000FF"/>
                <w:sz w:val="21"/>
                <w:szCs w:val="21"/>
              </w:rPr>
            </w:pPr>
            <w:r>
              <w:rPr>
                <w:rFonts w:ascii="Times New Roman" w:hAnsi="Times New Roman" w:eastAsia="宋体" w:cs="Times New Roman"/>
                <w:color w:val="000000" w:themeColor="text1"/>
                <w:sz w:val="21"/>
                <w:szCs w:val="21"/>
                <w14:textFill>
                  <w14:solidFill>
                    <w14:schemeClr w14:val="tx1"/>
                  </w14:solidFill>
                </w14:textFill>
              </w:rPr>
              <w:t>经度：118° 4</w:t>
            </w:r>
            <w:r>
              <w:rPr>
                <w:rFonts w:hint="eastAsia" w:ascii="Times New Roman" w:hAnsi="Times New Roman" w:eastAsia="宋体" w:cs="Times New Roman"/>
                <w:color w:val="000000" w:themeColor="text1"/>
                <w:sz w:val="21"/>
                <w:szCs w:val="21"/>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 xml:space="preserve"> ′2</w:t>
            </w:r>
            <w:r>
              <w:rPr>
                <w:rFonts w:hint="eastAsia" w:ascii="Times New Roman" w:hAnsi="Times New Roman" w:eastAsia="宋体" w:cs="Times New Roman"/>
                <w:color w:val="000000" w:themeColor="text1"/>
                <w:sz w:val="21"/>
                <w:szCs w:val="21"/>
                <w14:textFill>
                  <w14:solidFill>
                    <w14:schemeClr w14:val="tx1"/>
                  </w14:solidFill>
                </w14:textFill>
              </w:rPr>
              <w:t>6.694</w:t>
            </w:r>
            <w:r>
              <w:rPr>
                <w:rFonts w:ascii="Times New Roman" w:hAnsi="Times New Roman" w:eastAsia="宋体" w:cs="Times New Roman"/>
                <w:color w:val="000000" w:themeColor="text1"/>
                <w:sz w:val="21"/>
                <w:szCs w:val="21"/>
                <w14:textFill>
                  <w14:solidFill>
                    <w14:schemeClr w14:val="tx1"/>
                  </w14:solidFill>
                </w14:textFill>
              </w:rPr>
              <w:t>″</w:t>
            </w:r>
          </w:p>
        </w:tc>
        <w:tc>
          <w:tcPr>
            <w:tcW w:w="1901" w:type="pct"/>
            <w:gridSpan w:val="2"/>
            <w:vAlign w:val="center"/>
          </w:tcPr>
          <w:p w14:paraId="5CB51364">
            <w:pPr>
              <w:adjustRightInd w:val="0"/>
              <w:spacing w:line="300" w:lineRule="exact"/>
              <w:jc w:val="center"/>
              <w:rPr>
                <w:rFonts w:ascii="Times New Roman" w:hAnsi="Times New Roman" w:eastAsia="宋体" w:cs="Times New Roman"/>
                <w:color w:val="0000FF"/>
                <w:sz w:val="21"/>
                <w:szCs w:val="21"/>
              </w:rPr>
            </w:pPr>
            <w:r>
              <w:rPr>
                <w:rFonts w:ascii="Times New Roman" w:hAnsi="Times New Roman" w:eastAsia="宋体" w:cs="Times New Roman"/>
                <w:color w:val="000000" w:themeColor="text1"/>
                <w:sz w:val="21"/>
                <w:szCs w:val="21"/>
                <w14:textFill>
                  <w14:solidFill>
                    <w14:schemeClr w14:val="tx1"/>
                  </w14:solidFill>
                </w14:textFill>
              </w:rPr>
              <w:t xml:space="preserve">纬度：33° </w:t>
            </w:r>
            <w:r>
              <w:rPr>
                <w:rFonts w:hint="eastAsia" w:ascii="Times New Roman" w:hAnsi="Times New Roman" w:eastAsia="宋体" w:cs="Times New Roman"/>
                <w:color w:val="000000" w:themeColor="text1"/>
                <w:sz w:val="21"/>
                <w:szCs w:val="21"/>
                <w14:textFill>
                  <w14:solidFill>
                    <w14:schemeClr w14:val="tx1"/>
                  </w14:solidFill>
                </w14:textFill>
              </w:rPr>
              <w:t>53</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35.005</w:t>
            </w:r>
            <w:r>
              <w:rPr>
                <w:rFonts w:ascii="Times New Roman" w:hAnsi="Times New Roman" w:eastAsia="宋体" w:cs="Times New Roman"/>
                <w:color w:val="000000" w:themeColor="text1"/>
                <w:sz w:val="21"/>
                <w:szCs w:val="21"/>
                <w14:textFill>
                  <w14:solidFill>
                    <w14:schemeClr w14:val="tx1"/>
                  </w14:solidFill>
                </w14:textFill>
              </w:rPr>
              <w:t>″</w:t>
            </w:r>
          </w:p>
        </w:tc>
      </w:tr>
      <w:tr w14:paraId="1BA3142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910" w:type="pct"/>
            <w:vMerge w:val="restart"/>
            <w:vAlign w:val="center"/>
          </w:tcPr>
          <w:p w14:paraId="621CEBC8">
            <w:pPr>
              <w:adjustRightInd w:val="0"/>
              <w:spacing w:line="300" w:lineRule="exact"/>
              <w:jc w:val="center"/>
              <w:rPr>
                <w:rFonts w:ascii="Times New Roman" w:hAnsi="Times New Roman" w:eastAsia="宋体" w:cs="Times New Roman"/>
                <w:sz w:val="21"/>
                <w:szCs w:val="21"/>
              </w:rPr>
            </w:pPr>
          </w:p>
          <w:p w14:paraId="4DF53F24">
            <w:pPr>
              <w:adjustRightIn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主要危险物质及分布</w:t>
            </w:r>
          </w:p>
        </w:tc>
        <w:tc>
          <w:tcPr>
            <w:tcW w:w="1239" w:type="pct"/>
            <w:vAlign w:val="center"/>
          </w:tcPr>
          <w:p w14:paraId="3E5495F0">
            <w:pPr>
              <w:adjustRightIn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物质名称</w:t>
            </w:r>
          </w:p>
        </w:tc>
        <w:tc>
          <w:tcPr>
            <w:tcW w:w="949" w:type="pct"/>
            <w:vAlign w:val="center"/>
          </w:tcPr>
          <w:p w14:paraId="3AABE2C0">
            <w:pPr>
              <w:adjustRightIn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贮存位置</w:t>
            </w:r>
          </w:p>
        </w:tc>
        <w:tc>
          <w:tcPr>
            <w:tcW w:w="948" w:type="pct"/>
            <w:vAlign w:val="center"/>
          </w:tcPr>
          <w:p w14:paraId="521F1353">
            <w:pPr>
              <w:adjustRightIn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贮存方式</w:t>
            </w:r>
          </w:p>
        </w:tc>
        <w:tc>
          <w:tcPr>
            <w:tcW w:w="953" w:type="pct"/>
            <w:vAlign w:val="center"/>
          </w:tcPr>
          <w:p w14:paraId="55A9BF89">
            <w:pPr>
              <w:adjustRightIn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最大贮存量</w:t>
            </w:r>
            <w:r>
              <w:rPr>
                <w:rFonts w:hint="eastAsia" w:ascii="Times New Roman" w:hAnsi="Times New Roman" w:eastAsia="宋体" w:cs="Times New Roman"/>
                <w:sz w:val="21"/>
                <w:szCs w:val="21"/>
              </w:rPr>
              <w:t>（t）</w:t>
            </w:r>
          </w:p>
        </w:tc>
      </w:tr>
      <w:tr w14:paraId="48CCCAE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910" w:type="pct"/>
            <w:vMerge w:val="continue"/>
            <w:vAlign w:val="center"/>
          </w:tcPr>
          <w:p w14:paraId="61B15530">
            <w:pPr>
              <w:adjustRightInd w:val="0"/>
              <w:spacing w:line="300" w:lineRule="exact"/>
              <w:jc w:val="center"/>
              <w:rPr>
                <w:rFonts w:ascii="Times New Roman" w:hAnsi="Times New Roman" w:eastAsia="宋体" w:cs="Times New Roman"/>
                <w:sz w:val="21"/>
                <w:szCs w:val="21"/>
              </w:rPr>
            </w:pPr>
          </w:p>
        </w:tc>
        <w:tc>
          <w:tcPr>
            <w:tcW w:w="1239" w:type="pct"/>
            <w:vAlign w:val="center"/>
          </w:tcPr>
          <w:p w14:paraId="339C2202">
            <w:pPr>
              <w:adjustRightInd w:val="0"/>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柴油</w:t>
            </w:r>
          </w:p>
        </w:tc>
        <w:tc>
          <w:tcPr>
            <w:tcW w:w="949" w:type="pct"/>
            <w:vAlign w:val="center"/>
          </w:tcPr>
          <w:p w14:paraId="57E2F1CA">
            <w:pPr>
              <w:adjustRightInd w:val="0"/>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发电机房</w:t>
            </w:r>
          </w:p>
        </w:tc>
        <w:tc>
          <w:tcPr>
            <w:tcW w:w="948" w:type="pct"/>
            <w:vAlign w:val="center"/>
          </w:tcPr>
          <w:p w14:paraId="5499FC33">
            <w:pPr>
              <w:adjustRightInd w:val="0"/>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桶装</w:t>
            </w:r>
          </w:p>
        </w:tc>
        <w:tc>
          <w:tcPr>
            <w:tcW w:w="953" w:type="pct"/>
            <w:vAlign w:val="center"/>
          </w:tcPr>
          <w:p w14:paraId="0DF598A0">
            <w:pPr>
              <w:adjustRightInd w:val="0"/>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r>
      <w:tr w14:paraId="4C1FB54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910" w:type="pct"/>
            <w:vMerge w:val="continue"/>
            <w:vAlign w:val="center"/>
          </w:tcPr>
          <w:p w14:paraId="79A5DE51">
            <w:pPr>
              <w:adjustRightInd w:val="0"/>
              <w:spacing w:line="300" w:lineRule="exact"/>
              <w:jc w:val="center"/>
              <w:rPr>
                <w:rFonts w:ascii="Times New Roman" w:hAnsi="Times New Roman" w:eastAsia="宋体" w:cs="Times New Roman"/>
                <w:sz w:val="21"/>
                <w:szCs w:val="21"/>
              </w:rPr>
            </w:pPr>
          </w:p>
        </w:tc>
        <w:tc>
          <w:tcPr>
            <w:tcW w:w="1239" w:type="pct"/>
            <w:shd w:val="clear" w:color="auto" w:fill="auto"/>
            <w:vAlign w:val="center"/>
          </w:tcPr>
          <w:p w14:paraId="61671F9C">
            <w:pPr>
              <w:adjustRightInd w:val="0"/>
              <w:spacing w:line="300" w:lineRule="exact"/>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rPr>
              <w:t>危险废物</w:t>
            </w:r>
          </w:p>
        </w:tc>
        <w:tc>
          <w:tcPr>
            <w:tcW w:w="949" w:type="pct"/>
            <w:shd w:val="clear" w:color="auto" w:fill="auto"/>
            <w:vAlign w:val="center"/>
          </w:tcPr>
          <w:p w14:paraId="1063F78F">
            <w:pPr>
              <w:adjustRightInd w:val="0"/>
              <w:spacing w:line="300" w:lineRule="exact"/>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rPr>
              <w:t>危废仓库</w:t>
            </w:r>
          </w:p>
        </w:tc>
        <w:tc>
          <w:tcPr>
            <w:tcW w:w="948" w:type="pct"/>
            <w:shd w:val="clear" w:color="auto" w:fill="auto"/>
            <w:vAlign w:val="center"/>
          </w:tcPr>
          <w:p w14:paraId="01D11F4A">
            <w:pPr>
              <w:adjustRightInd w:val="0"/>
              <w:spacing w:line="300" w:lineRule="exact"/>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rPr>
              <w:t>桶装/袋装</w:t>
            </w:r>
          </w:p>
        </w:tc>
        <w:tc>
          <w:tcPr>
            <w:tcW w:w="953" w:type="pct"/>
            <w:shd w:val="clear" w:color="auto" w:fill="auto"/>
            <w:vAlign w:val="center"/>
          </w:tcPr>
          <w:p w14:paraId="460C4BBA">
            <w:pPr>
              <w:adjustRightInd w:val="0"/>
              <w:spacing w:line="30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0.1</w:t>
            </w:r>
          </w:p>
        </w:tc>
      </w:tr>
      <w:tr w14:paraId="2C4E704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910" w:type="pct"/>
            <w:vMerge w:val="continue"/>
            <w:vAlign w:val="center"/>
          </w:tcPr>
          <w:p w14:paraId="3B1C2DF1">
            <w:pPr>
              <w:adjustRightInd w:val="0"/>
              <w:spacing w:line="300" w:lineRule="exact"/>
              <w:jc w:val="center"/>
              <w:rPr>
                <w:rFonts w:ascii="Times New Roman" w:hAnsi="Times New Roman" w:eastAsia="宋体" w:cs="Times New Roman"/>
                <w:sz w:val="21"/>
                <w:szCs w:val="21"/>
              </w:rPr>
            </w:pPr>
          </w:p>
        </w:tc>
        <w:tc>
          <w:tcPr>
            <w:tcW w:w="1239" w:type="pct"/>
            <w:vAlign w:val="center"/>
          </w:tcPr>
          <w:p w14:paraId="18B45761">
            <w:pPr>
              <w:adjustRightInd w:val="0"/>
              <w:spacing w:line="30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沼气（甲烷）</w:t>
            </w:r>
          </w:p>
        </w:tc>
        <w:tc>
          <w:tcPr>
            <w:tcW w:w="949" w:type="pct"/>
            <w:vAlign w:val="center"/>
          </w:tcPr>
          <w:p w14:paraId="23044764">
            <w:pPr>
              <w:adjustRightInd w:val="0"/>
              <w:spacing w:line="30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污水站</w:t>
            </w:r>
          </w:p>
        </w:tc>
        <w:tc>
          <w:tcPr>
            <w:tcW w:w="948" w:type="pct"/>
            <w:vAlign w:val="center"/>
          </w:tcPr>
          <w:p w14:paraId="76C89545">
            <w:pPr>
              <w:adjustRightInd w:val="0"/>
              <w:spacing w:line="30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53" w:type="pct"/>
            <w:vAlign w:val="center"/>
          </w:tcPr>
          <w:p w14:paraId="1091BB0E">
            <w:pPr>
              <w:adjustRightInd w:val="0"/>
              <w:spacing w:line="30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3D2490E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910" w:type="pct"/>
            <w:vAlign w:val="center"/>
          </w:tcPr>
          <w:p w14:paraId="71156E46">
            <w:pPr>
              <w:keepNext w:val="0"/>
              <w:keepLines w:val="0"/>
              <w:pageBreakBefore w:val="0"/>
              <w:widowControl w:val="0"/>
              <w:kinsoku/>
              <w:wordWrap/>
              <w:overflowPunct/>
              <w:topLinePunct w:val="0"/>
              <w:bidi w:val="0"/>
              <w:adjustRightInd w:val="0"/>
              <w:snapToGrid/>
              <w:spacing w:line="28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环境影响途径及危害后果（大气、地表水、地下水等）</w:t>
            </w:r>
          </w:p>
        </w:tc>
        <w:tc>
          <w:tcPr>
            <w:tcW w:w="4089" w:type="pct"/>
            <w:gridSpan w:val="4"/>
            <w:vAlign w:val="center"/>
          </w:tcPr>
          <w:p w14:paraId="4CCA6233">
            <w:pPr>
              <w:keepNext w:val="0"/>
              <w:keepLines w:val="0"/>
              <w:pageBreakBefore w:val="0"/>
              <w:widowControl w:val="0"/>
              <w:kinsoku/>
              <w:wordWrap/>
              <w:overflowPunct/>
              <w:topLinePunct w:val="0"/>
              <w:bidi w:val="0"/>
              <w:adjustRightInd w:val="0"/>
              <w:snapToGrid/>
              <w:spacing w:line="280" w:lineRule="exact"/>
              <w:ind w:firstLine="420"/>
              <w:textAlignment w:val="auto"/>
              <w:rPr>
                <w:rFonts w:ascii="Times New Roman" w:hAnsi="Times New Roman" w:eastAsia="宋体" w:cs="Times New Roman"/>
                <w:sz w:val="21"/>
                <w:szCs w:val="21"/>
              </w:rPr>
            </w:pPr>
            <w:r>
              <w:rPr>
                <w:rFonts w:ascii="Times New Roman" w:hAnsi="Times New Roman" w:eastAsia="宋体" w:cs="Times New Roman"/>
                <w:sz w:val="21"/>
                <w:szCs w:val="21"/>
              </w:rPr>
              <w:t>（1）对大气环境的危害后果</w:t>
            </w:r>
          </w:p>
          <w:p w14:paraId="3AF7F650">
            <w:pPr>
              <w:keepNext w:val="0"/>
              <w:keepLines w:val="0"/>
              <w:pageBreakBefore w:val="0"/>
              <w:widowControl w:val="0"/>
              <w:kinsoku/>
              <w:wordWrap/>
              <w:overflowPunct/>
              <w:topLinePunct w:val="0"/>
              <w:bidi w:val="0"/>
              <w:adjustRightInd w:val="0"/>
              <w:snapToGrid/>
              <w:spacing w:line="280" w:lineRule="exact"/>
              <w:ind w:firstLine="420"/>
              <w:textAlignment w:val="auto"/>
              <w:rPr>
                <w:rFonts w:ascii="Times New Roman" w:hAnsi="Times New Roman" w:eastAsia="宋体" w:cs="Times New Roman"/>
                <w:sz w:val="21"/>
                <w:szCs w:val="21"/>
              </w:rPr>
            </w:pPr>
            <w:r>
              <w:rPr>
                <w:rFonts w:ascii="Times New Roman" w:hAnsi="Times New Roman" w:eastAsia="宋体" w:cs="Times New Roman"/>
                <w:sz w:val="21"/>
                <w:szCs w:val="21"/>
              </w:rPr>
              <w:t>项目废气处理设施发生故障、失灵、检修等非正常运行时，处理效率下降甚至将为0，此时废气污染物可能对周围环境空气产生一定影响，但随着废气处理设施故障排除，废气对周围环境的影响随之降低。</w:t>
            </w:r>
          </w:p>
          <w:p w14:paraId="0FE7F3A0">
            <w:pPr>
              <w:keepNext w:val="0"/>
              <w:keepLines w:val="0"/>
              <w:pageBreakBefore w:val="0"/>
              <w:widowControl w:val="0"/>
              <w:kinsoku/>
              <w:wordWrap/>
              <w:overflowPunct/>
              <w:topLinePunct w:val="0"/>
              <w:bidi w:val="0"/>
              <w:adjustRightInd w:val="0"/>
              <w:snapToGrid/>
              <w:spacing w:line="280" w:lineRule="exact"/>
              <w:ind w:firstLine="420"/>
              <w:textAlignment w:val="auto"/>
              <w:rPr>
                <w:rFonts w:ascii="Times New Roman" w:hAnsi="Times New Roman" w:eastAsia="宋体" w:cs="Times New Roman"/>
                <w:sz w:val="21"/>
                <w:szCs w:val="21"/>
              </w:rPr>
            </w:pPr>
            <w:r>
              <w:rPr>
                <w:rFonts w:ascii="Times New Roman" w:hAnsi="Times New Roman" w:eastAsia="宋体" w:cs="Times New Roman"/>
                <w:sz w:val="21"/>
                <w:szCs w:val="21"/>
              </w:rPr>
              <w:t>厂区发生火灾事故，火灾事故不完全燃烧引发的大气污染物主要为一氧化碳等，产生的浓度范围在数十至数百mg/m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之间，对于下风向的环境空气质量在短时间内有较小影响，长期影响甚微。</w:t>
            </w:r>
          </w:p>
          <w:p w14:paraId="0EFED8B4">
            <w:pPr>
              <w:keepNext w:val="0"/>
              <w:keepLines w:val="0"/>
              <w:pageBreakBefore w:val="0"/>
              <w:widowControl w:val="0"/>
              <w:kinsoku/>
              <w:wordWrap/>
              <w:overflowPunct/>
              <w:topLinePunct w:val="0"/>
              <w:bidi w:val="0"/>
              <w:adjustRightInd w:val="0"/>
              <w:snapToGrid/>
              <w:spacing w:line="280" w:lineRule="exact"/>
              <w:ind w:firstLine="420"/>
              <w:textAlignment w:val="auto"/>
              <w:rPr>
                <w:rFonts w:ascii="Times New Roman" w:hAnsi="Times New Roman" w:eastAsia="宋体" w:cs="Times New Roman"/>
                <w:sz w:val="21"/>
                <w:szCs w:val="21"/>
              </w:rPr>
            </w:pPr>
            <w:r>
              <w:rPr>
                <w:rFonts w:ascii="Times New Roman" w:hAnsi="Times New Roman" w:eastAsia="宋体" w:cs="Times New Roman"/>
                <w:sz w:val="21"/>
                <w:szCs w:val="21"/>
              </w:rPr>
              <w:t>（2）对地表水、地下水环境的危害后果</w:t>
            </w:r>
          </w:p>
          <w:p w14:paraId="1E3C0ADE">
            <w:pPr>
              <w:pStyle w:val="2"/>
              <w:keepNext w:val="0"/>
              <w:keepLines w:val="0"/>
              <w:pageBreakBefore w:val="0"/>
              <w:widowControl w:val="0"/>
              <w:kinsoku/>
              <w:wordWrap/>
              <w:overflowPunct/>
              <w:topLinePunct w:val="0"/>
              <w:bidi w:val="0"/>
              <w:snapToGrid/>
              <w:spacing w:after="0" w:line="280" w:lineRule="exact"/>
              <w:ind w:firstLine="420"/>
              <w:textAlignment w:val="auto"/>
              <w:rPr>
                <w:rFonts w:ascii="Times New Roman" w:hAnsi="Times New Roman" w:cs="Times New Roman"/>
                <w:sz w:val="21"/>
                <w:szCs w:val="21"/>
              </w:rPr>
            </w:pPr>
            <w:r>
              <w:rPr>
                <w:rFonts w:ascii="Times New Roman" w:hAnsi="Times New Roman" w:cs="Times New Roman"/>
                <w:sz w:val="21"/>
                <w:szCs w:val="21"/>
              </w:rPr>
              <w:t>项目火灾事故会产生少量消防尾水，若其不能及时有效收集，会溢流至雨水管道进入地表水体，对其地表水、地下水造成影响。</w:t>
            </w:r>
          </w:p>
        </w:tc>
      </w:tr>
      <w:tr w14:paraId="70363E9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910" w:type="pct"/>
            <w:vAlign w:val="center"/>
          </w:tcPr>
          <w:p w14:paraId="60589604">
            <w:pPr>
              <w:keepNext w:val="0"/>
              <w:keepLines w:val="0"/>
              <w:pageBreakBefore w:val="0"/>
              <w:widowControl w:val="0"/>
              <w:kinsoku/>
              <w:wordWrap/>
              <w:overflowPunct/>
              <w:topLinePunct w:val="0"/>
              <w:bidi w:val="0"/>
              <w:adjustRightInd w:val="0"/>
              <w:snapToGrid/>
              <w:spacing w:line="28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风险防范措施要求</w:t>
            </w:r>
          </w:p>
        </w:tc>
        <w:tc>
          <w:tcPr>
            <w:tcW w:w="4089" w:type="pct"/>
            <w:gridSpan w:val="4"/>
            <w:vAlign w:val="center"/>
          </w:tcPr>
          <w:p w14:paraId="3674449E">
            <w:pPr>
              <w:pStyle w:val="93"/>
              <w:keepNext w:val="0"/>
              <w:keepLines w:val="0"/>
              <w:pageBreakBefore w:val="0"/>
              <w:widowControl w:val="0"/>
              <w:kinsoku/>
              <w:wordWrap/>
              <w:overflowPunct/>
              <w:topLinePunct w:val="0"/>
              <w:bidi w:val="0"/>
              <w:snapToGrid/>
              <w:spacing w:line="280" w:lineRule="exact"/>
              <w:ind w:firstLine="420"/>
              <w:jc w:val="left"/>
              <w:textAlignment w:val="auto"/>
              <w:rPr>
                <w:rFonts w:ascii="Times New Roman" w:hAnsi="Times New Roman" w:eastAsia="宋体" w:cs="Times New Roman"/>
                <w:color w:val="000000"/>
                <w:sz w:val="21"/>
                <w:szCs w:val="21"/>
                <w:lang w:eastAsia="zh-CN"/>
              </w:rPr>
            </w:pPr>
            <w:r>
              <w:rPr>
                <w:rFonts w:ascii="Times New Roman" w:hAnsi="Times New Roman" w:eastAsia="宋体" w:cs="Times New Roman"/>
                <w:color w:val="000000"/>
                <w:sz w:val="21"/>
                <w:szCs w:val="21"/>
                <w:lang w:eastAsia="zh-CN"/>
              </w:rPr>
              <w:t>①项目废气治理设施定期检查，正常工况下需先打开治理设施，再启动生产设备，如治理措施发生故障，应当立即停止生产，待设备检修完毕后方可再次投入生产。</w:t>
            </w:r>
          </w:p>
          <w:p w14:paraId="386145AB">
            <w:pPr>
              <w:pStyle w:val="93"/>
              <w:keepNext w:val="0"/>
              <w:keepLines w:val="0"/>
              <w:pageBreakBefore w:val="0"/>
              <w:widowControl w:val="0"/>
              <w:kinsoku/>
              <w:wordWrap/>
              <w:overflowPunct/>
              <w:topLinePunct w:val="0"/>
              <w:bidi w:val="0"/>
              <w:snapToGrid/>
              <w:spacing w:line="280" w:lineRule="exact"/>
              <w:ind w:firstLine="420"/>
              <w:jc w:val="left"/>
              <w:textAlignment w:val="auto"/>
              <w:rPr>
                <w:rFonts w:ascii="Times New Roman" w:hAnsi="Times New Roman" w:eastAsia="宋体" w:cs="Times New Roman"/>
                <w:color w:val="000000"/>
                <w:sz w:val="21"/>
                <w:szCs w:val="21"/>
                <w:lang w:eastAsia="zh-CN"/>
              </w:rPr>
            </w:pPr>
            <w:r>
              <w:rPr>
                <w:rFonts w:ascii="Times New Roman" w:hAnsi="Times New Roman" w:eastAsia="宋体" w:cs="Times New Roman"/>
                <w:color w:val="000000"/>
                <w:sz w:val="21"/>
                <w:szCs w:val="21"/>
                <w:lang w:eastAsia="zh-CN"/>
              </w:rPr>
              <w:t>②项目废</w:t>
            </w:r>
            <w:r>
              <w:rPr>
                <w:rFonts w:hint="eastAsia" w:ascii="Times New Roman" w:hAnsi="Times New Roman" w:eastAsia="宋体" w:cs="Times New Roman"/>
                <w:color w:val="000000"/>
                <w:sz w:val="21"/>
                <w:szCs w:val="21"/>
                <w:lang w:eastAsia="zh-CN"/>
              </w:rPr>
              <w:t>水</w:t>
            </w:r>
            <w:r>
              <w:rPr>
                <w:rFonts w:ascii="Times New Roman" w:hAnsi="Times New Roman" w:eastAsia="宋体" w:cs="Times New Roman"/>
                <w:color w:val="000000"/>
                <w:sz w:val="21"/>
                <w:szCs w:val="21"/>
                <w:lang w:eastAsia="zh-CN"/>
              </w:rPr>
              <w:t>治理设施定期检查</w:t>
            </w:r>
            <w:r>
              <w:rPr>
                <w:rFonts w:hint="eastAsia" w:ascii="Times New Roman" w:hAnsi="Times New Roman" w:eastAsia="宋体" w:cs="Times New Roman"/>
                <w:color w:val="000000"/>
                <w:sz w:val="21"/>
                <w:szCs w:val="21"/>
                <w:lang w:eastAsia="zh-CN"/>
              </w:rPr>
              <w:t>，废水处理达标后才能排入尾水暂存池</w:t>
            </w:r>
            <w:r>
              <w:rPr>
                <w:rFonts w:ascii="Times New Roman" w:hAnsi="Times New Roman" w:eastAsia="宋体" w:cs="Times New Roman"/>
                <w:color w:val="000000"/>
                <w:sz w:val="21"/>
                <w:szCs w:val="21"/>
                <w:lang w:eastAsia="zh-CN"/>
              </w:rPr>
              <w:t>，如治理措施发生故障，应当立即停止生产，待设备检修完毕后方可再次投入生产。</w:t>
            </w:r>
          </w:p>
          <w:p w14:paraId="3E48B921">
            <w:pPr>
              <w:pStyle w:val="93"/>
              <w:keepNext w:val="0"/>
              <w:keepLines w:val="0"/>
              <w:pageBreakBefore w:val="0"/>
              <w:widowControl w:val="0"/>
              <w:kinsoku/>
              <w:wordWrap/>
              <w:overflowPunct/>
              <w:topLinePunct w:val="0"/>
              <w:bidi w:val="0"/>
              <w:snapToGrid/>
              <w:spacing w:line="280" w:lineRule="exact"/>
              <w:ind w:firstLine="420"/>
              <w:jc w:val="left"/>
              <w:textAlignment w:val="auto"/>
              <w:rPr>
                <w:rFonts w:ascii="Times New Roman" w:hAnsi="Times New Roman" w:eastAsia="宋体" w:cs="Times New Roman"/>
                <w:color w:val="000000"/>
                <w:sz w:val="21"/>
                <w:szCs w:val="21"/>
                <w:lang w:eastAsia="zh-CN"/>
              </w:rPr>
            </w:pPr>
            <w:r>
              <w:rPr>
                <w:rFonts w:ascii="Times New Roman" w:hAnsi="Times New Roman" w:eastAsia="宋体" w:cs="Times New Roman"/>
                <w:color w:val="000000"/>
                <w:sz w:val="21"/>
                <w:szCs w:val="21"/>
                <w:lang w:eastAsia="zh-CN"/>
              </w:rPr>
              <w:t>③在厂区总平面布置方面，严格执行相关规范要求，各场所留有足够的防火间距，防止在火灾时相互影响；严格按工艺处理物料特性，对厂区进行危险区划分。按《安全标志》规定在装置区设置有关的安全标志。</w:t>
            </w:r>
          </w:p>
          <w:p w14:paraId="7B32FC67">
            <w:pPr>
              <w:pStyle w:val="93"/>
              <w:keepNext w:val="0"/>
              <w:keepLines w:val="0"/>
              <w:pageBreakBefore w:val="0"/>
              <w:widowControl w:val="0"/>
              <w:kinsoku/>
              <w:wordWrap/>
              <w:overflowPunct/>
              <w:topLinePunct w:val="0"/>
              <w:bidi w:val="0"/>
              <w:snapToGrid/>
              <w:spacing w:line="280" w:lineRule="exact"/>
              <w:ind w:firstLine="420"/>
              <w:jc w:val="left"/>
              <w:textAlignment w:val="auto"/>
              <w:rPr>
                <w:rFonts w:ascii="Times New Roman" w:hAnsi="Times New Roman" w:eastAsia="宋体" w:cs="Times New Roman"/>
                <w:color w:val="000000"/>
                <w:sz w:val="21"/>
                <w:szCs w:val="21"/>
                <w:lang w:eastAsia="zh-CN"/>
              </w:rPr>
            </w:pPr>
            <w:r>
              <w:rPr>
                <w:rFonts w:ascii="Times New Roman" w:hAnsi="Times New Roman" w:eastAsia="宋体" w:cs="Times New Roman"/>
                <w:color w:val="000000"/>
                <w:sz w:val="21"/>
                <w:szCs w:val="21"/>
                <w:lang w:eastAsia="zh-CN"/>
              </w:rPr>
              <w:t>④车间置明显标志牌，远离火源，不允许任何人员随便入内。安全出口及安全疏散距离应符合</w:t>
            </w:r>
            <w:r>
              <w:rPr>
                <w:rFonts w:ascii="Times New Roman" w:hAnsi="Times New Roman" w:eastAsia="宋体" w:cs="Times New Roman"/>
                <w:sz w:val="21"/>
                <w:szCs w:val="21"/>
                <w:lang w:eastAsia="zh-CN"/>
              </w:rPr>
              <w:t>《建筑防火设计规范》（GB50016-2022）</w:t>
            </w:r>
            <w:r>
              <w:rPr>
                <w:rFonts w:ascii="Times New Roman" w:hAnsi="Times New Roman" w:eastAsia="宋体" w:cs="Times New Roman"/>
                <w:color w:val="000000"/>
                <w:sz w:val="21"/>
                <w:szCs w:val="21"/>
                <w:lang w:eastAsia="zh-CN"/>
              </w:rPr>
              <w:t>的要求。车间内设置救护箱。工作人员配备必要的个人防护用品。</w:t>
            </w:r>
          </w:p>
          <w:p w14:paraId="5DF3BFDC">
            <w:pPr>
              <w:pStyle w:val="93"/>
              <w:keepNext w:val="0"/>
              <w:keepLines w:val="0"/>
              <w:pageBreakBefore w:val="0"/>
              <w:widowControl w:val="0"/>
              <w:kinsoku/>
              <w:wordWrap/>
              <w:overflowPunct/>
              <w:topLinePunct w:val="0"/>
              <w:bidi w:val="0"/>
              <w:snapToGrid/>
              <w:spacing w:line="280" w:lineRule="exact"/>
              <w:ind w:firstLine="420"/>
              <w:jc w:val="left"/>
              <w:textAlignment w:val="auto"/>
              <w:rPr>
                <w:rFonts w:ascii="Times New Roman" w:hAnsi="Times New Roman" w:eastAsia="宋体" w:cs="Times New Roman"/>
                <w:color w:val="000000"/>
                <w:sz w:val="21"/>
                <w:szCs w:val="21"/>
                <w:lang w:eastAsia="zh-CN"/>
              </w:rPr>
            </w:pPr>
            <w:r>
              <w:rPr>
                <w:rFonts w:ascii="Times New Roman" w:hAnsi="Times New Roman" w:eastAsia="宋体" w:cs="Times New Roman"/>
                <w:color w:val="000000"/>
                <w:sz w:val="21"/>
                <w:szCs w:val="21"/>
                <w:lang w:eastAsia="zh-CN"/>
              </w:rPr>
              <w:t>⑤车间不应设置有引起明火、火花的设备和产生火花或炙热金属颗粒的设备。照明灯具屏采用安全型。</w:t>
            </w:r>
          </w:p>
          <w:p w14:paraId="0FA3C79C">
            <w:pPr>
              <w:keepNext w:val="0"/>
              <w:keepLines w:val="0"/>
              <w:pageBreakBefore w:val="0"/>
              <w:widowControl w:val="0"/>
              <w:kinsoku/>
              <w:wordWrap/>
              <w:overflowPunct/>
              <w:topLinePunct w:val="0"/>
              <w:bidi w:val="0"/>
              <w:adjustRightInd w:val="0"/>
              <w:snapToGrid/>
              <w:spacing w:line="280" w:lineRule="exact"/>
              <w:ind w:firstLine="420"/>
              <w:textAlignment w:val="auto"/>
              <w:rPr>
                <w:rFonts w:ascii="Times New Roman" w:hAnsi="Times New Roman" w:eastAsia="宋体" w:cs="Times New Roman"/>
                <w:sz w:val="21"/>
                <w:szCs w:val="21"/>
              </w:rPr>
            </w:pPr>
            <w:r>
              <w:rPr>
                <w:rFonts w:hint="eastAsia" w:ascii="宋体" w:hAnsi="宋体" w:eastAsia="宋体" w:cs="宋体"/>
                <w:color w:val="000000"/>
                <w:sz w:val="21"/>
                <w:szCs w:val="21"/>
              </w:rPr>
              <w:t>⑥</w:t>
            </w:r>
            <w:r>
              <w:rPr>
                <w:rFonts w:ascii="Times New Roman" w:hAnsi="Times New Roman" w:eastAsia="宋体" w:cs="Times New Roman"/>
                <w:color w:val="000000"/>
                <w:sz w:val="21"/>
                <w:szCs w:val="21"/>
              </w:rPr>
              <w:t>应根据生产特点和事故隐患分析，建立事故应急计划，建立事故应急组织管理制度，包括事故现场指挥人员、事故处理人员等各自的职责、任务，事故处理步骤，事故隔离区域和人员疏散等，并定期组织消防安全演练。</w:t>
            </w:r>
          </w:p>
        </w:tc>
      </w:tr>
    </w:tbl>
    <w:p w14:paraId="6FAE638F">
      <w:pPr>
        <w:keepNext w:val="0"/>
        <w:keepLines w:val="0"/>
        <w:pageBreakBefore w:val="0"/>
        <w:widowControl w:val="0"/>
        <w:tabs>
          <w:tab w:val="left" w:pos="1680"/>
        </w:tabs>
        <w:kinsoku/>
        <w:wordWrap/>
        <w:overflowPunct/>
        <w:topLinePunct w:val="0"/>
        <w:autoSpaceDE/>
        <w:autoSpaceDN/>
        <w:bidi w:val="0"/>
        <w:adjustRightInd/>
        <w:snapToGrid w:val="0"/>
        <w:spacing w:line="460" w:lineRule="exact"/>
        <w:ind w:firstLine="480" w:firstLineChars="200"/>
        <w:textAlignment w:val="auto"/>
      </w:pPr>
      <w:r>
        <w:rPr>
          <w:rFonts w:hAnsi="宋体"/>
          <w:color w:val="000000"/>
        </w:rPr>
        <w:t>综上，</w:t>
      </w:r>
      <w:r>
        <w:rPr>
          <w:rFonts w:hint="eastAsia" w:hAnsi="宋体"/>
          <w:color w:val="000000"/>
        </w:rPr>
        <w:t>本项目</w:t>
      </w:r>
      <w:r>
        <w:rPr>
          <w:rFonts w:hAnsi="宋体"/>
          <w:color w:val="000000"/>
        </w:rPr>
        <w:t>风险潜势为</w:t>
      </w:r>
      <w:r>
        <w:rPr>
          <w:color w:val="000000"/>
        </w:rPr>
        <w:t xml:space="preserve"> I</w:t>
      </w:r>
      <w:r>
        <w:rPr>
          <w:rFonts w:hAnsi="宋体"/>
          <w:color w:val="000000"/>
        </w:rPr>
        <w:t>，环境风险影响较小。项目可能发生的风险事故为</w:t>
      </w:r>
      <w:r>
        <w:rPr>
          <w:rFonts w:hint="eastAsia" w:hAnsi="宋体"/>
          <w:color w:val="000000"/>
        </w:rPr>
        <w:t>柴油泄漏、危险废物</w:t>
      </w:r>
      <w:r>
        <w:rPr>
          <w:rFonts w:hAnsi="宋体"/>
          <w:color w:val="000000"/>
        </w:rPr>
        <w:t>的小规模泄漏、火灾</w:t>
      </w:r>
      <w:r>
        <w:rPr>
          <w:rFonts w:hint="eastAsia" w:hAnsi="宋体"/>
          <w:color w:val="000000"/>
        </w:rPr>
        <w:t>及中毒，废气、废水事故排放等</w:t>
      </w:r>
      <w:r>
        <w:rPr>
          <w:rFonts w:hAnsi="宋体"/>
          <w:color w:val="000000"/>
        </w:rPr>
        <w:t>等，通过采取风险防治措施，可有效降低事故发生概率，确保泄漏等风险事故对外环境造成环境</w:t>
      </w:r>
      <w:r>
        <w:rPr>
          <w:rFonts w:hint="eastAsia" w:hAnsi="宋体"/>
          <w:color w:val="000000"/>
        </w:rPr>
        <w:t>影响</w:t>
      </w:r>
      <w:r>
        <w:rPr>
          <w:rFonts w:hAnsi="宋体"/>
          <w:color w:val="000000"/>
        </w:rPr>
        <w:t>可</w:t>
      </w:r>
      <w:r>
        <w:rPr>
          <w:rFonts w:hint="eastAsia" w:hAnsi="宋体"/>
          <w:color w:val="000000"/>
        </w:rPr>
        <w:t>防控</w:t>
      </w:r>
      <w:r>
        <w:rPr>
          <w:rFonts w:hAnsi="宋体"/>
          <w:color w:val="000000"/>
        </w:rPr>
        <w:t>。因此，</w:t>
      </w:r>
      <w:r>
        <w:rPr>
          <w:rFonts w:hint="eastAsia" w:hAnsi="宋体"/>
          <w:color w:val="000000"/>
        </w:rPr>
        <w:t>本项目</w:t>
      </w:r>
      <w:r>
        <w:rPr>
          <w:rFonts w:hAnsi="宋体"/>
          <w:color w:val="000000"/>
        </w:rPr>
        <w:t>的环境风险可防控。</w:t>
      </w:r>
    </w:p>
    <w:p w14:paraId="3ABFA25F">
      <w:pPr>
        <w:ind w:firstLine="480" w:firstLineChars="200"/>
      </w:pPr>
      <w:r>
        <w:br w:type="page"/>
      </w:r>
    </w:p>
    <w:p w14:paraId="2033D950">
      <w:pPr>
        <w:pStyle w:val="3"/>
        <w:spacing w:line="500" w:lineRule="exact"/>
        <w:rPr>
          <w:color w:val="000000" w:themeColor="text1"/>
          <w14:textFill>
            <w14:solidFill>
              <w14:schemeClr w14:val="tx1"/>
            </w14:solidFill>
          </w14:textFill>
        </w:rPr>
      </w:pPr>
      <w:bookmarkStart w:id="134" w:name="_Toc3393"/>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环境保护措施及其可行性论证</w:t>
      </w:r>
      <w:bookmarkEnd w:id="134"/>
    </w:p>
    <w:p w14:paraId="30F00AE5">
      <w:pPr>
        <w:pStyle w:val="4"/>
        <w:spacing w:after="0" w:line="500" w:lineRule="exact"/>
        <w:jc w:val="both"/>
        <w:rPr>
          <w:color w:val="000000" w:themeColor="text1"/>
          <w14:textFill>
            <w14:solidFill>
              <w14:schemeClr w14:val="tx1"/>
            </w14:solidFill>
          </w14:textFill>
        </w:rPr>
      </w:pPr>
      <w:bookmarkStart w:id="135" w:name="_Toc8203"/>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施工期环境保护措施分析</w:t>
      </w:r>
      <w:bookmarkEnd w:id="135"/>
    </w:p>
    <w:p w14:paraId="6FD39357">
      <w:pPr>
        <w:pStyle w:val="7"/>
        <w:spacing w:line="5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施工期大气污染防治措施</w:t>
      </w:r>
    </w:p>
    <w:p w14:paraId="5A35370C">
      <w:pPr>
        <w:spacing w:line="500" w:lineRule="exact"/>
        <w:ind w:firstLine="482"/>
        <w:rPr>
          <w:rFonts w:ascii="Times New Roman"/>
          <w:color w:val="000000"/>
          <w:szCs w:val="24"/>
        </w:rPr>
      </w:pPr>
      <w:r>
        <w:rPr>
          <w:rFonts w:ascii="Times New Roman"/>
          <w:szCs w:val="24"/>
        </w:rPr>
        <w:t>本项目施工期的大气污染物主要是施工扬尘和施工机械尾气。</w:t>
      </w:r>
      <w:r>
        <w:rPr>
          <w:rFonts w:ascii="Times New Roman"/>
          <w:color w:val="000000"/>
          <w:szCs w:val="24"/>
        </w:rPr>
        <w:t>项目施工须严格按照《防治城市扬尘污染技术规范》（HJ/T393-2007）的要求，采取合理可行的控制和管理措施，减轻施工扬尘的污染。主要防治对策有：</w:t>
      </w:r>
    </w:p>
    <w:p w14:paraId="1D617DDE">
      <w:pPr>
        <w:spacing w:line="500" w:lineRule="exact"/>
        <w:ind w:firstLine="482"/>
        <w:rPr>
          <w:rFonts w:ascii="Times New Roman"/>
          <w:color w:val="000000"/>
          <w:szCs w:val="24"/>
        </w:rPr>
      </w:pPr>
      <w:r>
        <w:rPr>
          <w:rFonts w:ascii="Times New Roman"/>
          <w:color w:val="000000"/>
          <w:szCs w:val="24"/>
        </w:rPr>
        <w:t>1）施工现场实行合理化管理，少量的砂、石料应统一堆放、保存，以尽可能减少堆场数量，并加棚布等覆盖；白灰等粉状材料运输应袋装或罐装，禁止散装，应设专门的库房堆放，并具备可靠的预防扬尘措施，尽量减少搬运环节并尽可能使用预制混凝土。</w:t>
      </w:r>
    </w:p>
    <w:p w14:paraId="33D6CEFC">
      <w:pPr>
        <w:spacing w:line="500" w:lineRule="exact"/>
        <w:ind w:firstLine="482"/>
        <w:rPr>
          <w:rFonts w:ascii="Times New Roman"/>
          <w:color w:val="000000"/>
          <w:szCs w:val="24"/>
        </w:rPr>
      </w:pPr>
      <w:r>
        <w:rPr>
          <w:rFonts w:ascii="Times New Roman"/>
          <w:color w:val="000000"/>
          <w:szCs w:val="24"/>
        </w:rPr>
        <w:t>2）挖掘前，对作业面和土堆适当喷水，使其保持一定的湿度减少扬尘。及时清运开挖的土方与建筑垃圾，以防因长期堆放而表面干燥起尘。</w:t>
      </w:r>
    </w:p>
    <w:p w14:paraId="01DBDD80">
      <w:pPr>
        <w:spacing w:line="500" w:lineRule="exact"/>
        <w:ind w:firstLine="482"/>
        <w:rPr>
          <w:rFonts w:ascii="Times New Roman"/>
          <w:color w:val="000000"/>
          <w:szCs w:val="24"/>
        </w:rPr>
      </w:pPr>
      <w:r>
        <w:rPr>
          <w:rFonts w:ascii="Times New Roman"/>
          <w:color w:val="000000"/>
          <w:szCs w:val="24"/>
        </w:rPr>
        <w:t>3）减少运输过程的扬尘，谨防运输车辆装载过满，不得超出车厢板高度，并采取遮盖、密闭措施减少沿途抛洒、散落，并及时清扫散落在路面上的泥土和建筑材料，定期冲洗轮胎，车辆不得带泥、沙出施工场地。</w:t>
      </w:r>
    </w:p>
    <w:p w14:paraId="18637722">
      <w:pPr>
        <w:spacing w:line="500" w:lineRule="exact"/>
        <w:ind w:firstLine="482"/>
        <w:rPr>
          <w:rFonts w:ascii="Times New Roman"/>
          <w:color w:val="000000"/>
          <w:szCs w:val="24"/>
        </w:rPr>
      </w:pPr>
      <w:r>
        <w:rPr>
          <w:rFonts w:ascii="Times New Roman"/>
          <w:color w:val="000000"/>
          <w:szCs w:val="24"/>
        </w:rPr>
        <w:t>4）施工现场进行围栏或部分围栏，缩小施工扬尘扩散范围。</w:t>
      </w:r>
    </w:p>
    <w:p w14:paraId="1C58DB7E">
      <w:pPr>
        <w:spacing w:line="500" w:lineRule="exact"/>
        <w:ind w:firstLine="482"/>
        <w:rPr>
          <w:rFonts w:ascii="Times New Roman"/>
          <w:color w:val="000000"/>
          <w:szCs w:val="24"/>
        </w:rPr>
      </w:pPr>
      <w:r>
        <w:rPr>
          <w:rFonts w:ascii="Times New Roman"/>
          <w:color w:val="000000"/>
          <w:szCs w:val="24"/>
        </w:rPr>
        <w:t>5）当出现风速过大等不利天气状况时应停止施工作业，并对堆存的建筑材料进行遮盖。</w:t>
      </w:r>
    </w:p>
    <w:p w14:paraId="355C1A08">
      <w:pPr>
        <w:spacing w:line="500" w:lineRule="exact"/>
        <w:ind w:firstLine="482"/>
        <w:rPr>
          <w:rFonts w:ascii="Times New Roman"/>
          <w:color w:val="000000"/>
          <w:szCs w:val="24"/>
        </w:rPr>
      </w:pPr>
      <w:r>
        <w:rPr>
          <w:rFonts w:ascii="Times New Roman"/>
          <w:color w:val="000000"/>
          <w:szCs w:val="24"/>
        </w:rPr>
        <w:t>通过以上措施，可基本防止施工中粉尘污染，不会对区域空气质量造成明显影响。</w:t>
      </w:r>
    </w:p>
    <w:p w14:paraId="7D8EC593">
      <w:pPr>
        <w:pStyle w:val="7"/>
        <w:spacing w:line="500" w:lineRule="exact"/>
      </w:pPr>
      <w:r>
        <w:rPr>
          <w:rFonts w:hint="eastAsia"/>
        </w:rPr>
        <w:t>6</w:t>
      </w:r>
      <w:r>
        <w:t xml:space="preserve">.1.2 </w:t>
      </w:r>
      <w:r>
        <w:rPr>
          <w:rFonts w:hint="eastAsia"/>
        </w:rPr>
        <w:t>施工期水污染防治措施</w:t>
      </w:r>
    </w:p>
    <w:p w14:paraId="5A7CAEA1">
      <w:pPr>
        <w:pStyle w:val="105"/>
        <w:snapToGrid/>
        <w:ind w:firstLine="480"/>
        <w:rPr>
          <w:color w:val="000000"/>
          <w:sz w:val="24"/>
          <w:szCs w:val="24"/>
        </w:rPr>
      </w:pPr>
      <w:r>
        <w:rPr>
          <w:sz w:val="24"/>
          <w:szCs w:val="24"/>
        </w:rPr>
        <w:t>施工期产生的废水包括施工人员的生活污水和施工本身产生的施工废水。生活污水主要源自施工人员日常生活，主要的污染物是 COD、BOD</w:t>
      </w:r>
      <w:r>
        <w:rPr>
          <w:sz w:val="24"/>
          <w:szCs w:val="24"/>
          <w:vertAlign w:val="subscript"/>
        </w:rPr>
        <w:t>5</w:t>
      </w:r>
      <w:r>
        <w:rPr>
          <w:sz w:val="24"/>
          <w:szCs w:val="24"/>
        </w:rPr>
        <w:t>和石油类等。</w:t>
      </w:r>
      <w:r>
        <w:rPr>
          <w:color w:val="000000"/>
          <w:sz w:val="24"/>
          <w:szCs w:val="24"/>
        </w:rPr>
        <w:t>施工营地租用当地民房，施工人员的生活污水利用现有居民化粪池处理。</w:t>
      </w:r>
    </w:p>
    <w:p w14:paraId="4DF0B2C2">
      <w:pPr>
        <w:adjustRightInd w:val="0"/>
        <w:spacing w:line="500" w:lineRule="exact"/>
        <w:ind w:firstLine="560"/>
        <w:rPr>
          <w:rFonts w:ascii="Times New Roman"/>
          <w:szCs w:val="24"/>
        </w:rPr>
      </w:pPr>
      <w:r>
        <w:rPr>
          <w:rFonts w:ascii="Times New Roman"/>
          <w:szCs w:val="24"/>
        </w:rPr>
        <w:t>施工废水主要包括土方阶段降水井排水、结构阶段混凝土养护排水、各种车辆冲洗水等，其中主要是工程养护排水。该部分施工废水经收集池沉淀处理后循环使用。在施工中上述废水量均不大，但如果不经处理或处理不当，同样会危害环境，因此施工期废水不应随意直排。要求建设单位在施工过程中严格按照环保要求收集处置施工期产生的各类废水。现场发现有积水应及时清理，现场道路和排水管道应随时保持畅通，发现有堵塞现象及时疏导。</w:t>
      </w:r>
    </w:p>
    <w:p w14:paraId="727264A3">
      <w:pPr>
        <w:pStyle w:val="7"/>
        <w:spacing w:line="500" w:lineRule="exact"/>
      </w:pPr>
      <w:r>
        <w:rPr>
          <w:rFonts w:hint="eastAsia"/>
        </w:rPr>
        <w:t>6</w:t>
      </w:r>
      <w:r>
        <w:t xml:space="preserve">.1.3 </w:t>
      </w:r>
      <w:r>
        <w:rPr>
          <w:rFonts w:hint="eastAsia"/>
        </w:rPr>
        <w:t>施工期噪声污染防治措施</w:t>
      </w:r>
    </w:p>
    <w:p w14:paraId="6B0D54EF">
      <w:pPr>
        <w:adjustRightInd w:val="0"/>
        <w:spacing w:line="500" w:lineRule="exact"/>
        <w:ind w:firstLine="560"/>
        <w:rPr>
          <w:rFonts w:ascii="Times New Roman"/>
          <w:szCs w:val="24"/>
        </w:rPr>
      </w:pPr>
      <w:r>
        <w:rPr>
          <w:rFonts w:ascii="Times New Roman"/>
          <w:szCs w:val="24"/>
        </w:rPr>
        <w:t>噪声是施工期主要的污染因子，施工过程中使用的运输车辆及各种施工机械，如挖掘机、推土机、混凝土搅拌机、起重机、注浆机、运输车辆等都是噪声的产生源。为减轻施工噪声对环境影响，建议采取以下措施：</w:t>
      </w:r>
    </w:p>
    <w:p w14:paraId="293686EB">
      <w:pPr>
        <w:adjustRightInd w:val="0"/>
        <w:spacing w:line="500" w:lineRule="exact"/>
        <w:ind w:firstLine="560"/>
        <w:rPr>
          <w:rFonts w:ascii="Times New Roman"/>
          <w:szCs w:val="24"/>
        </w:rPr>
      </w:pPr>
      <w:r>
        <w:rPr>
          <w:rFonts w:ascii="Times New Roman"/>
          <w:szCs w:val="24"/>
        </w:rPr>
        <w:t>（1）降低声源的噪声强度。对基础施工过程中主要发声设备如空压机、风镐以及打夯机等，应考虑采用以下措施进行代替，如使用水力混凝土破碎机代替风镐，使用水力撞锤代替打夯机，将都将大大降低噪声源强。</w:t>
      </w:r>
    </w:p>
    <w:p w14:paraId="3929F0DC">
      <w:pPr>
        <w:adjustRightInd w:val="0"/>
        <w:spacing w:line="500" w:lineRule="exact"/>
        <w:ind w:firstLine="560"/>
        <w:rPr>
          <w:rFonts w:ascii="Times New Roman"/>
          <w:szCs w:val="24"/>
        </w:rPr>
      </w:pPr>
      <w:r>
        <w:rPr>
          <w:rFonts w:ascii="Times New Roman"/>
          <w:szCs w:val="24"/>
        </w:rPr>
        <w:t>（2）采用局部吸声、隔声降噪技术。对各施工环节中噪声较为突出且又难以对声源进行降噪可能的设备装置，应采取临时围障措施，在围障最好敷以吸声材料，以达到降噪效果。</w:t>
      </w:r>
    </w:p>
    <w:p w14:paraId="05424942">
      <w:pPr>
        <w:adjustRightInd w:val="0"/>
        <w:spacing w:line="500" w:lineRule="exact"/>
        <w:ind w:firstLine="560"/>
        <w:rPr>
          <w:rFonts w:ascii="Times New Roman"/>
          <w:szCs w:val="24"/>
        </w:rPr>
      </w:pPr>
      <w:r>
        <w:rPr>
          <w:rFonts w:ascii="Times New Roman"/>
          <w:szCs w:val="24"/>
        </w:rPr>
        <w:t>（3）产生环境噪声污染的运输渣土、运输建筑材料和进行土方挖掘的车辆，应当在规定时间内进行施工作业。未经批准，不得在夜间使用产生严重噪声污染的大型施工机具，施工现场夜间禁止使用电锯、风镐等高噪声设备。</w:t>
      </w:r>
    </w:p>
    <w:p w14:paraId="5B506553">
      <w:pPr>
        <w:pStyle w:val="7"/>
        <w:spacing w:line="500" w:lineRule="exact"/>
        <w:ind w:firstLine="480" w:firstLineChars="200"/>
        <w:rPr>
          <w:rFonts w:ascii="Times New Roman"/>
          <w:b w:val="0"/>
          <w:bCs w:val="0"/>
          <w:sz w:val="24"/>
          <w:szCs w:val="24"/>
        </w:rPr>
      </w:pPr>
      <w:r>
        <w:rPr>
          <w:rFonts w:ascii="Times New Roman"/>
          <w:b w:val="0"/>
          <w:bCs w:val="0"/>
          <w:sz w:val="24"/>
          <w:szCs w:val="24"/>
        </w:rPr>
        <w:t>（4）尽量压缩施工区汽车数量和行车密度，控制汽车鸣笛。应合理安排运输时段，以减少扰民事件的发生。</w:t>
      </w:r>
    </w:p>
    <w:p w14:paraId="01F31219">
      <w:pPr>
        <w:pStyle w:val="7"/>
        <w:spacing w:line="500" w:lineRule="exact"/>
      </w:pPr>
      <w:r>
        <w:rPr>
          <w:rFonts w:hint="eastAsia"/>
        </w:rPr>
        <w:t>6</w:t>
      </w:r>
      <w:r>
        <w:t xml:space="preserve">.1.4 </w:t>
      </w:r>
      <w:r>
        <w:rPr>
          <w:rFonts w:hint="eastAsia"/>
        </w:rPr>
        <w:t>施工期固废污染防治措施</w:t>
      </w:r>
    </w:p>
    <w:p w14:paraId="08B65CA4">
      <w:pPr>
        <w:spacing w:line="500" w:lineRule="exact"/>
        <w:ind w:firstLine="480" w:firstLineChars="200"/>
        <w:rPr>
          <w:rFonts w:ascii="Times New Roman"/>
          <w:color w:val="000000"/>
          <w:szCs w:val="24"/>
        </w:rPr>
      </w:pPr>
      <w:r>
        <w:rPr>
          <w:rFonts w:ascii="Times New Roman"/>
          <w:color w:val="000000"/>
          <w:szCs w:val="24"/>
        </w:rPr>
        <w:t>施工期固体废弃物主要为施工人员的生活垃圾、施工渣土及损坏或废弃的各种建筑装修材料。</w:t>
      </w:r>
    </w:p>
    <w:p w14:paraId="17670D00">
      <w:pPr>
        <w:spacing w:line="500" w:lineRule="exact"/>
        <w:ind w:firstLine="480" w:firstLineChars="200"/>
        <w:rPr>
          <w:rFonts w:ascii="Times New Roman"/>
          <w:color w:val="000000"/>
          <w:szCs w:val="24"/>
        </w:rPr>
      </w:pPr>
      <w:r>
        <w:rPr>
          <w:rFonts w:ascii="Times New Roman"/>
          <w:color w:val="000000"/>
          <w:szCs w:val="24"/>
        </w:rPr>
        <w:t>建筑垃圾主要有开挖土地产生的土方、建材损耗产生的垃圾等，包括砂土、石块、水泥、碎木料、锯木屑、废金属、钢筋、铁丝等杂物。其中砂土、石块、水泥等可用于填路材料，废金属、钢筋、铁丝等可以回收利用，其他的统一收集后由</w:t>
      </w:r>
      <w:r>
        <w:rPr>
          <w:rFonts w:hint="eastAsia" w:ascii="Times New Roman"/>
          <w:color w:val="000000"/>
          <w:szCs w:val="24"/>
        </w:rPr>
        <w:t>当地</w:t>
      </w:r>
      <w:r>
        <w:rPr>
          <w:rFonts w:ascii="Times New Roman"/>
          <w:color w:val="000000"/>
          <w:szCs w:val="24"/>
        </w:rPr>
        <w:t>环卫部门及时清运。</w:t>
      </w:r>
    </w:p>
    <w:p w14:paraId="68BC743D">
      <w:pPr>
        <w:spacing w:line="500" w:lineRule="exact"/>
        <w:ind w:firstLine="480" w:firstLineChars="200"/>
        <w:rPr>
          <w:rFonts w:ascii="Times New Roman"/>
          <w:color w:val="000000"/>
          <w:szCs w:val="24"/>
        </w:rPr>
      </w:pPr>
      <w:r>
        <w:rPr>
          <w:rFonts w:ascii="Times New Roman"/>
          <w:color w:val="000000"/>
          <w:szCs w:val="24"/>
        </w:rPr>
        <w:t>施工中产生的建筑垃圾要及时清运或加以利用，若长期堆放，在气候干燥时易产生扬尘；下雨时易造成冲刷、淋溶，导致水环境污染。施工中生活垃圾如不及时清运处理，则会腐烂变质、滋生蚊虫苍蝇，产生恶臭，传染疾病，从而对周围环境和作业人员的健康带来不利影响。</w:t>
      </w:r>
    </w:p>
    <w:p w14:paraId="620B0D23">
      <w:pPr>
        <w:spacing w:line="500" w:lineRule="exact"/>
        <w:ind w:firstLine="480" w:firstLineChars="200"/>
        <w:rPr>
          <w:rFonts w:ascii="Times New Roman"/>
          <w:color w:val="000000"/>
          <w:szCs w:val="24"/>
        </w:rPr>
      </w:pPr>
      <w:r>
        <w:rPr>
          <w:rFonts w:ascii="Times New Roman"/>
          <w:color w:val="000000"/>
          <w:szCs w:val="24"/>
        </w:rPr>
        <w:t>为减轻建设项目施工期间产生的建筑垃圾和工程渣土对外环境的不良影响，建设单位和施工单位必须严格按照下列要求进行处理：</w:t>
      </w:r>
    </w:p>
    <w:p w14:paraId="05279BBC">
      <w:pPr>
        <w:spacing w:line="500" w:lineRule="exact"/>
        <w:ind w:firstLine="482"/>
        <w:rPr>
          <w:rFonts w:ascii="Times New Roman"/>
          <w:color w:val="000000"/>
          <w:szCs w:val="24"/>
        </w:rPr>
      </w:pPr>
      <w:r>
        <w:rPr>
          <w:rFonts w:ascii="Times New Roman"/>
          <w:color w:val="000000"/>
          <w:szCs w:val="24"/>
        </w:rPr>
        <w:t>（1）作业中产生的渣土及时清运，不能及时清运的要妥善堆放，并采取防溢漏、防扬尘措施；</w:t>
      </w:r>
    </w:p>
    <w:p w14:paraId="5EBB5743">
      <w:pPr>
        <w:spacing w:line="500" w:lineRule="exact"/>
        <w:ind w:firstLine="482"/>
        <w:rPr>
          <w:rFonts w:ascii="Times New Roman"/>
          <w:color w:val="000000"/>
          <w:szCs w:val="24"/>
        </w:rPr>
      </w:pPr>
      <w:r>
        <w:rPr>
          <w:rFonts w:ascii="Times New Roman"/>
          <w:color w:val="000000"/>
          <w:szCs w:val="24"/>
        </w:rPr>
        <w:t>（2）渣土运输车辆离场前要冲洗车体，不得带泥上路；</w:t>
      </w:r>
    </w:p>
    <w:p w14:paraId="0E011503">
      <w:pPr>
        <w:spacing w:line="500" w:lineRule="exact"/>
        <w:ind w:firstLine="482"/>
        <w:rPr>
          <w:rFonts w:ascii="Times New Roman"/>
          <w:color w:val="000000"/>
          <w:szCs w:val="24"/>
        </w:rPr>
      </w:pPr>
      <w:r>
        <w:rPr>
          <w:rFonts w:ascii="Times New Roman"/>
          <w:color w:val="000000"/>
          <w:szCs w:val="24"/>
        </w:rPr>
        <w:t>（3）工程完工后，施工单位应当及时清除施工现场堆存的渣土。</w:t>
      </w:r>
    </w:p>
    <w:p w14:paraId="09B6EA3F">
      <w:pPr>
        <w:spacing w:line="500" w:lineRule="exact"/>
        <w:ind w:firstLine="482"/>
        <w:rPr>
          <w:rFonts w:ascii="Times New Roman"/>
          <w:color w:val="000000"/>
          <w:szCs w:val="24"/>
        </w:rPr>
      </w:pPr>
      <w:r>
        <w:rPr>
          <w:rFonts w:ascii="Times New Roman"/>
          <w:color w:val="000000"/>
          <w:szCs w:val="24"/>
        </w:rPr>
        <w:t>（4）运输渣土的车辆要设有防撒落、飘扬、滴漏的设施，采取密闭或者加盖毡布等防范措施；施工中产生的泥浆及其它废弃物的外运时要使用专用车辆运输。</w:t>
      </w:r>
    </w:p>
    <w:p w14:paraId="03A48284">
      <w:pPr>
        <w:spacing w:line="500" w:lineRule="exact"/>
        <w:ind w:firstLine="482"/>
        <w:rPr>
          <w:rFonts w:ascii="Times New Roman"/>
          <w:color w:val="000000"/>
          <w:szCs w:val="24"/>
        </w:rPr>
      </w:pPr>
      <w:r>
        <w:rPr>
          <w:rFonts w:ascii="Times New Roman"/>
          <w:color w:val="000000"/>
          <w:szCs w:val="24"/>
        </w:rPr>
        <w:t>（5）运输渣土的行驶路线和时间，施工单位要向有关部门提出申请，并按照规定的路线和时间行驶，将建筑垃圾倾倒于指定的弃置场；运输过程中不得超载、撒漏。</w:t>
      </w:r>
    </w:p>
    <w:p w14:paraId="40696C18">
      <w:pPr>
        <w:spacing w:line="500" w:lineRule="exact"/>
        <w:ind w:firstLine="482"/>
        <w:rPr>
          <w:rFonts w:ascii="Times New Roman"/>
          <w:color w:val="000000"/>
          <w:szCs w:val="24"/>
        </w:rPr>
      </w:pPr>
      <w:r>
        <w:rPr>
          <w:rFonts w:ascii="Times New Roman"/>
          <w:color w:val="000000"/>
          <w:szCs w:val="24"/>
        </w:rPr>
        <w:t>（6）施工中生活垃圾应交环卫部门及时清运处理，做到日产日清。</w:t>
      </w:r>
    </w:p>
    <w:p w14:paraId="79CD197B">
      <w:pPr>
        <w:pStyle w:val="7"/>
        <w:spacing w:line="500" w:lineRule="exact"/>
      </w:pPr>
      <w:r>
        <w:rPr>
          <w:rFonts w:hint="eastAsia"/>
        </w:rPr>
        <w:t>6</w:t>
      </w:r>
      <w:r>
        <w:t xml:space="preserve">.1.5 </w:t>
      </w:r>
      <w:r>
        <w:rPr>
          <w:rFonts w:hint="eastAsia"/>
        </w:rPr>
        <w:t>生态环境影响分析</w:t>
      </w:r>
    </w:p>
    <w:p w14:paraId="2B541293">
      <w:pPr>
        <w:spacing w:line="500" w:lineRule="exact"/>
        <w:ind w:firstLine="480" w:firstLineChars="200"/>
      </w:pPr>
      <w:r>
        <w:rPr>
          <w:rFonts w:hint="eastAsia"/>
        </w:rPr>
        <w:t>本项目施工期主要生态影响为水土流失。为了尽量减少水土流失，施工时应采取以下防治措施：</w:t>
      </w:r>
    </w:p>
    <w:p w14:paraId="25460203">
      <w:pPr>
        <w:spacing w:line="500" w:lineRule="exact"/>
        <w:ind w:firstLine="480" w:firstLineChars="200"/>
      </w:pPr>
      <w:r>
        <w:rPr>
          <w:rFonts w:hint="eastAsia" w:ascii="宋体" w:hAnsi="宋体" w:eastAsia="宋体"/>
        </w:rPr>
        <w:t>①</w:t>
      </w:r>
      <w:r>
        <w:rPr>
          <w:rFonts w:hint="eastAsia"/>
        </w:rPr>
        <w:t>路基开挖填筑前应建好两侧的排水措施和拦挡措施，应分段施工，路基土石方施工完成一段，应立即采取护坡措施，尽量缩短坡面裸露时间。雨季施工应采取临时排水、临时覆盖措施。</w:t>
      </w:r>
    </w:p>
    <w:p w14:paraId="116DB17E">
      <w:pPr>
        <w:spacing w:line="500" w:lineRule="exact"/>
        <w:ind w:firstLine="480" w:firstLineChars="200"/>
      </w:pPr>
      <w:r>
        <w:rPr>
          <w:rFonts w:hint="eastAsia" w:ascii="宋体" w:hAnsi="宋体" w:eastAsia="宋体"/>
        </w:rPr>
        <w:t>②</w:t>
      </w:r>
      <w:r>
        <w:rPr>
          <w:rFonts w:hint="eastAsia"/>
        </w:rPr>
        <w:t>对于施工场地的防护，要求在工程实施期间做好临时用地范围内的排水措施以及表土堆置区的防护措施。</w:t>
      </w:r>
    </w:p>
    <w:p w14:paraId="49C7D784">
      <w:pPr>
        <w:spacing w:line="500" w:lineRule="exact"/>
        <w:ind w:firstLine="480" w:firstLineChars="200"/>
      </w:pPr>
      <w:r>
        <w:rPr>
          <w:rFonts w:hint="eastAsia" w:ascii="宋体" w:hAnsi="宋体" w:eastAsia="宋体"/>
        </w:rPr>
        <w:t>③</w:t>
      </w:r>
      <w:r>
        <w:rPr>
          <w:rFonts w:hint="eastAsia"/>
        </w:rPr>
        <w:t>进场道路修建前应建好排水、拦挡工程，对需要护坡的地段，在修建好以后应立即采取护坡措施。</w:t>
      </w:r>
    </w:p>
    <w:p w14:paraId="1097C976">
      <w:pPr>
        <w:spacing w:line="500" w:lineRule="exact"/>
        <w:ind w:firstLine="480" w:firstLineChars="200"/>
      </w:pPr>
      <w:r>
        <w:rPr>
          <w:rFonts w:hint="eastAsia" w:ascii="宋体" w:hAnsi="宋体" w:eastAsia="宋体"/>
        </w:rPr>
        <w:t>④</w:t>
      </w:r>
      <w:r>
        <w:rPr>
          <w:rFonts w:hint="eastAsia"/>
        </w:rPr>
        <w:t>因施工结束后需要大量的表土用于裸露地表的恢复，施工过程中应尽量保留施工开挖中剥离的表土，妥善集中堆置并做好临时防护工作。</w:t>
      </w:r>
    </w:p>
    <w:p w14:paraId="26824423">
      <w:pPr>
        <w:spacing w:line="500" w:lineRule="exact"/>
        <w:ind w:firstLine="480" w:firstLineChars="200"/>
      </w:pPr>
      <w:r>
        <w:rPr>
          <w:rFonts w:hint="eastAsia"/>
        </w:rPr>
        <w:t>总之，拟建工程的建设施工活动对项目所在地的生态环境造成一定程度的破坏，在施工过程中由于采取临时防护措施、植物措施，对恢复改善工程占压、挖损、扰动破坏的土地及植被，起到良好作用，后期对周边和项目运行影响降低到最小。</w:t>
      </w:r>
    </w:p>
    <w:p w14:paraId="538BC1E0">
      <w:pPr>
        <w:pStyle w:val="4"/>
        <w:spacing w:line="500" w:lineRule="exact"/>
        <w:jc w:val="both"/>
      </w:pPr>
      <w:bookmarkStart w:id="136" w:name="_Toc13966"/>
      <w:r>
        <w:rPr>
          <w:rFonts w:hint="eastAsia"/>
        </w:rPr>
        <w:t>6</w:t>
      </w:r>
      <w:r>
        <w:t xml:space="preserve">.2 </w:t>
      </w:r>
      <w:r>
        <w:rPr>
          <w:rFonts w:hint="eastAsia"/>
        </w:rPr>
        <w:t>营运期环境保护措施</w:t>
      </w:r>
      <w:bookmarkEnd w:id="136"/>
    </w:p>
    <w:p w14:paraId="79D2C9DB">
      <w:pPr>
        <w:pStyle w:val="7"/>
        <w:spacing w:line="500" w:lineRule="exact"/>
      </w:pPr>
      <w:r>
        <w:rPr>
          <w:rFonts w:hint="eastAsia"/>
        </w:rPr>
        <w:t>6</w:t>
      </w:r>
      <w:r>
        <w:t>.2.1</w:t>
      </w:r>
      <w:r>
        <w:rPr>
          <w:rFonts w:hint="eastAsia"/>
        </w:rPr>
        <w:t>废气污染防治措施评述</w:t>
      </w:r>
    </w:p>
    <w:p w14:paraId="5F0D0F9D">
      <w:pPr>
        <w:pStyle w:val="8"/>
        <w:spacing w:line="500" w:lineRule="exact"/>
      </w:pPr>
      <w:r>
        <w:rPr>
          <w:rFonts w:hint="eastAsia"/>
        </w:rPr>
        <w:t>6</w:t>
      </w:r>
      <w:r>
        <w:t xml:space="preserve">.2.1.1 </w:t>
      </w:r>
      <w:r>
        <w:rPr>
          <w:rFonts w:hint="eastAsia"/>
        </w:rPr>
        <w:t>废气的收集和处理系统</w:t>
      </w:r>
    </w:p>
    <w:p w14:paraId="2AD9E880">
      <w:pPr>
        <w:pStyle w:val="8"/>
        <w:spacing w:line="480" w:lineRule="exact"/>
        <w:rPr>
          <w:rFonts w:hint="eastAsia"/>
        </w:rPr>
      </w:pPr>
    </w:p>
    <w:p w14:paraId="552BEB55">
      <w:pPr>
        <w:pStyle w:val="8"/>
        <w:spacing w:line="480" w:lineRule="exact"/>
        <w:rPr>
          <w:rFonts w:hint="eastAsia"/>
        </w:rPr>
      </w:pPr>
    </w:p>
    <w:p w14:paraId="67B42AA0">
      <w:pPr>
        <w:pStyle w:val="8"/>
        <w:spacing w:line="480" w:lineRule="exact"/>
        <w:jc w:val="center"/>
        <w:rPr>
          <w:rFonts w:hint="default" w:eastAsiaTheme="majorEastAsia"/>
          <w:sz w:val="24"/>
          <w:szCs w:val="24"/>
          <w:lang w:val="en-US" w:eastAsia="zh-CN"/>
        </w:rPr>
      </w:pPr>
      <w:r>
        <w:rPr>
          <w:rFonts w:hint="eastAsia"/>
          <w:sz w:val="24"/>
          <w:szCs w:val="24"/>
          <w:lang w:val="en-US" w:eastAsia="zh-CN"/>
        </w:rPr>
        <w:t>以下内容涉密</w:t>
      </w:r>
    </w:p>
    <w:p w14:paraId="69BB9AEB">
      <w:pPr>
        <w:pStyle w:val="8"/>
        <w:spacing w:line="480" w:lineRule="exact"/>
        <w:rPr>
          <w:rFonts w:hint="eastAsia"/>
        </w:rPr>
      </w:pPr>
    </w:p>
    <w:p w14:paraId="4364BC94">
      <w:pPr>
        <w:pStyle w:val="8"/>
        <w:spacing w:line="480" w:lineRule="exact"/>
        <w:rPr>
          <w:rFonts w:hint="eastAsia"/>
        </w:rPr>
      </w:pPr>
    </w:p>
    <w:p w14:paraId="1BD74168">
      <w:pPr>
        <w:rPr>
          <w:rFonts w:hint="eastAsia"/>
        </w:rPr>
      </w:pPr>
    </w:p>
    <w:p w14:paraId="408DCA38">
      <w:pPr>
        <w:pStyle w:val="2"/>
        <w:rPr>
          <w:rFonts w:hint="eastAsia"/>
        </w:rPr>
      </w:pPr>
    </w:p>
    <w:p w14:paraId="363201EC">
      <w:pPr>
        <w:rPr>
          <w:rFonts w:hint="eastAsia"/>
        </w:rPr>
      </w:pPr>
    </w:p>
    <w:p w14:paraId="221226EB">
      <w:pPr>
        <w:pStyle w:val="2"/>
        <w:rPr>
          <w:rFonts w:hint="eastAsia"/>
        </w:rPr>
      </w:pPr>
    </w:p>
    <w:p w14:paraId="42EE20A4">
      <w:pPr>
        <w:rPr>
          <w:rFonts w:hint="eastAsia"/>
        </w:rPr>
      </w:pPr>
    </w:p>
    <w:p w14:paraId="7175FDE7">
      <w:pPr>
        <w:pStyle w:val="2"/>
        <w:rPr>
          <w:rFonts w:hint="eastAsia"/>
        </w:rPr>
      </w:pPr>
    </w:p>
    <w:p w14:paraId="366DCAB9">
      <w:pPr>
        <w:rPr>
          <w:rFonts w:hint="eastAsia"/>
        </w:rPr>
      </w:pPr>
    </w:p>
    <w:p w14:paraId="12C4A961">
      <w:pPr>
        <w:pStyle w:val="2"/>
        <w:rPr>
          <w:rFonts w:hint="eastAsia"/>
        </w:rPr>
      </w:pPr>
    </w:p>
    <w:p w14:paraId="08EB5B40">
      <w:pPr>
        <w:rPr>
          <w:rFonts w:hint="eastAsia"/>
        </w:rPr>
      </w:pPr>
    </w:p>
    <w:p w14:paraId="1BC10E77">
      <w:pPr>
        <w:pStyle w:val="2"/>
        <w:rPr>
          <w:rFonts w:hint="eastAsia"/>
        </w:rPr>
      </w:pPr>
    </w:p>
    <w:p w14:paraId="5656586F">
      <w:pPr>
        <w:rPr>
          <w:rFonts w:hint="eastAsia"/>
        </w:rPr>
      </w:pPr>
    </w:p>
    <w:p w14:paraId="0137BB39">
      <w:pPr>
        <w:pStyle w:val="2"/>
        <w:rPr>
          <w:rFonts w:hint="eastAsia"/>
        </w:rPr>
      </w:pPr>
    </w:p>
    <w:p w14:paraId="128913CC">
      <w:pPr>
        <w:rPr>
          <w:rFonts w:hint="eastAsia"/>
        </w:rPr>
      </w:pPr>
    </w:p>
    <w:p w14:paraId="3A797573">
      <w:pPr>
        <w:pStyle w:val="2"/>
        <w:rPr>
          <w:rFonts w:hint="eastAsia"/>
        </w:rPr>
      </w:pPr>
    </w:p>
    <w:p w14:paraId="61DA5ADB">
      <w:pPr>
        <w:rPr>
          <w:rFonts w:hint="eastAsia"/>
        </w:rPr>
      </w:pPr>
    </w:p>
    <w:p w14:paraId="5DECACFE">
      <w:pPr>
        <w:pStyle w:val="2"/>
        <w:rPr>
          <w:rFonts w:hint="eastAsia"/>
        </w:rPr>
      </w:pPr>
    </w:p>
    <w:p w14:paraId="0082722E">
      <w:pPr>
        <w:rPr>
          <w:rFonts w:hint="eastAsia"/>
        </w:rPr>
      </w:pPr>
    </w:p>
    <w:p w14:paraId="1B285873">
      <w:pPr>
        <w:pStyle w:val="2"/>
        <w:rPr>
          <w:rFonts w:hint="eastAsia"/>
        </w:rPr>
      </w:pPr>
    </w:p>
    <w:p w14:paraId="7EF4CCCE">
      <w:pPr>
        <w:rPr>
          <w:rFonts w:hint="eastAsia"/>
        </w:rPr>
      </w:pPr>
    </w:p>
    <w:p w14:paraId="0618F2C0">
      <w:pPr>
        <w:pStyle w:val="2"/>
        <w:rPr>
          <w:rFonts w:hint="eastAsia"/>
        </w:rPr>
      </w:pPr>
    </w:p>
    <w:p w14:paraId="5FA7F0D2">
      <w:pPr>
        <w:rPr>
          <w:rFonts w:hint="eastAsia"/>
        </w:rPr>
      </w:pPr>
    </w:p>
    <w:p w14:paraId="0681185F">
      <w:pPr>
        <w:pStyle w:val="2"/>
        <w:rPr>
          <w:rFonts w:hint="eastAsia"/>
        </w:rPr>
      </w:pPr>
    </w:p>
    <w:p w14:paraId="40BB6BE5">
      <w:pPr>
        <w:rPr>
          <w:rFonts w:hint="eastAsia"/>
        </w:rPr>
      </w:pPr>
    </w:p>
    <w:p w14:paraId="095A0304">
      <w:pPr>
        <w:pStyle w:val="2"/>
        <w:rPr>
          <w:rFonts w:hint="eastAsia"/>
        </w:rPr>
      </w:pPr>
    </w:p>
    <w:p w14:paraId="2C6409F2">
      <w:pPr>
        <w:rPr>
          <w:rFonts w:hint="eastAsia"/>
        </w:rPr>
      </w:pPr>
    </w:p>
    <w:p w14:paraId="0BB269CD">
      <w:pPr>
        <w:pStyle w:val="2"/>
        <w:rPr>
          <w:rFonts w:hint="eastAsia"/>
        </w:rPr>
      </w:pPr>
    </w:p>
    <w:p w14:paraId="590673CD">
      <w:pPr>
        <w:rPr>
          <w:rFonts w:hint="eastAsia"/>
        </w:rPr>
      </w:pPr>
    </w:p>
    <w:p w14:paraId="4827A79A">
      <w:pPr>
        <w:pStyle w:val="2"/>
        <w:rPr>
          <w:rFonts w:hint="eastAsia"/>
        </w:rPr>
      </w:pPr>
    </w:p>
    <w:p w14:paraId="5CBA78C7">
      <w:pPr>
        <w:rPr>
          <w:rFonts w:hint="eastAsia"/>
        </w:rPr>
      </w:pPr>
    </w:p>
    <w:p w14:paraId="4E72C0E5">
      <w:pPr>
        <w:pStyle w:val="2"/>
        <w:rPr>
          <w:rFonts w:hint="eastAsia"/>
        </w:rPr>
      </w:pPr>
    </w:p>
    <w:p w14:paraId="4E722D02">
      <w:pPr>
        <w:rPr>
          <w:rFonts w:hint="eastAsia"/>
        </w:rPr>
      </w:pPr>
    </w:p>
    <w:p w14:paraId="7F1EF1CE">
      <w:pPr>
        <w:pStyle w:val="2"/>
        <w:rPr>
          <w:rFonts w:hint="eastAsia"/>
        </w:rPr>
      </w:pPr>
    </w:p>
    <w:p w14:paraId="34182A3F">
      <w:pPr>
        <w:rPr>
          <w:rFonts w:hint="eastAsia"/>
        </w:rPr>
      </w:pPr>
    </w:p>
    <w:p w14:paraId="798EA582">
      <w:pPr>
        <w:pStyle w:val="2"/>
        <w:rPr>
          <w:rFonts w:hint="eastAsia"/>
        </w:rPr>
      </w:pPr>
    </w:p>
    <w:p w14:paraId="04968631">
      <w:pPr>
        <w:rPr>
          <w:rFonts w:hint="eastAsia"/>
        </w:rPr>
      </w:pPr>
    </w:p>
    <w:p w14:paraId="4B40A5C7">
      <w:pPr>
        <w:pStyle w:val="2"/>
        <w:rPr>
          <w:rFonts w:hint="eastAsia"/>
        </w:rPr>
      </w:pPr>
    </w:p>
    <w:p w14:paraId="6B5C2F30">
      <w:pPr>
        <w:rPr>
          <w:rFonts w:hint="eastAsia"/>
        </w:rPr>
      </w:pPr>
    </w:p>
    <w:p w14:paraId="53816FD7">
      <w:pPr>
        <w:pStyle w:val="2"/>
        <w:rPr>
          <w:rFonts w:hint="eastAsia"/>
        </w:rPr>
      </w:pPr>
    </w:p>
    <w:p w14:paraId="2C66FE61">
      <w:pPr>
        <w:rPr>
          <w:rFonts w:hint="eastAsia"/>
        </w:rPr>
      </w:pPr>
    </w:p>
    <w:p w14:paraId="1DF0B0CA">
      <w:pPr>
        <w:pStyle w:val="2"/>
        <w:rPr>
          <w:rFonts w:hint="eastAsia"/>
        </w:rPr>
      </w:pPr>
    </w:p>
    <w:p w14:paraId="46BADC77">
      <w:pPr>
        <w:rPr>
          <w:rFonts w:hint="eastAsia"/>
        </w:rPr>
      </w:pPr>
    </w:p>
    <w:p w14:paraId="09BF1AF7">
      <w:pPr>
        <w:pStyle w:val="2"/>
        <w:rPr>
          <w:rFonts w:hint="eastAsia"/>
        </w:rPr>
      </w:pPr>
    </w:p>
    <w:p w14:paraId="5F68FB9A">
      <w:pPr>
        <w:rPr>
          <w:rFonts w:hint="eastAsia"/>
        </w:rPr>
      </w:pPr>
    </w:p>
    <w:p w14:paraId="0CCF328A">
      <w:pPr>
        <w:pStyle w:val="2"/>
        <w:rPr>
          <w:rFonts w:hint="eastAsia"/>
        </w:rPr>
      </w:pPr>
    </w:p>
    <w:p w14:paraId="2EB4CADB">
      <w:pPr>
        <w:rPr>
          <w:rFonts w:hint="eastAsia"/>
        </w:rPr>
      </w:pPr>
    </w:p>
    <w:p w14:paraId="4D7B278A">
      <w:pPr>
        <w:pStyle w:val="2"/>
        <w:rPr>
          <w:rFonts w:hint="eastAsia"/>
        </w:rPr>
      </w:pPr>
    </w:p>
    <w:p w14:paraId="4BC9BD7B">
      <w:pPr>
        <w:rPr>
          <w:rFonts w:hint="eastAsia"/>
        </w:rPr>
      </w:pPr>
    </w:p>
    <w:p w14:paraId="023256CD">
      <w:pPr>
        <w:pStyle w:val="2"/>
        <w:rPr>
          <w:rFonts w:hint="eastAsia"/>
        </w:rPr>
      </w:pPr>
    </w:p>
    <w:p w14:paraId="6437C544">
      <w:pPr>
        <w:rPr>
          <w:rFonts w:hint="eastAsia"/>
        </w:rPr>
      </w:pPr>
    </w:p>
    <w:p w14:paraId="338050E6">
      <w:pPr>
        <w:pStyle w:val="2"/>
        <w:rPr>
          <w:rFonts w:hint="eastAsia"/>
        </w:rPr>
      </w:pPr>
    </w:p>
    <w:p w14:paraId="03CB3DBB">
      <w:pPr>
        <w:rPr>
          <w:rFonts w:hint="eastAsia"/>
        </w:rPr>
      </w:pPr>
    </w:p>
    <w:p w14:paraId="77379515">
      <w:pPr>
        <w:pStyle w:val="2"/>
        <w:rPr>
          <w:rFonts w:hint="eastAsia"/>
        </w:rPr>
      </w:pPr>
    </w:p>
    <w:p w14:paraId="0B15635B">
      <w:pPr>
        <w:rPr>
          <w:rFonts w:hint="eastAsia"/>
        </w:rPr>
      </w:pPr>
    </w:p>
    <w:p w14:paraId="7702D5D5">
      <w:pPr>
        <w:pStyle w:val="2"/>
        <w:rPr>
          <w:rFonts w:hint="eastAsia"/>
        </w:rPr>
      </w:pPr>
    </w:p>
    <w:p w14:paraId="3BED0329">
      <w:pPr>
        <w:rPr>
          <w:rFonts w:hint="eastAsia"/>
        </w:rPr>
      </w:pPr>
    </w:p>
    <w:p w14:paraId="5D48BC3D">
      <w:pPr>
        <w:pStyle w:val="2"/>
        <w:rPr>
          <w:rFonts w:hint="eastAsia"/>
        </w:rPr>
      </w:pPr>
    </w:p>
    <w:p w14:paraId="55A00A18">
      <w:pPr>
        <w:rPr>
          <w:rFonts w:hint="eastAsia"/>
        </w:rPr>
      </w:pPr>
    </w:p>
    <w:p w14:paraId="389E847D">
      <w:pPr>
        <w:pStyle w:val="2"/>
        <w:rPr>
          <w:rFonts w:hint="eastAsia"/>
        </w:rPr>
      </w:pPr>
    </w:p>
    <w:p w14:paraId="6D3F9A94">
      <w:pPr>
        <w:rPr>
          <w:rFonts w:hint="eastAsia"/>
        </w:rPr>
      </w:pPr>
    </w:p>
    <w:p w14:paraId="68AF0F27">
      <w:pPr>
        <w:pStyle w:val="2"/>
        <w:rPr>
          <w:rFonts w:hint="eastAsia"/>
        </w:rPr>
      </w:pPr>
    </w:p>
    <w:p w14:paraId="286BEC34">
      <w:pPr>
        <w:rPr>
          <w:rFonts w:hint="eastAsia"/>
        </w:rPr>
      </w:pPr>
    </w:p>
    <w:p w14:paraId="081011A0">
      <w:pPr>
        <w:pStyle w:val="2"/>
        <w:rPr>
          <w:rFonts w:hint="eastAsia"/>
        </w:rPr>
      </w:pPr>
    </w:p>
    <w:p w14:paraId="1C639142">
      <w:pPr>
        <w:rPr>
          <w:rFonts w:hint="eastAsia"/>
        </w:rPr>
      </w:pPr>
    </w:p>
    <w:p w14:paraId="0323A791">
      <w:pPr>
        <w:pStyle w:val="2"/>
        <w:rPr>
          <w:rFonts w:hint="eastAsia"/>
        </w:rPr>
      </w:pPr>
    </w:p>
    <w:p w14:paraId="21448167">
      <w:pPr>
        <w:rPr>
          <w:rFonts w:hint="eastAsia"/>
        </w:rPr>
      </w:pPr>
    </w:p>
    <w:p w14:paraId="0D303393">
      <w:pPr>
        <w:pStyle w:val="2"/>
        <w:rPr>
          <w:rFonts w:hint="eastAsia"/>
        </w:rPr>
      </w:pPr>
    </w:p>
    <w:p w14:paraId="7CBE4E68">
      <w:pPr>
        <w:rPr>
          <w:rFonts w:hint="eastAsia"/>
        </w:rPr>
      </w:pPr>
    </w:p>
    <w:p w14:paraId="4EBE7FC6">
      <w:pPr>
        <w:pStyle w:val="2"/>
        <w:rPr>
          <w:rFonts w:hint="eastAsia"/>
        </w:rPr>
      </w:pPr>
    </w:p>
    <w:p w14:paraId="39371B00">
      <w:pPr>
        <w:rPr>
          <w:rFonts w:hint="eastAsia"/>
        </w:rPr>
      </w:pPr>
    </w:p>
    <w:p w14:paraId="405663C2">
      <w:pPr>
        <w:pStyle w:val="2"/>
        <w:rPr>
          <w:rFonts w:hint="eastAsia"/>
        </w:rPr>
      </w:pPr>
    </w:p>
    <w:p w14:paraId="2D99B86A">
      <w:pPr>
        <w:rPr>
          <w:rFonts w:hint="eastAsia"/>
        </w:rPr>
      </w:pPr>
    </w:p>
    <w:p w14:paraId="7E188325">
      <w:pPr>
        <w:pStyle w:val="2"/>
        <w:rPr>
          <w:rFonts w:hint="eastAsia"/>
        </w:rPr>
      </w:pPr>
    </w:p>
    <w:p w14:paraId="3753EF09">
      <w:pPr>
        <w:rPr>
          <w:rFonts w:hint="eastAsia"/>
        </w:rPr>
      </w:pPr>
    </w:p>
    <w:p w14:paraId="57EBF830">
      <w:pPr>
        <w:pStyle w:val="2"/>
        <w:rPr>
          <w:rFonts w:hint="eastAsia"/>
        </w:rPr>
      </w:pPr>
    </w:p>
    <w:p w14:paraId="45AD3817">
      <w:pPr>
        <w:rPr>
          <w:rFonts w:hint="eastAsia"/>
        </w:rPr>
      </w:pPr>
    </w:p>
    <w:p w14:paraId="2BB774B5">
      <w:pPr>
        <w:pStyle w:val="2"/>
        <w:rPr>
          <w:rFonts w:hint="eastAsia"/>
        </w:rPr>
      </w:pPr>
    </w:p>
    <w:p w14:paraId="433DD5F4">
      <w:pPr>
        <w:rPr>
          <w:rFonts w:hint="eastAsia"/>
        </w:rPr>
      </w:pPr>
    </w:p>
    <w:p w14:paraId="4F479037">
      <w:pPr>
        <w:pStyle w:val="2"/>
        <w:rPr>
          <w:rFonts w:hint="eastAsia"/>
        </w:rPr>
      </w:pPr>
    </w:p>
    <w:p w14:paraId="2D1269EB">
      <w:pPr>
        <w:rPr>
          <w:rFonts w:hint="eastAsia"/>
        </w:rPr>
      </w:pPr>
    </w:p>
    <w:p w14:paraId="34A92A50">
      <w:pPr>
        <w:pStyle w:val="2"/>
        <w:rPr>
          <w:rFonts w:hint="eastAsia"/>
        </w:rPr>
      </w:pPr>
    </w:p>
    <w:p w14:paraId="5CE311AC">
      <w:pPr>
        <w:rPr>
          <w:rFonts w:hint="eastAsia"/>
        </w:rPr>
      </w:pPr>
    </w:p>
    <w:p w14:paraId="17451A3B">
      <w:pPr>
        <w:pStyle w:val="2"/>
        <w:rPr>
          <w:rFonts w:hint="eastAsia"/>
        </w:rPr>
      </w:pPr>
    </w:p>
    <w:p w14:paraId="7FC40FA3">
      <w:pPr>
        <w:rPr>
          <w:rFonts w:hint="eastAsia"/>
        </w:rPr>
      </w:pPr>
    </w:p>
    <w:p w14:paraId="12D5EE30">
      <w:pPr>
        <w:pStyle w:val="2"/>
        <w:rPr>
          <w:rFonts w:hint="eastAsia"/>
        </w:rPr>
      </w:pPr>
    </w:p>
    <w:p w14:paraId="065A9F51">
      <w:pPr>
        <w:rPr>
          <w:rFonts w:hint="eastAsia"/>
        </w:rPr>
      </w:pPr>
    </w:p>
    <w:p w14:paraId="6D4F2571">
      <w:pPr>
        <w:pStyle w:val="2"/>
        <w:rPr>
          <w:rFonts w:hint="eastAsia"/>
        </w:rPr>
      </w:pPr>
    </w:p>
    <w:p w14:paraId="16F38018">
      <w:pPr>
        <w:rPr>
          <w:rFonts w:hint="eastAsia"/>
        </w:rPr>
      </w:pPr>
    </w:p>
    <w:p w14:paraId="7B440EA3">
      <w:pPr>
        <w:pStyle w:val="2"/>
        <w:rPr>
          <w:rFonts w:hint="eastAsia"/>
        </w:rPr>
      </w:pPr>
    </w:p>
    <w:p w14:paraId="771C1704">
      <w:pPr>
        <w:rPr>
          <w:rFonts w:hint="eastAsia"/>
        </w:rPr>
      </w:pPr>
    </w:p>
    <w:p w14:paraId="33821E11">
      <w:pPr>
        <w:pStyle w:val="2"/>
        <w:rPr>
          <w:rFonts w:hint="eastAsia"/>
        </w:rPr>
      </w:pPr>
    </w:p>
    <w:p w14:paraId="3D14657F">
      <w:pPr>
        <w:rPr>
          <w:rFonts w:hint="eastAsia"/>
        </w:rPr>
      </w:pPr>
    </w:p>
    <w:p w14:paraId="7BD5EEBC">
      <w:pPr>
        <w:pStyle w:val="2"/>
        <w:rPr>
          <w:rFonts w:hint="eastAsia"/>
        </w:rPr>
      </w:pPr>
    </w:p>
    <w:p w14:paraId="5B2AD38B">
      <w:pPr>
        <w:rPr>
          <w:rFonts w:hint="eastAsia"/>
        </w:rPr>
      </w:pPr>
    </w:p>
    <w:p w14:paraId="7AB86081">
      <w:pPr>
        <w:pStyle w:val="2"/>
        <w:rPr>
          <w:rFonts w:hint="eastAsia"/>
        </w:rPr>
      </w:pPr>
    </w:p>
    <w:p w14:paraId="2EE2C498">
      <w:pPr>
        <w:rPr>
          <w:rFonts w:hint="eastAsia"/>
        </w:rPr>
      </w:pPr>
    </w:p>
    <w:p w14:paraId="5F9B925C">
      <w:pPr>
        <w:pStyle w:val="2"/>
        <w:rPr>
          <w:rFonts w:hint="eastAsia"/>
        </w:rPr>
      </w:pPr>
    </w:p>
    <w:p w14:paraId="39C10C6A">
      <w:pPr>
        <w:rPr>
          <w:rFonts w:hint="eastAsia"/>
        </w:rPr>
      </w:pPr>
    </w:p>
    <w:p w14:paraId="7622310D">
      <w:pPr>
        <w:pStyle w:val="2"/>
        <w:rPr>
          <w:rFonts w:hint="eastAsia"/>
        </w:rPr>
      </w:pPr>
    </w:p>
    <w:p w14:paraId="637CA56C">
      <w:pPr>
        <w:rPr>
          <w:rFonts w:hint="eastAsia"/>
        </w:rPr>
      </w:pPr>
    </w:p>
    <w:p w14:paraId="37379954">
      <w:pPr>
        <w:pStyle w:val="2"/>
        <w:rPr>
          <w:rFonts w:hint="eastAsia"/>
        </w:rPr>
      </w:pPr>
    </w:p>
    <w:p w14:paraId="7BB47462">
      <w:pPr>
        <w:rPr>
          <w:rFonts w:hint="eastAsia"/>
        </w:rPr>
      </w:pPr>
    </w:p>
    <w:p w14:paraId="334B4F23">
      <w:pPr>
        <w:pStyle w:val="2"/>
        <w:rPr>
          <w:rFonts w:hint="eastAsia"/>
        </w:rPr>
      </w:pPr>
    </w:p>
    <w:p w14:paraId="61106C98">
      <w:pPr>
        <w:rPr>
          <w:rFonts w:hint="eastAsia"/>
        </w:rPr>
      </w:pPr>
    </w:p>
    <w:p w14:paraId="4B84EE7D">
      <w:pPr>
        <w:pStyle w:val="2"/>
        <w:rPr>
          <w:rFonts w:hint="eastAsia"/>
        </w:rPr>
      </w:pPr>
    </w:p>
    <w:p w14:paraId="33434D02">
      <w:pPr>
        <w:rPr>
          <w:rFonts w:hint="eastAsia"/>
        </w:rPr>
      </w:pPr>
    </w:p>
    <w:p w14:paraId="29D339ED">
      <w:pPr>
        <w:pStyle w:val="2"/>
        <w:rPr>
          <w:rFonts w:hint="eastAsia"/>
        </w:rPr>
      </w:pPr>
    </w:p>
    <w:p w14:paraId="43783C0C">
      <w:pPr>
        <w:rPr>
          <w:rFonts w:hint="eastAsia"/>
        </w:rPr>
      </w:pPr>
    </w:p>
    <w:p w14:paraId="2EEEE466">
      <w:pPr>
        <w:pStyle w:val="2"/>
        <w:rPr>
          <w:rFonts w:hint="eastAsia"/>
        </w:rPr>
      </w:pPr>
    </w:p>
    <w:p w14:paraId="238268D3">
      <w:pPr>
        <w:pStyle w:val="8"/>
        <w:spacing w:line="480" w:lineRule="exact"/>
        <w:rPr>
          <w:rFonts w:hint="eastAsia"/>
        </w:rPr>
      </w:pPr>
    </w:p>
    <w:p w14:paraId="06217D6C">
      <w:pPr>
        <w:pStyle w:val="8"/>
        <w:spacing w:line="480" w:lineRule="exact"/>
      </w:pPr>
      <w:r>
        <w:rPr>
          <w:rFonts w:hint="eastAsia"/>
        </w:rPr>
        <w:t>6</w:t>
      </w:r>
      <w:r>
        <w:t>.2.1.</w:t>
      </w:r>
      <w:r>
        <w:rPr>
          <w:rFonts w:hint="eastAsia"/>
        </w:rPr>
        <w:t>3无组织废气环境保护措施分析</w:t>
      </w:r>
    </w:p>
    <w:p w14:paraId="7456861C">
      <w:pPr>
        <w:spacing w:line="480" w:lineRule="exact"/>
        <w:ind w:firstLine="480" w:firstLineChars="200"/>
        <w:rPr>
          <w:color w:val="000000"/>
        </w:rPr>
      </w:pPr>
      <w:r>
        <w:rPr>
          <w:rFonts w:hint="eastAsia"/>
        </w:rPr>
        <w:t>本项目无组织废气为鸡舍、鸡粪暂存库和污水处理站未被收集的恶臭气体。</w:t>
      </w:r>
      <w:r>
        <w:rPr>
          <w:rFonts w:hAnsi="宋体"/>
          <w:color w:val="000000"/>
        </w:rPr>
        <w:t>鉴于养殖类项目特点，本环评要求全流程严格按照相关规范和要求进行，将恶臭产生和排放降到最低。</w:t>
      </w:r>
    </w:p>
    <w:p w14:paraId="2C4C4385">
      <w:pPr>
        <w:spacing w:line="480" w:lineRule="exact"/>
        <w:ind w:firstLine="480" w:firstLineChars="200"/>
      </w:pPr>
      <w:r>
        <w:rPr>
          <w:rFonts w:hint="eastAsia"/>
        </w:rPr>
        <w:t>（1）本项目恶臭防治措施</w:t>
      </w:r>
    </w:p>
    <w:p w14:paraId="0091F546">
      <w:pPr>
        <w:pStyle w:val="49"/>
        <w:spacing w:line="480" w:lineRule="exact"/>
        <w:ind w:firstLine="480"/>
        <w:rPr>
          <w:rFonts w:eastAsia="宋体" w:cs="Times New Roman"/>
        </w:rPr>
      </w:pPr>
      <w:r>
        <w:rPr>
          <w:rFonts w:eastAsia="宋体" w:cs="Times New Roman"/>
        </w:rPr>
        <w:t>①本项目采用干法清粪工艺，将鸡粪单独清出统一收集后外售。</w:t>
      </w:r>
    </w:p>
    <w:p w14:paraId="45FAC4C6">
      <w:pPr>
        <w:pStyle w:val="49"/>
        <w:spacing w:line="480" w:lineRule="exact"/>
        <w:ind w:firstLine="480"/>
        <w:rPr>
          <w:rFonts w:eastAsia="宋体" w:cs="Times New Roman"/>
        </w:rPr>
      </w:pPr>
      <w:r>
        <w:rPr>
          <w:rFonts w:eastAsia="宋体" w:cs="Times New Roman"/>
        </w:rPr>
        <w:t>②本项目产生的鸡粪日产日清，不在厂区内贮存。</w:t>
      </w:r>
    </w:p>
    <w:p w14:paraId="03AE8C16">
      <w:pPr>
        <w:pStyle w:val="49"/>
        <w:spacing w:line="480" w:lineRule="exact"/>
        <w:ind w:firstLine="480"/>
        <w:rPr>
          <w:rFonts w:eastAsia="宋体" w:cs="Times New Roman"/>
        </w:rPr>
      </w:pPr>
      <w:r>
        <w:rPr>
          <w:rFonts w:eastAsia="宋体" w:cs="Times New Roman"/>
        </w:rPr>
        <w:t>③鸡舍内设置水帘设施及通风系统，一方面起到降温作用（在夏天），另一方面可降低鸡舍臭气的排放量，同时将鸡舍内产生的恶臭气体及时排出鸡舍。鸡舍为24小时通风，出风口高度为2-2.4m，平均20秒换气1次，鸡舍内基本无异味，鸡舍四周为20m宽密集高矮分布的绿化隔离带，交换出的空气通过绿化隔离带可完全吸收硫等元素，对周边环境基本无臭气影响。</w:t>
      </w:r>
    </w:p>
    <w:p w14:paraId="6003B28D">
      <w:pPr>
        <w:pStyle w:val="49"/>
        <w:spacing w:line="480" w:lineRule="exact"/>
        <w:ind w:firstLine="480"/>
        <w:rPr>
          <w:rFonts w:eastAsia="宋体" w:cs="Times New Roman"/>
        </w:rPr>
      </w:pPr>
      <w:r>
        <w:rPr>
          <w:rFonts w:eastAsia="宋体" w:cs="Times New Roman"/>
        </w:rPr>
        <w:t>④厂区、鸡舍、器械等消毒应采用环境有好的消毒剂和消毒措施，防止产生氯代有机物及其它的二次污染物。</w:t>
      </w:r>
    </w:p>
    <w:p w14:paraId="39797C72">
      <w:pPr>
        <w:pStyle w:val="49"/>
        <w:spacing w:line="480" w:lineRule="exact"/>
        <w:ind w:firstLine="480"/>
        <w:rPr>
          <w:rFonts w:eastAsia="宋体" w:cs="Times New Roman"/>
        </w:rPr>
      </w:pPr>
      <w:r>
        <w:rPr>
          <w:rFonts w:eastAsia="宋体" w:cs="Times New Roman"/>
        </w:rPr>
        <w:t>⑤项目</w:t>
      </w:r>
      <w:r>
        <w:rPr>
          <w:rFonts w:eastAsia="宋体" w:cs="Times New Roman"/>
          <w:szCs w:val="24"/>
        </w:rPr>
        <w:t>厂区</w:t>
      </w:r>
      <w:r>
        <w:rPr>
          <w:rFonts w:eastAsia="宋体" w:cs="Times New Roman"/>
        </w:rPr>
        <w:t>内加强绿化，利用植物对空气进行净化，绿化内容包括场界树带、厂区内树带及花草等，具体应在鸡舍、鸡粪出粪口等污染源周围种植一定宽度的防护林，高温季节可将除臭剂喷洒在鸡粪，以减少恶臭气体的产生量。</w:t>
      </w:r>
    </w:p>
    <w:p w14:paraId="30AD998D">
      <w:pPr>
        <w:pStyle w:val="49"/>
        <w:spacing w:line="480" w:lineRule="exact"/>
        <w:ind w:firstLine="480"/>
        <w:rPr>
          <w:rFonts w:eastAsia="宋体" w:cs="Times New Roman"/>
        </w:rPr>
      </w:pPr>
      <w:r>
        <w:rPr>
          <w:rFonts w:eastAsia="宋体" w:cs="Times New Roman"/>
        </w:rPr>
        <w:t>⑥在鸡粪临时堆场及污水站周边定期喷洒生物除臭剂。</w:t>
      </w:r>
    </w:p>
    <w:p w14:paraId="2608FCA7">
      <w:pPr>
        <w:pStyle w:val="49"/>
        <w:spacing w:line="480" w:lineRule="exact"/>
        <w:ind w:firstLine="480"/>
        <w:rPr>
          <w:rFonts w:hint="eastAsia" w:eastAsia="宋体" w:cs="Times New Roman"/>
          <w:lang w:val="en-US" w:eastAsia="zh-CN"/>
        </w:rPr>
      </w:pPr>
      <w:r>
        <w:rPr>
          <w:rFonts w:eastAsia="宋体" w:cs="Times New Roman"/>
        </w:rPr>
        <w:t>⑦</w:t>
      </w:r>
      <w:r>
        <w:rPr>
          <w:rFonts w:hint="eastAsia" w:eastAsia="宋体" w:cs="Times New Roman"/>
          <w:lang w:val="en-US" w:eastAsia="zh-CN"/>
        </w:rPr>
        <w:t>项目在鸡舍通风换气口处</w:t>
      </w:r>
      <w:r>
        <w:rPr>
          <w:rFonts w:hint="eastAsia"/>
          <w:color w:val="000000" w:themeColor="text1"/>
          <w14:textFill>
            <w14:solidFill>
              <w14:schemeClr w14:val="tx1"/>
            </w14:solidFill>
          </w14:textFill>
        </w:rPr>
        <w:t>喷洒除臭剂</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以减少</w:t>
      </w:r>
      <w:r>
        <w:rPr>
          <w:rFonts w:eastAsia="宋体" w:cs="Times New Roman"/>
        </w:rPr>
        <w:t>恶臭气体的</w:t>
      </w:r>
      <w:r>
        <w:rPr>
          <w:rFonts w:hint="eastAsia" w:eastAsia="宋体" w:cs="Times New Roman"/>
          <w:lang w:val="en-US" w:eastAsia="zh-CN"/>
        </w:rPr>
        <w:t>排放量。</w:t>
      </w:r>
    </w:p>
    <w:p w14:paraId="247973E9">
      <w:pPr>
        <w:pStyle w:val="49"/>
        <w:spacing w:line="480" w:lineRule="exact"/>
        <w:ind w:firstLine="480"/>
        <w:rPr>
          <w:rFonts w:eastAsia="宋体" w:cs="Times New Roman"/>
        </w:rPr>
      </w:pPr>
      <w:r>
        <w:rPr>
          <w:rFonts w:hint="eastAsia" w:ascii="宋体" w:hAnsi="宋体" w:eastAsia="宋体" w:cs="宋体"/>
        </w:rPr>
        <w:t>⑧</w:t>
      </w:r>
      <w:r>
        <w:rPr>
          <w:rFonts w:eastAsia="宋体" w:cs="Times New Roman"/>
        </w:rPr>
        <w:t>加强管理，污泥要及时清运减少污泥堆存。</w:t>
      </w:r>
    </w:p>
    <w:p w14:paraId="5187B9FE">
      <w:pPr>
        <w:pStyle w:val="49"/>
        <w:spacing w:line="480" w:lineRule="exact"/>
        <w:ind w:firstLine="480"/>
        <w:rPr>
          <w:rFonts w:eastAsia="宋体" w:cs="Times New Roman"/>
        </w:rPr>
      </w:pPr>
      <w:r>
        <w:rPr>
          <w:rFonts w:hint="eastAsia" w:ascii="宋体" w:hAnsi="宋体" w:eastAsia="宋体" w:cs="宋体"/>
        </w:rPr>
        <w:t>⑨</w:t>
      </w:r>
      <w:r>
        <w:rPr>
          <w:rFonts w:hint="eastAsia" w:eastAsia="宋体" w:cs="Times New Roman"/>
        </w:rPr>
        <w:t>污泥及鸡粪采用密闭槽车在厂内转移运输，同时对运输车辆喷洒除臭剂，以减轻运输过程中，恶臭气体及鸡粪对周边环境影响。</w:t>
      </w:r>
    </w:p>
    <w:p w14:paraId="72477775">
      <w:pPr>
        <w:pStyle w:val="49"/>
        <w:snapToGrid/>
        <w:spacing w:line="480" w:lineRule="exact"/>
        <w:ind w:firstLine="480"/>
      </w:pPr>
      <w:r>
        <w:rPr>
          <w:rFonts w:eastAsia="宋体" w:cs="Times New Roman"/>
        </w:rPr>
        <w:t>采取上述恶臭污染防护措施后，</w:t>
      </w:r>
      <w:r>
        <w:rPr>
          <w:rFonts w:hint="eastAsia" w:hAnsi="宋体"/>
          <w:color w:val="000000"/>
          <w:szCs w:val="24"/>
        </w:rPr>
        <w:t>无组织</w:t>
      </w:r>
      <w:r>
        <w:rPr>
          <w:color w:val="000000"/>
          <w:szCs w:val="24"/>
        </w:rPr>
        <w:t>NH</w:t>
      </w:r>
      <w:r>
        <w:rPr>
          <w:color w:val="000000"/>
          <w:szCs w:val="24"/>
          <w:vertAlign w:val="subscript"/>
        </w:rPr>
        <w:t>3</w:t>
      </w:r>
      <w:r>
        <w:rPr>
          <w:rFonts w:hAnsi="宋体"/>
          <w:color w:val="000000"/>
          <w:szCs w:val="24"/>
        </w:rPr>
        <w:t>和</w:t>
      </w:r>
      <w:r>
        <w:rPr>
          <w:color w:val="000000"/>
          <w:szCs w:val="24"/>
        </w:rPr>
        <w:t>H</w:t>
      </w:r>
      <w:r>
        <w:rPr>
          <w:color w:val="000000"/>
          <w:szCs w:val="24"/>
          <w:vertAlign w:val="subscript"/>
        </w:rPr>
        <w:t>2</w:t>
      </w:r>
      <w:r>
        <w:rPr>
          <w:color w:val="000000"/>
          <w:szCs w:val="24"/>
        </w:rPr>
        <w:t>S</w:t>
      </w:r>
      <w:r>
        <w:rPr>
          <w:rFonts w:hint="eastAsia"/>
          <w:color w:val="000000"/>
          <w:szCs w:val="24"/>
          <w:lang w:val="en-US" w:eastAsia="zh-CN"/>
        </w:rPr>
        <w:t>污染物</w:t>
      </w:r>
      <w:r>
        <w:rPr>
          <w:rFonts w:eastAsia="宋体" w:cs="Times New Roman"/>
        </w:rPr>
        <w:t>排放能够满足《恶臭污染物排放标准》（GB14554-93）</w:t>
      </w:r>
      <w:r>
        <w:rPr>
          <w:rFonts w:hAnsi="宋体"/>
          <w:color w:val="000000"/>
          <w:szCs w:val="24"/>
        </w:rPr>
        <w:t>表</w:t>
      </w:r>
      <w:r>
        <w:rPr>
          <w:color w:val="000000"/>
          <w:szCs w:val="24"/>
        </w:rPr>
        <w:t>1</w:t>
      </w:r>
      <w:r>
        <w:rPr>
          <w:rFonts w:hAnsi="宋体"/>
          <w:color w:val="000000"/>
          <w:szCs w:val="24"/>
        </w:rPr>
        <w:t>中的二级标准</w:t>
      </w:r>
      <w:r>
        <w:rPr>
          <w:rFonts w:hint="eastAsia" w:hAnsi="宋体"/>
          <w:color w:val="000000"/>
          <w:szCs w:val="24"/>
          <w:lang w:val="en-US" w:eastAsia="zh-CN"/>
        </w:rPr>
        <w:t>要求，无组织</w:t>
      </w:r>
      <w:r>
        <w:rPr>
          <w:rFonts w:hAnsi="宋体"/>
          <w:color w:val="000000"/>
          <w:szCs w:val="24"/>
        </w:rPr>
        <w:t>臭气浓度</w:t>
      </w:r>
      <w:r>
        <w:rPr>
          <w:rFonts w:eastAsia="宋体" w:cs="Times New Roman"/>
        </w:rPr>
        <w:t>排放能够满足</w:t>
      </w:r>
      <w:r>
        <w:rPr>
          <w:rFonts w:hAnsi="宋体"/>
          <w:color w:val="000000"/>
          <w:szCs w:val="24"/>
        </w:rPr>
        <w:t>《畜禽养殖业污染物排放标准》（</w:t>
      </w:r>
      <w:r>
        <w:rPr>
          <w:color w:val="000000"/>
          <w:szCs w:val="24"/>
        </w:rPr>
        <w:t>GB18596-2001</w:t>
      </w:r>
      <w:r>
        <w:rPr>
          <w:rFonts w:hAnsi="宋体"/>
          <w:color w:val="000000"/>
          <w:szCs w:val="24"/>
        </w:rPr>
        <w:t>）表</w:t>
      </w:r>
      <w:r>
        <w:rPr>
          <w:color w:val="000000"/>
          <w:szCs w:val="24"/>
        </w:rPr>
        <w:t>7</w:t>
      </w:r>
      <w:r>
        <w:rPr>
          <w:rFonts w:hAnsi="宋体"/>
          <w:color w:val="000000"/>
          <w:szCs w:val="24"/>
        </w:rPr>
        <w:t>中标准值</w:t>
      </w:r>
      <w:r>
        <w:rPr>
          <w:rFonts w:eastAsia="宋体" w:cs="Times New Roman"/>
        </w:rPr>
        <w:t>，</w:t>
      </w:r>
      <w:r>
        <w:rPr>
          <w:rFonts w:hint="eastAsia" w:eastAsia="宋体" w:cs="Times New Roman"/>
          <w:lang w:val="en-US" w:eastAsia="zh-CN"/>
        </w:rPr>
        <w:t>恶臭污染物</w:t>
      </w:r>
      <w:r>
        <w:rPr>
          <w:rFonts w:eastAsia="宋体" w:cs="Times New Roman"/>
        </w:rPr>
        <w:t>对周围环境的影响较小。</w:t>
      </w:r>
    </w:p>
    <w:p w14:paraId="69F3CD8C">
      <w:pPr>
        <w:spacing w:line="480" w:lineRule="exact"/>
        <w:ind w:firstLine="480" w:firstLineChars="200"/>
      </w:pPr>
      <w:r>
        <w:rPr>
          <w:rFonts w:hint="eastAsia"/>
        </w:rPr>
        <w:t>（2）恶臭控制措施可行性分析</w:t>
      </w:r>
    </w:p>
    <w:p w14:paraId="3D0C827B">
      <w:pPr>
        <w:pStyle w:val="49"/>
        <w:snapToGrid/>
        <w:spacing w:line="480" w:lineRule="exact"/>
        <w:ind w:firstLine="480"/>
        <w:outlineLvl w:val="1"/>
      </w:pPr>
      <w:bookmarkStart w:id="137" w:name="_Toc2092"/>
      <w:bookmarkStart w:id="138" w:name="_Toc956"/>
      <w:bookmarkStart w:id="139" w:name="_Toc10830"/>
      <w:bookmarkStart w:id="140" w:name="_Toc29773"/>
      <w:r>
        <w:rPr>
          <w:rFonts w:hint="eastAsia"/>
        </w:rPr>
        <w:t>关于养殖舍用除臭剂除去恶臭方法，在国内外已做了大量实验。归纳所用制</w:t>
      </w:r>
      <w:bookmarkEnd w:id="137"/>
      <w:bookmarkEnd w:id="138"/>
      <w:bookmarkEnd w:id="139"/>
      <w:r>
        <w:rPr>
          <w:rFonts w:hint="eastAsia"/>
        </w:rPr>
        <w:t>剂大致可分为三类：物理除臭剂、化学除臭剂及生物除臭剂。本项目在鸡粪暂存库及污水站等区域采用喷雾器喷洒生物除臭剂</w:t>
      </w:r>
      <w:r>
        <w:rPr>
          <w:rFonts w:hint="eastAsia"/>
          <w:lang w:eastAsia="zh-CN"/>
        </w:rPr>
        <w:t>，</w:t>
      </w:r>
      <w:r>
        <w:rPr>
          <w:rFonts w:hint="eastAsia"/>
          <w:lang w:val="en-US" w:eastAsia="zh-CN"/>
        </w:rPr>
        <w:t>在</w:t>
      </w:r>
      <w:r>
        <w:rPr>
          <w:rFonts w:hint="eastAsia"/>
        </w:rPr>
        <w:t>鸡舍</w:t>
      </w:r>
      <w:r>
        <w:rPr>
          <w:rFonts w:hint="eastAsia" w:eastAsia="宋体" w:cs="Times New Roman"/>
          <w:lang w:val="en-US" w:eastAsia="zh-CN"/>
        </w:rPr>
        <w:t>通风换气口处</w:t>
      </w:r>
      <w:r>
        <w:rPr>
          <w:rFonts w:hint="eastAsia"/>
          <w:color w:val="000000" w:themeColor="text1"/>
          <w14:textFill>
            <w14:solidFill>
              <w14:schemeClr w14:val="tx1"/>
            </w14:solidFill>
          </w14:textFill>
        </w:rPr>
        <w:t>喷洒除臭剂</w:t>
      </w:r>
      <w:r>
        <w:rPr>
          <w:rFonts w:hint="eastAsia"/>
        </w:rPr>
        <w:t>，可有效去除恶臭气味，生物除臭剂由多种有益菌、活性酶、植物香精组成；可以从根源分解臭气；能快速有效去除硫化氢、氨气等恶臭气体，其原理是恶臭气体（氨气、硫化氢）进入微生物细胞中的有机物在各种细胞内酶的催化作用下，微生物对其进行氧化分解，同时进行合成代谢产生新的微生物细胞。一部分有机物通过氧化分解最终转化为H</w:t>
      </w:r>
      <w:r>
        <w:rPr>
          <w:rFonts w:hint="eastAsia"/>
          <w:vertAlign w:val="subscript"/>
        </w:rPr>
        <w:t>2</w:t>
      </w:r>
      <w:r>
        <w:rPr>
          <w:rFonts w:hint="eastAsia"/>
        </w:rPr>
        <w:t>O，CO</w:t>
      </w:r>
      <w:r>
        <w:rPr>
          <w:rFonts w:hint="eastAsia"/>
          <w:vertAlign w:val="subscript"/>
        </w:rPr>
        <w:t>2</w:t>
      </w:r>
      <w:r>
        <w:rPr>
          <w:rFonts w:hint="eastAsia"/>
        </w:rPr>
        <w:t>等稳定的无机物。</w:t>
      </w:r>
      <w:bookmarkEnd w:id="140"/>
    </w:p>
    <w:p w14:paraId="74D20392">
      <w:pPr>
        <w:pStyle w:val="49"/>
        <w:spacing w:line="480" w:lineRule="exact"/>
        <w:ind w:firstLine="480"/>
      </w:pPr>
      <w:r>
        <w:rPr>
          <w:rFonts w:hint="eastAsia"/>
        </w:rPr>
        <w:t>生物除臭是种成熟的生物废气处理技术。除臭剂种类较多，类比同行业肉鸡养殖场，其采用畜禽养殖专用生物除臭剂，喷洒生物除臭剂可降低NH</w:t>
      </w:r>
      <w:r>
        <w:rPr>
          <w:rFonts w:hint="eastAsia"/>
          <w:vertAlign w:val="subscript"/>
        </w:rPr>
        <w:t>3</w:t>
      </w:r>
      <w:r>
        <w:rPr>
          <w:rFonts w:hint="eastAsia"/>
        </w:rPr>
        <w:t>、H</w:t>
      </w:r>
      <w:r>
        <w:rPr>
          <w:rFonts w:hint="eastAsia"/>
          <w:vertAlign w:val="subscript"/>
        </w:rPr>
        <w:t>2</w:t>
      </w:r>
      <w:r>
        <w:rPr>
          <w:rFonts w:hint="eastAsia"/>
        </w:rPr>
        <w:t>S等臭气浓度，除臭率达70%以上，企业通过加强生产现场管理，严格控制生产流程，可将无组织排放量降至最低水平。</w:t>
      </w:r>
    </w:p>
    <w:p w14:paraId="2CA2CAB0">
      <w:pPr>
        <w:spacing w:line="480" w:lineRule="exact"/>
        <w:ind w:firstLine="480" w:firstLineChars="200"/>
      </w:pPr>
      <w:r>
        <w:rPr>
          <w:rFonts w:hint="eastAsia"/>
        </w:rPr>
        <w:t>（3）工程实例</w:t>
      </w:r>
    </w:p>
    <w:p w14:paraId="70B7CCE0">
      <w:pPr>
        <w:spacing w:line="480" w:lineRule="exact"/>
        <w:ind w:firstLine="480" w:firstLineChars="200"/>
      </w:pPr>
      <w:r>
        <w:rPr>
          <w:rFonts w:hint="eastAsia"/>
        </w:rPr>
        <w:t>本项目类比《本溪虹翔肉鸡养殖场肉鸡养殖项目竣工环境保护验收监测报告》（2018.2.1），本溪虹翔肉鸡养殖场位于本溪满族自治县清河城镇台后村，该工程通过采购成品饲料（新型复合微生物菌剂）、喷洒生物除臭剂、鸡粪日产日清、加强绿化等措施控制恶臭气体逸散。项目于2017年11月8日~9日进行验收监测，其监测数据见表6.2-</w:t>
      </w:r>
      <w:r>
        <w:rPr>
          <w:rFonts w:hint="eastAsia"/>
          <w:lang w:val="en-US" w:eastAsia="zh-CN"/>
        </w:rPr>
        <w:t>3</w:t>
      </w:r>
      <w:r>
        <w:rPr>
          <w:rFonts w:hint="eastAsia"/>
        </w:rPr>
        <w:t>。</w:t>
      </w:r>
    </w:p>
    <w:p w14:paraId="46E19751">
      <w:pPr>
        <w:pStyle w:val="31"/>
        <w:spacing w:before="0" w:line="480" w:lineRule="exact"/>
      </w:pPr>
      <w:r>
        <w:rPr>
          <w:rFonts w:hint="eastAsia"/>
        </w:rPr>
        <w:t>表</w:t>
      </w:r>
      <w:r>
        <w:t>6.2-</w:t>
      </w:r>
      <w:r>
        <w:rPr>
          <w:rFonts w:hint="eastAsia"/>
          <w:lang w:val="en-US" w:eastAsia="zh-CN"/>
        </w:rPr>
        <w:t>3</w:t>
      </w:r>
      <w:r>
        <w:rPr>
          <w:rFonts w:hint="eastAsia"/>
        </w:rPr>
        <w:t xml:space="preserve"> </w:t>
      </w:r>
      <w:r>
        <w:t xml:space="preserve"> </w:t>
      </w:r>
      <w:r>
        <w:rPr>
          <w:rFonts w:hint="eastAsia"/>
        </w:rPr>
        <w:t>本溪虹翔肉鸡养殖场无组织恶臭监测情况</w:t>
      </w:r>
    </w:p>
    <w:tbl>
      <w:tblPr>
        <w:tblStyle w:val="4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55"/>
        <w:gridCol w:w="1629"/>
        <w:gridCol w:w="1934"/>
        <w:gridCol w:w="1934"/>
        <w:gridCol w:w="1934"/>
      </w:tblGrid>
      <w:tr w14:paraId="0FA9F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76" w:type="pct"/>
            <w:gridSpan w:val="2"/>
            <w:vAlign w:val="center"/>
          </w:tcPr>
          <w:p w14:paraId="6A47ABEF">
            <w:pPr>
              <w:pStyle w:val="61"/>
            </w:pPr>
            <w:r>
              <w:rPr>
                <w:rFonts w:hint="eastAsia"/>
              </w:rPr>
              <w:t>采样点位</w:t>
            </w:r>
          </w:p>
        </w:tc>
        <w:tc>
          <w:tcPr>
            <w:tcW w:w="3123" w:type="pct"/>
            <w:gridSpan w:val="3"/>
            <w:vAlign w:val="center"/>
          </w:tcPr>
          <w:p w14:paraId="2C0D139D">
            <w:pPr>
              <w:pStyle w:val="61"/>
            </w:pPr>
            <w:r>
              <w:rPr>
                <w:rFonts w:hint="eastAsia"/>
              </w:rPr>
              <w:t>厂界东2017（W）-182-1</w:t>
            </w:r>
          </w:p>
        </w:tc>
      </w:tr>
      <w:tr w14:paraId="725C4F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76" w:type="pct"/>
            <w:gridSpan w:val="2"/>
            <w:vAlign w:val="center"/>
          </w:tcPr>
          <w:p w14:paraId="10941A1B">
            <w:pPr>
              <w:pStyle w:val="61"/>
            </w:pPr>
            <w:r>
              <w:rPr>
                <w:rFonts w:hint="eastAsia"/>
              </w:rPr>
              <w:t>监测项目</w:t>
            </w:r>
          </w:p>
        </w:tc>
        <w:tc>
          <w:tcPr>
            <w:tcW w:w="1041" w:type="pct"/>
            <w:vAlign w:val="center"/>
          </w:tcPr>
          <w:p w14:paraId="5A0B7CAF">
            <w:pPr>
              <w:pStyle w:val="61"/>
            </w:pPr>
            <w:r>
              <w:rPr>
                <w:rFonts w:hint="eastAsia"/>
              </w:rPr>
              <w:t>NH</w:t>
            </w:r>
            <w:r>
              <w:rPr>
                <w:rFonts w:hint="eastAsia"/>
                <w:vertAlign w:val="subscript"/>
              </w:rPr>
              <w:t>3</w:t>
            </w:r>
            <w:r>
              <w:rPr>
                <w:rFonts w:hint="eastAsia"/>
              </w:rPr>
              <w:t>（mg/m</w:t>
            </w:r>
            <w:r>
              <w:rPr>
                <w:rFonts w:hint="eastAsia"/>
                <w:vertAlign w:val="superscript"/>
              </w:rPr>
              <w:t>3</w:t>
            </w:r>
            <w:r>
              <w:rPr>
                <w:rFonts w:hint="eastAsia"/>
              </w:rPr>
              <w:t>）</w:t>
            </w:r>
          </w:p>
        </w:tc>
        <w:tc>
          <w:tcPr>
            <w:tcW w:w="1041" w:type="pct"/>
            <w:vAlign w:val="center"/>
          </w:tcPr>
          <w:p w14:paraId="790D2FBA">
            <w:pPr>
              <w:pStyle w:val="61"/>
            </w:pPr>
            <w:r>
              <w:rPr>
                <w:rFonts w:hint="eastAsia"/>
              </w:rPr>
              <w:t>H</w:t>
            </w:r>
            <w:r>
              <w:rPr>
                <w:rFonts w:hint="eastAsia"/>
                <w:vertAlign w:val="subscript"/>
              </w:rPr>
              <w:t>2</w:t>
            </w:r>
            <w:r>
              <w:rPr>
                <w:rFonts w:hint="eastAsia"/>
              </w:rPr>
              <w:t>S（mg/m</w:t>
            </w:r>
            <w:r>
              <w:rPr>
                <w:rFonts w:hint="eastAsia"/>
                <w:vertAlign w:val="superscript"/>
              </w:rPr>
              <w:t>3</w:t>
            </w:r>
            <w:r>
              <w:rPr>
                <w:rFonts w:hint="eastAsia"/>
              </w:rPr>
              <w:t>）</w:t>
            </w:r>
          </w:p>
        </w:tc>
        <w:tc>
          <w:tcPr>
            <w:tcW w:w="1041" w:type="pct"/>
            <w:vAlign w:val="center"/>
          </w:tcPr>
          <w:p w14:paraId="0B22F443">
            <w:pPr>
              <w:pStyle w:val="61"/>
            </w:pPr>
            <w:r>
              <w:rPr>
                <w:rFonts w:hint="eastAsia"/>
              </w:rPr>
              <w:t>恶臭（无量纲）</w:t>
            </w:r>
          </w:p>
        </w:tc>
      </w:tr>
      <w:tr w14:paraId="447F5D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9" w:type="pct"/>
            <w:vMerge w:val="restart"/>
            <w:vAlign w:val="center"/>
          </w:tcPr>
          <w:p w14:paraId="71FE1F41">
            <w:pPr>
              <w:pStyle w:val="61"/>
            </w:pPr>
            <w:r>
              <w:rPr>
                <w:rFonts w:hint="eastAsia"/>
              </w:rPr>
              <w:t>1</w:t>
            </w:r>
            <w:r>
              <w:t>1</w:t>
            </w:r>
            <w:r>
              <w:rPr>
                <w:rFonts w:hint="eastAsia"/>
              </w:rPr>
              <w:t>月8日</w:t>
            </w:r>
          </w:p>
        </w:tc>
        <w:tc>
          <w:tcPr>
            <w:tcW w:w="876" w:type="pct"/>
            <w:vAlign w:val="center"/>
          </w:tcPr>
          <w:p w14:paraId="77D0F324">
            <w:pPr>
              <w:pStyle w:val="61"/>
            </w:pPr>
            <w:r>
              <w:rPr>
                <w:rFonts w:hint="eastAsia"/>
              </w:rPr>
              <w:t>8:0</w:t>
            </w:r>
            <w:r>
              <w:t>0</w:t>
            </w:r>
          </w:p>
        </w:tc>
        <w:tc>
          <w:tcPr>
            <w:tcW w:w="1041" w:type="pct"/>
            <w:vAlign w:val="center"/>
          </w:tcPr>
          <w:p w14:paraId="7780D2C7">
            <w:pPr>
              <w:pStyle w:val="61"/>
            </w:pPr>
            <w:r>
              <w:rPr>
                <w:rFonts w:hint="eastAsia"/>
              </w:rPr>
              <w:t>0</w:t>
            </w:r>
            <w:r>
              <w:t>.006</w:t>
            </w:r>
          </w:p>
        </w:tc>
        <w:tc>
          <w:tcPr>
            <w:tcW w:w="1041" w:type="pct"/>
            <w:vAlign w:val="center"/>
          </w:tcPr>
          <w:p w14:paraId="12D44FF2">
            <w:pPr>
              <w:pStyle w:val="61"/>
            </w:pPr>
            <w:r>
              <w:t>&lt;0.002</w:t>
            </w:r>
          </w:p>
        </w:tc>
        <w:tc>
          <w:tcPr>
            <w:tcW w:w="1041" w:type="pct"/>
            <w:vAlign w:val="center"/>
          </w:tcPr>
          <w:p w14:paraId="6C6496C5">
            <w:pPr>
              <w:pStyle w:val="61"/>
            </w:pPr>
            <w:r>
              <w:rPr>
                <w:rFonts w:hint="eastAsia"/>
              </w:rPr>
              <w:t>1</w:t>
            </w:r>
            <w:r>
              <w:t>3</w:t>
            </w:r>
          </w:p>
        </w:tc>
      </w:tr>
      <w:tr w14:paraId="33751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9" w:type="pct"/>
            <w:vMerge w:val="continue"/>
            <w:vAlign w:val="center"/>
          </w:tcPr>
          <w:p w14:paraId="0648F888">
            <w:pPr>
              <w:pStyle w:val="61"/>
            </w:pPr>
          </w:p>
        </w:tc>
        <w:tc>
          <w:tcPr>
            <w:tcW w:w="876" w:type="pct"/>
            <w:vAlign w:val="center"/>
          </w:tcPr>
          <w:p w14:paraId="2A84A9E0">
            <w:pPr>
              <w:pStyle w:val="61"/>
            </w:pPr>
            <w:r>
              <w:rPr>
                <w:rFonts w:hint="eastAsia"/>
              </w:rPr>
              <w:t>1</w:t>
            </w:r>
            <w:r>
              <w:t>4:00</w:t>
            </w:r>
          </w:p>
        </w:tc>
        <w:tc>
          <w:tcPr>
            <w:tcW w:w="1041" w:type="pct"/>
            <w:vAlign w:val="center"/>
          </w:tcPr>
          <w:p w14:paraId="4DC72207">
            <w:pPr>
              <w:pStyle w:val="61"/>
            </w:pPr>
            <w:r>
              <w:rPr>
                <w:rFonts w:hint="eastAsia"/>
              </w:rPr>
              <w:t>0</w:t>
            </w:r>
            <w:r>
              <w:t>.008</w:t>
            </w:r>
          </w:p>
        </w:tc>
        <w:tc>
          <w:tcPr>
            <w:tcW w:w="1041" w:type="pct"/>
            <w:vAlign w:val="center"/>
          </w:tcPr>
          <w:p w14:paraId="714E8345">
            <w:pPr>
              <w:pStyle w:val="61"/>
            </w:pPr>
            <w:r>
              <w:t>&lt;0.002</w:t>
            </w:r>
          </w:p>
        </w:tc>
        <w:tc>
          <w:tcPr>
            <w:tcW w:w="1041" w:type="pct"/>
            <w:vAlign w:val="center"/>
          </w:tcPr>
          <w:p w14:paraId="2A1A7959">
            <w:pPr>
              <w:pStyle w:val="61"/>
            </w:pPr>
            <w:r>
              <w:rPr>
                <w:rFonts w:hint="eastAsia"/>
              </w:rPr>
              <w:t>1</w:t>
            </w:r>
            <w:r>
              <w:t>3</w:t>
            </w:r>
          </w:p>
        </w:tc>
      </w:tr>
      <w:tr w14:paraId="32F84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9" w:type="pct"/>
            <w:vMerge w:val="continue"/>
            <w:vAlign w:val="center"/>
          </w:tcPr>
          <w:p w14:paraId="358FEF94">
            <w:pPr>
              <w:pStyle w:val="61"/>
            </w:pPr>
          </w:p>
        </w:tc>
        <w:tc>
          <w:tcPr>
            <w:tcW w:w="876" w:type="pct"/>
            <w:vAlign w:val="center"/>
          </w:tcPr>
          <w:p w14:paraId="5E1EB6A7">
            <w:pPr>
              <w:pStyle w:val="61"/>
            </w:pPr>
            <w:r>
              <w:rPr>
                <w:rFonts w:hint="eastAsia"/>
              </w:rPr>
              <w:t>2</w:t>
            </w:r>
            <w:r>
              <w:t>0:00</w:t>
            </w:r>
          </w:p>
        </w:tc>
        <w:tc>
          <w:tcPr>
            <w:tcW w:w="1041" w:type="pct"/>
            <w:vAlign w:val="center"/>
          </w:tcPr>
          <w:p w14:paraId="56F53DF7">
            <w:pPr>
              <w:pStyle w:val="61"/>
            </w:pPr>
            <w:r>
              <w:rPr>
                <w:rFonts w:hint="eastAsia"/>
              </w:rPr>
              <w:t>0</w:t>
            </w:r>
            <w:r>
              <w:t>.012</w:t>
            </w:r>
          </w:p>
        </w:tc>
        <w:tc>
          <w:tcPr>
            <w:tcW w:w="1041" w:type="pct"/>
            <w:vAlign w:val="center"/>
          </w:tcPr>
          <w:p w14:paraId="51E0D103">
            <w:pPr>
              <w:pStyle w:val="61"/>
            </w:pPr>
            <w:r>
              <w:t>&lt;0.002</w:t>
            </w:r>
          </w:p>
        </w:tc>
        <w:tc>
          <w:tcPr>
            <w:tcW w:w="1041" w:type="pct"/>
            <w:vAlign w:val="center"/>
          </w:tcPr>
          <w:p w14:paraId="3ADEDA04">
            <w:pPr>
              <w:pStyle w:val="61"/>
            </w:pPr>
            <w:r>
              <w:rPr>
                <w:rFonts w:hint="eastAsia"/>
              </w:rPr>
              <w:t>1</w:t>
            </w:r>
            <w:r>
              <w:t>3</w:t>
            </w:r>
          </w:p>
        </w:tc>
      </w:tr>
      <w:tr w14:paraId="64781A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9" w:type="pct"/>
            <w:vMerge w:val="restart"/>
            <w:vAlign w:val="center"/>
          </w:tcPr>
          <w:p w14:paraId="4D8E9E5A">
            <w:pPr>
              <w:pStyle w:val="61"/>
            </w:pPr>
            <w:r>
              <w:rPr>
                <w:rFonts w:hint="eastAsia"/>
              </w:rPr>
              <w:t>1</w:t>
            </w:r>
            <w:r>
              <w:t>1</w:t>
            </w:r>
            <w:r>
              <w:rPr>
                <w:rFonts w:hint="eastAsia"/>
              </w:rPr>
              <w:t>月</w:t>
            </w:r>
            <w:r>
              <w:t>9</w:t>
            </w:r>
            <w:r>
              <w:rPr>
                <w:rFonts w:hint="eastAsia"/>
              </w:rPr>
              <w:t>日</w:t>
            </w:r>
          </w:p>
        </w:tc>
        <w:tc>
          <w:tcPr>
            <w:tcW w:w="876" w:type="pct"/>
            <w:vAlign w:val="center"/>
          </w:tcPr>
          <w:p w14:paraId="7D69B83B">
            <w:pPr>
              <w:pStyle w:val="61"/>
            </w:pPr>
            <w:r>
              <w:rPr>
                <w:rFonts w:hint="eastAsia"/>
              </w:rPr>
              <w:t>8:0</w:t>
            </w:r>
            <w:r>
              <w:t>0</w:t>
            </w:r>
          </w:p>
        </w:tc>
        <w:tc>
          <w:tcPr>
            <w:tcW w:w="1041" w:type="pct"/>
            <w:vAlign w:val="center"/>
          </w:tcPr>
          <w:p w14:paraId="20528C36">
            <w:pPr>
              <w:pStyle w:val="61"/>
            </w:pPr>
            <w:r>
              <w:rPr>
                <w:rFonts w:hint="eastAsia"/>
              </w:rPr>
              <w:t>0</w:t>
            </w:r>
            <w:r>
              <w:t>.008</w:t>
            </w:r>
          </w:p>
        </w:tc>
        <w:tc>
          <w:tcPr>
            <w:tcW w:w="1041" w:type="pct"/>
            <w:vAlign w:val="center"/>
          </w:tcPr>
          <w:p w14:paraId="23FECA3F">
            <w:pPr>
              <w:pStyle w:val="61"/>
            </w:pPr>
            <w:r>
              <w:t>&lt;0.002</w:t>
            </w:r>
          </w:p>
        </w:tc>
        <w:tc>
          <w:tcPr>
            <w:tcW w:w="1041" w:type="pct"/>
            <w:vAlign w:val="center"/>
          </w:tcPr>
          <w:p w14:paraId="2FC46E80">
            <w:pPr>
              <w:pStyle w:val="61"/>
            </w:pPr>
            <w:r>
              <w:rPr>
                <w:rFonts w:hint="eastAsia"/>
              </w:rPr>
              <w:t>1</w:t>
            </w:r>
            <w:r>
              <w:t>3</w:t>
            </w:r>
          </w:p>
        </w:tc>
      </w:tr>
      <w:tr w14:paraId="401880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9" w:type="pct"/>
            <w:vMerge w:val="continue"/>
            <w:vAlign w:val="center"/>
          </w:tcPr>
          <w:p w14:paraId="14668E15">
            <w:pPr>
              <w:pStyle w:val="61"/>
            </w:pPr>
          </w:p>
        </w:tc>
        <w:tc>
          <w:tcPr>
            <w:tcW w:w="876" w:type="pct"/>
            <w:vAlign w:val="center"/>
          </w:tcPr>
          <w:p w14:paraId="7661B3FA">
            <w:pPr>
              <w:pStyle w:val="61"/>
            </w:pPr>
            <w:r>
              <w:rPr>
                <w:rFonts w:hint="eastAsia"/>
              </w:rPr>
              <w:t>1</w:t>
            </w:r>
            <w:r>
              <w:t>4:00</w:t>
            </w:r>
          </w:p>
        </w:tc>
        <w:tc>
          <w:tcPr>
            <w:tcW w:w="1041" w:type="pct"/>
            <w:vAlign w:val="center"/>
          </w:tcPr>
          <w:p w14:paraId="484832F3">
            <w:pPr>
              <w:pStyle w:val="61"/>
            </w:pPr>
            <w:r>
              <w:t>&lt;0.004</w:t>
            </w:r>
          </w:p>
        </w:tc>
        <w:tc>
          <w:tcPr>
            <w:tcW w:w="1041" w:type="pct"/>
            <w:vAlign w:val="center"/>
          </w:tcPr>
          <w:p w14:paraId="00EC61E0">
            <w:pPr>
              <w:pStyle w:val="61"/>
            </w:pPr>
            <w:r>
              <w:t>&lt;0.002</w:t>
            </w:r>
          </w:p>
        </w:tc>
        <w:tc>
          <w:tcPr>
            <w:tcW w:w="1041" w:type="pct"/>
            <w:vAlign w:val="center"/>
          </w:tcPr>
          <w:p w14:paraId="1F3C2B8E">
            <w:pPr>
              <w:pStyle w:val="61"/>
            </w:pPr>
            <w:r>
              <w:rPr>
                <w:rFonts w:hint="eastAsia"/>
              </w:rPr>
              <w:t>1</w:t>
            </w:r>
            <w:r>
              <w:t>3</w:t>
            </w:r>
          </w:p>
        </w:tc>
      </w:tr>
      <w:tr w14:paraId="24A5D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9" w:type="pct"/>
            <w:vMerge w:val="continue"/>
            <w:vAlign w:val="center"/>
          </w:tcPr>
          <w:p w14:paraId="42F5A7F9">
            <w:pPr>
              <w:pStyle w:val="61"/>
            </w:pPr>
          </w:p>
        </w:tc>
        <w:tc>
          <w:tcPr>
            <w:tcW w:w="876" w:type="pct"/>
            <w:vAlign w:val="center"/>
          </w:tcPr>
          <w:p w14:paraId="2B96BA13">
            <w:pPr>
              <w:pStyle w:val="61"/>
            </w:pPr>
            <w:r>
              <w:rPr>
                <w:rFonts w:hint="eastAsia"/>
              </w:rPr>
              <w:t>2</w:t>
            </w:r>
            <w:r>
              <w:t>0:00</w:t>
            </w:r>
          </w:p>
        </w:tc>
        <w:tc>
          <w:tcPr>
            <w:tcW w:w="1041" w:type="pct"/>
            <w:vAlign w:val="center"/>
          </w:tcPr>
          <w:p w14:paraId="0AC86D2F">
            <w:pPr>
              <w:pStyle w:val="61"/>
            </w:pPr>
            <w:r>
              <w:rPr>
                <w:rFonts w:hint="eastAsia"/>
              </w:rPr>
              <w:t>0</w:t>
            </w:r>
            <w:r>
              <w:t>.012</w:t>
            </w:r>
          </w:p>
        </w:tc>
        <w:tc>
          <w:tcPr>
            <w:tcW w:w="1041" w:type="pct"/>
            <w:vAlign w:val="center"/>
          </w:tcPr>
          <w:p w14:paraId="6D843B35">
            <w:pPr>
              <w:pStyle w:val="61"/>
            </w:pPr>
            <w:r>
              <w:t>&lt;0.002</w:t>
            </w:r>
          </w:p>
        </w:tc>
        <w:tc>
          <w:tcPr>
            <w:tcW w:w="1041" w:type="pct"/>
            <w:vAlign w:val="center"/>
          </w:tcPr>
          <w:p w14:paraId="7DC49B3D">
            <w:pPr>
              <w:pStyle w:val="61"/>
            </w:pPr>
            <w:r>
              <w:rPr>
                <w:rFonts w:hint="eastAsia"/>
              </w:rPr>
              <w:t>1</w:t>
            </w:r>
            <w:r>
              <w:t>3</w:t>
            </w:r>
          </w:p>
        </w:tc>
      </w:tr>
      <w:tr w14:paraId="44CB6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76" w:type="pct"/>
            <w:gridSpan w:val="2"/>
            <w:vAlign w:val="center"/>
          </w:tcPr>
          <w:p w14:paraId="3BC24104">
            <w:pPr>
              <w:pStyle w:val="61"/>
            </w:pPr>
            <w:r>
              <w:rPr>
                <w:rFonts w:hint="eastAsia"/>
              </w:rPr>
              <w:t>采样点位</w:t>
            </w:r>
          </w:p>
        </w:tc>
        <w:tc>
          <w:tcPr>
            <w:tcW w:w="3123" w:type="pct"/>
            <w:gridSpan w:val="3"/>
            <w:vAlign w:val="center"/>
          </w:tcPr>
          <w:p w14:paraId="36D8B717">
            <w:pPr>
              <w:pStyle w:val="61"/>
            </w:pPr>
            <w:r>
              <w:rPr>
                <w:rFonts w:hint="eastAsia"/>
              </w:rPr>
              <w:t>厂界南2017（W）-182-</w:t>
            </w:r>
            <w:r>
              <w:t>2</w:t>
            </w:r>
          </w:p>
        </w:tc>
      </w:tr>
      <w:tr w14:paraId="77BD0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76" w:type="pct"/>
            <w:gridSpan w:val="2"/>
            <w:vAlign w:val="center"/>
          </w:tcPr>
          <w:p w14:paraId="30706308">
            <w:pPr>
              <w:pStyle w:val="61"/>
            </w:pPr>
            <w:r>
              <w:rPr>
                <w:rFonts w:hint="eastAsia"/>
              </w:rPr>
              <w:t>监测项目</w:t>
            </w:r>
          </w:p>
        </w:tc>
        <w:tc>
          <w:tcPr>
            <w:tcW w:w="1041" w:type="pct"/>
            <w:vAlign w:val="center"/>
          </w:tcPr>
          <w:p w14:paraId="42270AF4">
            <w:pPr>
              <w:pStyle w:val="61"/>
            </w:pPr>
            <w:r>
              <w:rPr>
                <w:rFonts w:hint="eastAsia"/>
              </w:rPr>
              <w:t>NH</w:t>
            </w:r>
            <w:r>
              <w:rPr>
                <w:rFonts w:hint="eastAsia"/>
                <w:vertAlign w:val="subscript"/>
              </w:rPr>
              <w:t>3</w:t>
            </w:r>
            <w:r>
              <w:rPr>
                <w:rFonts w:hint="eastAsia"/>
              </w:rPr>
              <w:t>（mg/m</w:t>
            </w:r>
            <w:r>
              <w:rPr>
                <w:rFonts w:hint="eastAsia"/>
                <w:vertAlign w:val="superscript"/>
              </w:rPr>
              <w:t>3</w:t>
            </w:r>
            <w:r>
              <w:rPr>
                <w:rFonts w:hint="eastAsia"/>
              </w:rPr>
              <w:t>）</w:t>
            </w:r>
          </w:p>
        </w:tc>
        <w:tc>
          <w:tcPr>
            <w:tcW w:w="1041" w:type="pct"/>
            <w:vAlign w:val="center"/>
          </w:tcPr>
          <w:p w14:paraId="207D2C16">
            <w:pPr>
              <w:pStyle w:val="61"/>
            </w:pPr>
            <w:r>
              <w:rPr>
                <w:rFonts w:hint="eastAsia"/>
              </w:rPr>
              <w:t>H</w:t>
            </w:r>
            <w:r>
              <w:rPr>
                <w:rFonts w:hint="eastAsia"/>
                <w:vertAlign w:val="subscript"/>
              </w:rPr>
              <w:t>2</w:t>
            </w:r>
            <w:r>
              <w:rPr>
                <w:rFonts w:hint="eastAsia"/>
              </w:rPr>
              <w:t>S（mg/m</w:t>
            </w:r>
            <w:r>
              <w:rPr>
                <w:rFonts w:hint="eastAsia"/>
                <w:vertAlign w:val="superscript"/>
              </w:rPr>
              <w:t>3</w:t>
            </w:r>
            <w:r>
              <w:rPr>
                <w:rFonts w:hint="eastAsia"/>
              </w:rPr>
              <w:t>）</w:t>
            </w:r>
          </w:p>
        </w:tc>
        <w:tc>
          <w:tcPr>
            <w:tcW w:w="1041" w:type="pct"/>
            <w:vAlign w:val="center"/>
          </w:tcPr>
          <w:p w14:paraId="02743EC7">
            <w:pPr>
              <w:pStyle w:val="61"/>
            </w:pPr>
            <w:r>
              <w:rPr>
                <w:rFonts w:hint="eastAsia"/>
              </w:rPr>
              <w:t>恶臭（无量纲）</w:t>
            </w:r>
          </w:p>
        </w:tc>
      </w:tr>
      <w:tr w14:paraId="6CF8E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9" w:type="pct"/>
            <w:vMerge w:val="restart"/>
            <w:vAlign w:val="center"/>
          </w:tcPr>
          <w:p w14:paraId="511982CA">
            <w:pPr>
              <w:pStyle w:val="61"/>
            </w:pPr>
            <w:r>
              <w:rPr>
                <w:rFonts w:hint="eastAsia"/>
              </w:rPr>
              <w:t>1</w:t>
            </w:r>
            <w:r>
              <w:t>1</w:t>
            </w:r>
            <w:r>
              <w:rPr>
                <w:rFonts w:hint="eastAsia"/>
              </w:rPr>
              <w:t>月8日</w:t>
            </w:r>
          </w:p>
        </w:tc>
        <w:tc>
          <w:tcPr>
            <w:tcW w:w="876" w:type="pct"/>
            <w:vAlign w:val="center"/>
          </w:tcPr>
          <w:p w14:paraId="4FA0BB8B">
            <w:pPr>
              <w:pStyle w:val="61"/>
            </w:pPr>
            <w:r>
              <w:rPr>
                <w:rFonts w:hint="eastAsia"/>
              </w:rPr>
              <w:t>8:0</w:t>
            </w:r>
            <w:r>
              <w:t>0</w:t>
            </w:r>
          </w:p>
        </w:tc>
        <w:tc>
          <w:tcPr>
            <w:tcW w:w="1041" w:type="pct"/>
            <w:vAlign w:val="center"/>
          </w:tcPr>
          <w:p w14:paraId="65D4E636">
            <w:pPr>
              <w:pStyle w:val="61"/>
            </w:pPr>
            <w:r>
              <w:rPr>
                <w:rFonts w:hint="eastAsia"/>
              </w:rPr>
              <w:t>0</w:t>
            </w:r>
            <w:r>
              <w:t>.013</w:t>
            </w:r>
          </w:p>
        </w:tc>
        <w:tc>
          <w:tcPr>
            <w:tcW w:w="1041" w:type="pct"/>
            <w:vAlign w:val="center"/>
          </w:tcPr>
          <w:p w14:paraId="5C2AAD18">
            <w:pPr>
              <w:pStyle w:val="61"/>
            </w:pPr>
            <w:r>
              <w:t>&lt;0.002</w:t>
            </w:r>
          </w:p>
        </w:tc>
        <w:tc>
          <w:tcPr>
            <w:tcW w:w="1041" w:type="pct"/>
            <w:vAlign w:val="center"/>
          </w:tcPr>
          <w:p w14:paraId="34D10926">
            <w:pPr>
              <w:pStyle w:val="61"/>
            </w:pPr>
            <w:r>
              <w:rPr>
                <w:rFonts w:hint="eastAsia"/>
              </w:rPr>
              <w:t>1</w:t>
            </w:r>
            <w:r>
              <w:t>6</w:t>
            </w:r>
          </w:p>
        </w:tc>
      </w:tr>
      <w:tr w14:paraId="36DEF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9" w:type="pct"/>
            <w:vMerge w:val="continue"/>
            <w:vAlign w:val="center"/>
          </w:tcPr>
          <w:p w14:paraId="1278C219">
            <w:pPr>
              <w:pStyle w:val="61"/>
            </w:pPr>
          </w:p>
        </w:tc>
        <w:tc>
          <w:tcPr>
            <w:tcW w:w="876" w:type="pct"/>
            <w:vAlign w:val="center"/>
          </w:tcPr>
          <w:p w14:paraId="1BF3B948">
            <w:pPr>
              <w:pStyle w:val="61"/>
            </w:pPr>
            <w:r>
              <w:rPr>
                <w:rFonts w:hint="eastAsia"/>
              </w:rPr>
              <w:t>1</w:t>
            </w:r>
            <w:r>
              <w:t>4:00</w:t>
            </w:r>
          </w:p>
        </w:tc>
        <w:tc>
          <w:tcPr>
            <w:tcW w:w="1041" w:type="pct"/>
            <w:vAlign w:val="center"/>
          </w:tcPr>
          <w:p w14:paraId="1EF0F61E">
            <w:pPr>
              <w:pStyle w:val="61"/>
            </w:pPr>
            <w:r>
              <w:rPr>
                <w:rFonts w:hint="eastAsia"/>
              </w:rPr>
              <w:t>0</w:t>
            </w:r>
            <w:r>
              <w:t>.018</w:t>
            </w:r>
          </w:p>
        </w:tc>
        <w:tc>
          <w:tcPr>
            <w:tcW w:w="1041" w:type="pct"/>
            <w:vAlign w:val="center"/>
          </w:tcPr>
          <w:p w14:paraId="22BDC44B">
            <w:pPr>
              <w:pStyle w:val="61"/>
            </w:pPr>
            <w:r>
              <w:t>&lt;0.002</w:t>
            </w:r>
          </w:p>
        </w:tc>
        <w:tc>
          <w:tcPr>
            <w:tcW w:w="1041" w:type="pct"/>
            <w:vAlign w:val="center"/>
          </w:tcPr>
          <w:p w14:paraId="5863D52B">
            <w:pPr>
              <w:pStyle w:val="61"/>
            </w:pPr>
            <w:r>
              <w:rPr>
                <w:rFonts w:hint="eastAsia"/>
              </w:rPr>
              <w:t>1</w:t>
            </w:r>
            <w:r>
              <w:t>6</w:t>
            </w:r>
          </w:p>
        </w:tc>
      </w:tr>
      <w:tr w14:paraId="00193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9" w:type="pct"/>
            <w:vMerge w:val="continue"/>
            <w:vAlign w:val="center"/>
          </w:tcPr>
          <w:p w14:paraId="0D8E0442">
            <w:pPr>
              <w:pStyle w:val="61"/>
            </w:pPr>
          </w:p>
        </w:tc>
        <w:tc>
          <w:tcPr>
            <w:tcW w:w="876" w:type="pct"/>
            <w:vAlign w:val="center"/>
          </w:tcPr>
          <w:p w14:paraId="26564667">
            <w:pPr>
              <w:pStyle w:val="61"/>
            </w:pPr>
            <w:r>
              <w:rPr>
                <w:rFonts w:hint="eastAsia"/>
              </w:rPr>
              <w:t>2</w:t>
            </w:r>
            <w:r>
              <w:t>0:00</w:t>
            </w:r>
          </w:p>
        </w:tc>
        <w:tc>
          <w:tcPr>
            <w:tcW w:w="1041" w:type="pct"/>
            <w:vAlign w:val="center"/>
          </w:tcPr>
          <w:p w14:paraId="096B26A3">
            <w:pPr>
              <w:pStyle w:val="61"/>
            </w:pPr>
            <w:r>
              <w:rPr>
                <w:rFonts w:hint="eastAsia"/>
              </w:rPr>
              <w:t>0</w:t>
            </w:r>
            <w:r>
              <w:t>.020</w:t>
            </w:r>
          </w:p>
        </w:tc>
        <w:tc>
          <w:tcPr>
            <w:tcW w:w="1041" w:type="pct"/>
            <w:vAlign w:val="center"/>
          </w:tcPr>
          <w:p w14:paraId="195431A7">
            <w:pPr>
              <w:pStyle w:val="61"/>
            </w:pPr>
            <w:r>
              <w:t>&lt;0.002</w:t>
            </w:r>
          </w:p>
        </w:tc>
        <w:tc>
          <w:tcPr>
            <w:tcW w:w="1041" w:type="pct"/>
            <w:vAlign w:val="center"/>
          </w:tcPr>
          <w:p w14:paraId="6CC83648">
            <w:pPr>
              <w:pStyle w:val="61"/>
            </w:pPr>
            <w:r>
              <w:rPr>
                <w:rFonts w:hint="eastAsia"/>
              </w:rPr>
              <w:t>1</w:t>
            </w:r>
            <w:r>
              <w:t>6</w:t>
            </w:r>
          </w:p>
        </w:tc>
      </w:tr>
      <w:tr w14:paraId="2A4FF3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9" w:type="pct"/>
            <w:vMerge w:val="restart"/>
            <w:vAlign w:val="center"/>
          </w:tcPr>
          <w:p w14:paraId="7491664A">
            <w:pPr>
              <w:pStyle w:val="61"/>
            </w:pPr>
            <w:r>
              <w:rPr>
                <w:rFonts w:hint="eastAsia"/>
              </w:rPr>
              <w:t>1</w:t>
            </w:r>
            <w:r>
              <w:t>1</w:t>
            </w:r>
            <w:r>
              <w:rPr>
                <w:rFonts w:hint="eastAsia"/>
              </w:rPr>
              <w:t>月</w:t>
            </w:r>
            <w:r>
              <w:t>9</w:t>
            </w:r>
            <w:r>
              <w:rPr>
                <w:rFonts w:hint="eastAsia"/>
              </w:rPr>
              <w:t>日</w:t>
            </w:r>
          </w:p>
        </w:tc>
        <w:tc>
          <w:tcPr>
            <w:tcW w:w="876" w:type="pct"/>
            <w:vAlign w:val="center"/>
          </w:tcPr>
          <w:p w14:paraId="0E35C021">
            <w:pPr>
              <w:pStyle w:val="61"/>
            </w:pPr>
            <w:r>
              <w:rPr>
                <w:rFonts w:hint="eastAsia"/>
              </w:rPr>
              <w:t>8:0</w:t>
            </w:r>
            <w:r>
              <w:t>0</w:t>
            </w:r>
          </w:p>
        </w:tc>
        <w:tc>
          <w:tcPr>
            <w:tcW w:w="1041" w:type="pct"/>
            <w:vAlign w:val="center"/>
          </w:tcPr>
          <w:p w14:paraId="7900057D">
            <w:pPr>
              <w:pStyle w:val="61"/>
            </w:pPr>
            <w:r>
              <w:rPr>
                <w:rFonts w:hint="eastAsia"/>
              </w:rPr>
              <w:t>0</w:t>
            </w:r>
            <w:r>
              <w:t>.017</w:t>
            </w:r>
          </w:p>
        </w:tc>
        <w:tc>
          <w:tcPr>
            <w:tcW w:w="1041" w:type="pct"/>
            <w:vAlign w:val="center"/>
          </w:tcPr>
          <w:p w14:paraId="0183D7AD">
            <w:pPr>
              <w:pStyle w:val="61"/>
            </w:pPr>
            <w:r>
              <w:t>&lt;0.002</w:t>
            </w:r>
          </w:p>
        </w:tc>
        <w:tc>
          <w:tcPr>
            <w:tcW w:w="1041" w:type="pct"/>
            <w:vAlign w:val="center"/>
          </w:tcPr>
          <w:p w14:paraId="786012FD">
            <w:pPr>
              <w:pStyle w:val="61"/>
            </w:pPr>
            <w:r>
              <w:rPr>
                <w:rFonts w:hint="eastAsia"/>
              </w:rPr>
              <w:t>1</w:t>
            </w:r>
            <w:r>
              <w:t>6</w:t>
            </w:r>
          </w:p>
        </w:tc>
      </w:tr>
      <w:tr w14:paraId="3DE6B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9" w:type="pct"/>
            <w:vMerge w:val="continue"/>
            <w:vAlign w:val="center"/>
          </w:tcPr>
          <w:p w14:paraId="695CCCF4">
            <w:pPr>
              <w:pStyle w:val="61"/>
            </w:pPr>
          </w:p>
        </w:tc>
        <w:tc>
          <w:tcPr>
            <w:tcW w:w="876" w:type="pct"/>
            <w:vAlign w:val="center"/>
          </w:tcPr>
          <w:p w14:paraId="21B060D2">
            <w:pPr>
              <w:pStyle w:val="61"/>
            </w:pPr>
            <w:r>
              <w:rPr>
                <w:rFonts w:hint="eastAsia"/>
              </w:rPr>
              <w:t>1</w:t>
            </w:r>
            <w:r>
              <w:t>4:00</w:t>
            </w:r>
          </w:p>
        </w:tc>
        <w:tc>
          <w:tcPr>
            <w:tcW w:w="1041" w:type="pct"/>
            <w:vAlign w:val="center"/>
          </w:tcPr>
          <w:p w14:paraId="72748F18">
            <w:pPr>
              <w:pStyle w:val="61"/>
            </w:pPr>
            <w:r>
              <w:t>0.021</w:t>
            </w:r>
          </w:p>
        </w:tc>
        <w:tc>
          <w:tcPr>
            <w:tcW w:w="1041" w:type="pct"/>
            <w:vAlign w:val="center"/>
          </w:tcPr>
          <w:p w14:paraId="57673517">
            <w:pPr>
              <w:pStyle w:val="61"/>
            </w:pPr>
            <w:r>
              <w:t>&lt;0.002</w:t>
            </w:r>
          </w:p>
        </w:tc>
        <w:tc>
          <w:tcPr>
            <w:tcW w:w="1041" w:type="pct"/>
            <w:vAlign w:val="center"/>
          </w:tcPr>
          <w:p w14:paraId="75C6ACF5">
            <w:pPr>
              <w:pStyle w:val="61"/>
            </w:pPr>
            <w:r>
              <w:rPr>
                <w:rFonts w:hint="eastAsia"/>
              </w:rPr>
              <w:t>1</w:t>
            </w:r>
            <w:r>
              <w:t>6</w:t>
            </w:r>
          </w:p>
        </w:tc>
      </w:tr>
      <w:tr w14:paraId="0E9D6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9" w:type="pct"/>
            <w:vMerge w:val="continue"/>
            <w:vAlign w:val="center"/>
          </w:tcPr>
          <w:p w14:paraId="2B6E35E6">
            <w:pPr>
              <w:pStyle w:val="61"/>
            </w:pPr>
          </w:p>
        </w:tc>
        <w:tc>
          <w:tcPr>
            <w:tcW w:w="876" w:type="pct"/>
            <w:vAlign w:val="center"/>
          </w:tcPr>
          <w:p w14:paraId="1EB7DA29">
            <w:pPr>
              <w:pStyle w:val="61"/>
            </w:pPr>
            <w:r>
              <w:rPr>
                <w:rFonts w:hint="eastAsia"/>
              </w:rPr>
              <w:t>2</w:t>
            </w:r>
            <w:r>
              <w:t>0:00</w:t>
            </w:r>
          </w:p>
        </w:tc>
        <w:tc>
          <w:tcPr>
            <w:tcW w:w="1041" w:type="pct"/>
            <w:vAlign w:val="center"/>
          </w:tcPr>
          <w:p w14:paraId="69C2E102">
            <w:pPr>
              <w:pStyle w:val="61"/>
            </w:pPr>
            <w:r>
              <w:rPr>
                <w:rFonts w:hint="eastAsia"/>
              </w:rPr>
              <w:t>0</w:t>
            </w:r>
            <w:r>
              <w:t>.026</w:t>
            </w:r>
          </w:p>
        </w:tc>
        <w:tc>
          <w:tcPr>
            <w:tcW w:w="1041" w:type="pct"/>
            <w:vAlign w:val="center"/>
          </w:tcPr>
          <w:p w14:paraId="5885684C">
            <w:pPr>
              <w:pStyle w:val="61"/>
            </w:pPr>
            <w:r>
              <w:t>&lt;0.002</w:t>
            </w:r>
          </w:p>
        </w:tc>
        <w:tc>
          <w:tcPr>
            <w:tcW w:w="1041" w:type="pct"/>
            <w:vAlign w:val="center"/>
          </w:tcPr>
          <w:p w14:paraId="7E731731">
            <w:pPr>
              <w:pStyle w:val="61"/>
            </w:pPr>
            <w:r>
              <w:rPr>
                <w:rFonts w:hint="eastAsia"/>
              </w:rPr>
              <w:t>1</w:t>
            </w:r>
            <w:r>
              <w:t>6</w:t>
            </w:r>
          </w:p>
        </w:tc>
      </w:tr>
      <w:tr w14:paraId="311F71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76" w:type="pct"/>
            <w:gridSpan w:val="2"/>
            <w:vAlign w:val="center"/>
          </w:tcPr>
          <w:p w14:paraId="68558A67">
            <w:pPr>
              <w:pStyle w:val="61"/>
            </w:pPr>
            <w:r>
              <w:rPr>
                <w:rFonts w:hint="eastAsia"/>
              </w:rPr>
              <w:t>采样点位</w:t>
            </w:r>
          </w:p>
        </w:tc>
        <w:tc>
          <w:tcPr>
            <w:tcW w:w="3123" w:type="pct"/>
            <w:gridSpan w:val="3"/>
            <w:vAlign w:val="center"/>
          </w:tcPr>
          <w:p w14:paraId="278B07F7">
            <w:pPr>
              <w:pStyle w:val="61"/>
            </w:pPr>
            <w:r>
              <w:rPr>
                <w:rFonts w:hint="eastAsia"/>
              </w:rPr>
              <w:t>厂界西2017（W）-182-</w:t>
            </w:r>
            <w:r>
              <w:t>3</w:t>
            </w:r>
          </w:p>
        </w:tc>
      </w:tr>
      <w:tr w14:paraId="44E34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76" w:type="pct"/>
            <w:gridSpan w:val="2"/>
            <w:vAlign w:val="center"/>
          </w:tcPr>
          <w:p w14:paraId="7E3F34E6">
            <w:pPr>
              <w:pStyle w:val="61"/>
            </w:pPr>
            <w:r>
              <w:rPr>
                <w:rFonts w:hint="eastAsia"/>
              </w:rPr>
              <w:t>监测项目</w:t>
            </w:r>
          </w:p>
        </w:tc>
        <w:tc>
          <w:tcPr>
            <w:tcW w:w="1041" w:type="pct"/>
            <w:vAlign w:val="center"/>
          </w:tcPr>
          <w:p w14:paraId="3CCE5D7A">
            <w:pPr>
              <w:pStyle w:val="61"/>
            </w:pPr>
            <w:r>
              <w:rPr>
                <w:rFonts w:hint="eastAsia"/>
              </w:rPr>
              <w:t>NH</w:t>
            </w:r>
            <w:r>
              <w:rPr>
                <w:rFonts w:hint="eastAsia"/>
                <w:vertAlign w:val="subscript"/>
              </w:rPr>
              <w:t>3</w:t>
            </w:r>
            <w:r>
              <w:rPr>
                <w:rFonts w:hint="eastAsia"/>
              </w:rPr>
              <w:t>（mg/m</w:t>
            </w:r>
            <w:r>
              <w:rPr>
                <w:rFonts w:hint="eastAsia"/>
                <w:vertAlign w:val="superscript"/>
              </w:rPr>
              <w:t>3</w:t>
            </w:r>
            <w:r>
              <w:rPr>
                <w:rFonts w:hint="eastAsia"/>
              </w:rPr>
              <w:t>）</w:t>
            </w:r>
          </w:p>
        </w:tc>
        <w:tc>
          <w:tcPr>
            <w:tcW w:w="1041" w:type="pct"/>
            <w:vAlign w:val="center"/>
          </w:tcPr>
          <w:p w14:paraId="23EBC432">
            <w:pPr>
              <w:pStyle w:val="61"/>
            </w:pPr>
            <w:r>
              <w:rPr>
                <w:rFonts w:hint="eastAsia"/>
              </w:rPr>
              <w:t>H</w:t>
            </w:r>
            <w:r>
              <w:rPr>
                <w:rFonts w:hint="eastAsia"/>
                <w:vertAlign w:val="subscript"/>
              </w:rPr>
              <w:t>2</w:t>
            </w:r>
            <w:r>
              <w:rPr>
                <w:rFonts w:hint="eastAsia"/>
              </w:rPr>
              <w:t>S（mg/m</w:t>
            </w:r>
            <w:r>
              <w:rPr>
                <w:rFonts w:hint="eastAsia"/>
                <w:vertAlign w:val="superscript"/>
              </w:rPr>
              <w:t>3</w:t>
            </w:r>
            <w:r>
              <w:rPr>
                <w:rFonts w:hint="eastAsia"/>
              </w:rPr>
              <w:t>）</w:t>
            </w:r>
          </w:p>
        </w:tc>
        <w:tc>
          <w:tcPr>
            <w:tcW w:w="1041" w:type="pct"/>
            <w:vAlign w:val="center"/>
          </w:tcPr>
          <w:p w14:paraId="426E466E">
            <w:pPr>
              <w:pStyle w:val="61"/>
            </w:pPr>
            <w:r>
              <w:rPr>
                <w:rFonts w:hint="eastAsia"/>
              </w:rPr>
              <w:t>恶臭（无量纲）</w:t>
            </w:r>
          </w:p>
        </w:tc>
      </w:tr>
      <w:tr w14:paraId="50715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restart"/>
            <w:vAlign w:val="center"/>
          </w:tcPr>
          <w:p w14:paraId="13595B2D">
            <w:pPr>
              <w:pStyle w:val="61"/>
            </w:pPr>
            <w:r>
              <w:rPr>
                <w:rFonts w:hint="eastAsia"/>
              </w:rPr>
              <w:t>1</w:t>
            </w:r>
            <w:r>
              <w:t>1</w:t>
            </w:r>
            <w:r>
              <w:rPr>
                <w:rFonts w:hint="eastAsia"/>
              </w:rPr>
              <w:t>月8日</w:t>
            </w:r>
          </w:p>
        </w:tc>
        <w:tc>
          <w:tcPr>
            <w:tcW w:w="876" w:type="pct"/>
            <w:vAlign w:val="center"/>
          </w:tcPr>
          <w:p w14:paraId="074E9717">
            <w:pPr>
              <w:pStyle w:val="61"/>
            </w:pPr>
            <w:r>
              <w:rPr>
                <w:rFonts w:hint="eastAsia"/>
              </w:rPr>
              <w:t>8:0</w:t>
            </w:r>
            <w:r>
              <w:t>0</w:t>
            </w:r>
          </w:p>
        </w:tc>
        <w:tc>
          <w:tcPr>
            <w:tcW w:w="1041" w:type="pct"/>
            <w:vAlign w:val="center"/>
          </w:tcPr>
          <w:p w14:paraId="59D84907">
            <w:pPr>
              <w:pStyle w:val="61"/>
            </w:pPr>
            <w:r>
              <w:rPr>
                <w:rFonts w:hint="eastAsia"/>
              </w:rPr>
              <w:t>0</w:t>
            </w:r>
            <w:r>
              <w:t>.023</w:t>
            </w:r>
          </w:p>
        </w:tc>
        <w:tc>
          <w:tcPr>
            <w:tcW w:w="1041" w:type="pct"/>
            <w:vAlign w:val="center"/>
          </w:tcPr>
          <w:p w14:paraId="4F139032">
            <w:pPr>
              <w:pStyle w:val="61"/>
            </w:pPr>
            <w:r>
              <w:t>&lt;0.002</w:t>
            </w:r>
          </w:p>
        </w:tc>
        <w:tc>
          <w:tcPr>
            <w:tcW w:w="1041" w:type="pct"/>
            <w:vAlign w:val="center"/>
          </w:tcPr>
          <w:p w14:paraId="401C877A">
            <w:pPr>
              <w:pStyle w:val="61"/>
            </w:pPr>
            <w:r>
              <w:rPr>
                <w:rFonts w:hint="eastAsia"/>
              </w:rPr>
              <w:t>1</w:t>
            </w:r>
            <w:r>
              <w:t>6</w:t>
            </w:r>
          </w:p>
        </w:tc>
      </w:tr>
      <w:tr w14:paraId="5A706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vAlign w:val="center"/>
          </w:tcPr>
          <w:p w14:paraId="057B5FF2">
            <w:pPr>
              <w:pStyle w:val="61"/>
            </w:pPr>
          </w:p>
        </w:tc>
        <w:tc>
          <w:tcPr>
            <w:tcW w:w="876" w:type="pct"/>
            <w:vAlign w:val="center"/>
          </w:tcPr>
          <w:p w14:paraId="278DCC98">
            <w:pPr>
              <w:pStyle w:val="61"/>
            </w:pPr>
            <w:r>
              <w:rPr>
                <w:rFonts w:hint="eastAsia"/>
              </w:rPr>
              <w:t>1</w:t>
            </w:r>
            <w:r>
              <w:t>4:00</w:t>
            </w:r>
          </w:p>
        </w:tc>
        <w:tc>
          <w:tcPr>
            <w:tcW w:w="1041" w:type="pct"/>
            <w:vAlign w:val="center"/>
          </w:tcPr>
          <w:p w14:paraId="543D4512">
            <w:pPr>
              <w:pStyle w:val="61"/>
            </w:pPr>
            <w:r>
              <w:rPr>
                <w:rFonts w:hint="eastAsia"/>
              </w:rPr>
              <w:t>0</w:t>
            </w:r>
            <w:r>
              <w:t>.022</w:t>
            </w:r>
          </w:p>
        </w:tc>
        <w:tc>
          <w:tcPr>
            <w:tcW w:w="1041" w:type="pct"/>
            <w:vAlign w:val="center"/>
          </w:tcPr>
          <w:p w14:paraId="6158056A">
            <w:pPr>
              <w:pStyle w:val="61"/>
            </w:pPr>
            <w:r>
              <w:t>&lt;0.002</w:t>
            </w:r>
          </w:p>
        </w:tc>
        <w:tc>
          <w:tcPr>
            <w:tcW w:w="1041" w:type="pct"/>
            <w:vAlign w:val="center"/>
          </w:tcPr>
          <w:p w14:paraId="2CEDD86C">
            <w:pPr>
              <w:pStyle w:val="61"/>
            </w:pPr>
            <w:r>
              <w:rPr>
                <w:rFonts w:hint="eastAsia"/>
              </w:rPr>
              <w:t>1</w:t>
            </w:r>
            <w:r>
              <w:t>4</w:t>
            </w:r>
          </w:p>
        </w:tc>
      </w:tr>
      <w:tr w14:paraId="5BB43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vAlign w:val="center"/>
          </w:tcPr>
          <w:p w14:paraId="2E5170C0">
            <w:pPr>
              <w:pStyle w:val="61"/>
            </w:pPr>
          </w:p>
        </w:tc>
        <w:tc>
          <w:tcPr>
            <w:tcW w:w="876" w:type="pct"/>
            <w:vAlign w:val="center"/>
          </w:tcPr>
          <w:p w14:paraId="492C6675">
            <w:pPr>
              <w:pStyle w:val="61"/>
            </w:pPr>
            <w:r>
              <w:rPr>
                <w:rFonts w:hint="eastAsia"/>
              </w:rPr>
              <w:t>2</w:t>
            </w:r>
            <w:r>
              <w:t>0:00</w:t>
            </w:r>
          </w:p>
        </w:tc>
        <w:tc>
          <w:tcPr>
            <w:tcW w:w="1041" w:type="pct"/>
            <w:vAlign w:val="center"/>
          </w:tcPr>
          <w:p w14:paraId="50B1F8EF">
            <w:pPr>
              <w:pStyle w:val="61"/>
            </w:pPr>
            <w:r>
              <w:rPr>
                <w:rFonts w:hint="eastAsia"/>
              </w:rPr>
              <w:t>0</w:t>
            </w:r>
            <w:r>
              <w:t>.027</w:t>
            </w:r>
          </w:p>
        </w:tc>
        <w:tc>
          <w:tcPr>
            <w:tcW w:w="1041" w:type="pct"/>
            <w:vAlign w:val="center"/>
          </w:tcPr>
          <w:p w14:paraId="5751AD5F">
            <w:pPr>
              <w:pStyle w:val="61"/>
            </w:pPr>
            <w:r>
              <w:t>&lt;0.002</w:t>
            </w:r>
          </w:p>
        </w:tc>
        <w:tc>
          <w:tcPr>
            <w:tcW w:w="1041" w:type="pct"/>
            <w:vAlign w:val="center"/>
          </w:tcPr>
          <w:p w14:paraId="6D8C07A3">
            <w:pPr>
              <w:pStyle w:val="61"/>
            </w:pPr>
            <w:r>
              <w:rPr>
                <w:rFonts w:hint="eastAsia"/>
              </w:rPr>
              <w:t>1</w:t>
            </w:r>
            <w:r>
              <w:t>4</w:t>
            </w:r>
          </w:p>
        </w:tc>
      </w:tr>
      <w:tr w14:paraId="2414B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restart"/>
            <w:vAlign w:val="center"/>
          </w:tcPr>
          <w:p w14:paraId="3B132917">
            <w:pPr>
              <w:pStyle w:val="61"/>
            </w:pPr>
            <w:r>
              <w:rPr>
                <w:rFonts w:hint="eastAsia"/>
              </w:rPr>
              <w:t>1</w:t>
            </w:r>
            <w:r>
              <w:t>1</w:t>
            </w:r>
            <w:r>
              <w:rPr>
                <w:rFonts w:hint="eastAsia"/>
              </w:rPr>
              <w:t>月</w:t>
            </w:r>
            <w:r>
              <w:t>9</w:t>
            </w:r>
            <w:r>
              <w:rPr>
                <w:rFonts w:hint="eastAsia"/>
              </w:rPr>
              <w:t>日</w:t>
            </w:r>
          </w:p>
        </w:tc>
        <w:tc>
          <w:tcPr>
            <w:tcW w:w="876" w:type="pct"/>
            <w:vAlign w:val="center"/>
          </w:tcPr>
          <w:p w14:paraId="78B38A5E">
            <w:pPr>
              <w:pStyle w:val="61"/>
            </w:pPr>
            <w:r>
              <w:rPr>
                <w:rFonts w:hint="eastAsia"/>
              </w:rPr>
              <w:t>8:0</w:t>
            </w:r>
            <w:r>
              <w:t>0</w:t>
            </w:r>
          </w:p>
        </w:tc>
        <w:tc>
          <w:tcPr>
            <w:tcW w:w="1041" w:type="pct"/>
            <w:vAlign w:val="center"/>
          </w:tcPr>
          <w:p w14:paraId="168B8072">
            <w:pPr>
              <w:pStyle w:val="61"/>
            </w:pPr>
            <w:r>
              <w:rPr>
                <w:rFonts w:hint="eastAsia"/>
              </w:rPr>
              <w:t>0</w:t>
            </w:r>
            <w:r>
              <w:t>.010</w:t>
            </w:r>
          </w:p>
        </w:tc>
        <w:tc>
          <w:tcPr>
            <w:tcW w:w="1041" w:type="pct"/>
            <w:vAlign w:val="center"/>
          </w:tcPr>
          <w:p w14:paraId="5F8EEA2C">
            <w:pPr>
              <w:pStyle w:val="61"/>
            </w:pPr>
            <w:r>
              <w:t>&lt;0.002</w:t>
            </w:r>
          </w:p>
        </w:tc>
        <w:tc>
          <w:tcPr>
            <w:tcW w:w="1041" w:type="pct"/>
            <w:vAlign w:val="center"/>
          </w:tcPr>
          <w:p w14:paraId="5AD4820B">
            <w:pPr>
              <w:pStyle w:val="61"/>
            </w:pPr>
            <w:r>
              <w:rPr>
                <w:rFonts w:hint="eastAsia"/>
              </w:rPr>
              <w:t>1</w:t>
            </w:r>
            <w:r>
              <w:t>6</w:t>
            </w:r>
          </w:p>
        </w:tc>
      </w:tr>
      <w:tr w14:paraId="31442A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vAlign w:val="center"/>
          </w:tcPr>
          <w:p w14:paraId="78246ADA">
            <w:pPr>
              <w:pStyle w:val="61"/>
            </w:pPr>
          </w:p>
        </w:tc>
        <w:tc>
          <w:tcPr>
            <w:tcW w:w="876" w:type="pct"/>
            <w:vAlign w:val="center"/>
          </w:tcPr>
          <w:p w14:paraId="2F3FAB4E">
            <w:pPr>
              <w:pStyle w:val="61"/>
            </w:pPr>
            <w:r>
              <w:rPr>
                <w:rFonts w:hint="eastAsia"/>
              </w:rPr>
              <w:t>1</w:t>
            </w:r>
            <w:r>
              <w:t>4:00</w:t>
            </w:r>
          </w:p>
        </w:tc>
        <w:tc>
          <w:tcPr>
            <w:tcW w:w="1041" w:type="pct"/>
            <w:vAlign w:val="center"/>
          </w:tcPr>
          <w:p w14:paraId="550AA429">
            <w:pPr>
              <w:pStyle w:val="61"/>
            </w:pPr>
            <w:r>
              <w:rPr>
                <w:rFonts w:hint="eastAsia"/>
              </w:rPr>
              <w:t>0</w:t>
            </w:r>
            <w:r>
              <w:t>.024</w:t>
            </w:r>
          </w:p>
        </w:tc>
        <w:tc>
          <w:tcPr>
            <w:tcW w:w="1041" w:type="pct"/>
            <w:vAlign w:val="center"/>
          </w:tcPr>
          <w:p w14:paraId="71C87342">
            <w:pPr>
              <w:pStyle w:val="61"/>
            </w:pPr>
            <w:r>
              <w:t>&lt;0.002</w:t>
            </w:r>
          </w:p>
        </w:tc>
        <w:tc>
          <w:tcPr>
            <w:tcW w:w="1041" w:type="pct"/>
            <w:vAlign w:val="center"/>
          </w:tcPr>
          <w:p w14:paraId="0D968155">
            <w:pPr>
              <w:pStyle w:val="61"/>
            </w:pPr>
            <w:r>
              <w:rPr>
                <w:rFonts w:hint="eastAsia"/>
              </w:rPr>
              <w:t>1</w:t>
            </w:r>
            <w:r>
              <w:t>4</w:t>
            </w:r>
          </w:p>
        </w:tc>
      </w:tr>
      <w:tr w14:paraId="565EF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vAlign w:val="center"/>
          </w:tcPr>
          <w:p w14:paraId="481BCF36">
            <w:pPr>
              <w:pStyle w:val="61"/>
            </w:pPr>
          </w:p>
        </w:tc>
        <w:tc>
          <w:tcPr>
            <w:tcW w:w="876" w:type="pct"/>
            <w:vAlign w:val="center"/>
          </w:tcPr>
          <w:p w14:paraId="54769B9A">
            <w:pPr>
              <w:pStyle w:val="61"/>
            </w:pPr>
            <w:r>
              <w:rPr>
                <w:rFonts w:hint="eastAsia"/>
              </w:rPr>
              <w:t>2</w:t>
            </w:r>
            <w:r>
              <w:t>0:00</w:t>
            </w:r>
          </w:p>
        </w:tc>
        <w:tc>
          <w:tcPr>
            <w:tcW w:w="1041" w:type="pct"/>
            <w:vAlign w:val="center"/>
          </w:tcPr>
          <w:p w14:paraId="05E2E15C">
            <w:pPr>
              <w:pStyle w:val="61"/>
            </w:pPr>
            <w:r>
              <w:rPr>
                <w:rFonts w:hint="eastAsia"/>
              </w:rPr>
              <w:t>0</w:t>
            </w:r>
            <w:r>
              <w:t>.024</w:t>
            </w:r>
          </w:p>
        </w:tc>
        <w:tc>
          <w:tcPr>
            <w:tcW w:w="1041" w:type="pct"/>
            <w:vAlign w:val="center"/>
          </w:tcPr>
          <w:p w14:paraId="5741341E">
            <w:pPr>
              <w:pStyle w:val="61"/>
            </w:pPr>
            <w:r>
              <w:t>&lt;0.002</w:t>
            </w:r>
          </w:p>
        </w:tc>
        <w:tc>
          <w:tcPr>
            <w:tcW w:w="1041" w:type="pct"/>
            <w:vAlign w:val="center"/>
          </w:tcPr>
          <w:p w14:paraId="6C06AB38">
            <w:pPr>
              <w:pStyle w:val="61"/>
            </w:pPr>
            <w:r>
              <w:rPr>
                <w:rFonts w:hint="eastAsia"/>
              </w:rPr>
              <w:t>1</w:t>
            </w:r>
            <w:r>
              <w:t>4</w:t>
            </w:r>
          </w:p>
        </w:tc>
      </w:tr>
      <w:tr w14:paraId="39DCB7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6" w:type="pct"/>
            <w:gridSpan w:val="2"/>
            <w:vAlign w:val="center"/>
          </w:tcPr>
          <w:p w14:paraId="13D3F965">
            <w:pPr>
              <w:pStyle w:val="61"/>
            </w:pPr>
            <w:r>
              <w:rPr>
                <w:rFonts w:hint="eastAsia"/>
              </w:rPr>
              <w:t>采样点位</w:t>
            </w:r>
          </w:p>
        </w:tc>
        <w:tc>
          <w:tcPr>
            <w:tcW w:w="3123" w:type="pct"/>
            <w:gridSpan w:val="3"/>
            <w:vAlign w:val="center"/>
          </w:tcPr>
          <w:p w14:paraId="39CBF897">
            <w:pPr>
              <w:pStyle w:val="61"/>
            </w:pPr>
            <w:r>
              <w:rPr>
                <w:rFonts w:hint="eastAsia"/>
              </w:rPr>
              <w:t>厂界北2017（W）-182-</w:t>
            </w:r>
            <w:r>
              <w:t>4</w:t>
            </w:r>
          </w:p>
        </w:tc>
      </w:tr>
      <w:tr w14:paraId="1DB1BD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6" w:type="pct"/>
            <w:gridSpan w:val="2"/>
            <w:vAlign w:val="center"/>
          </w:tcPr>
          <w:p w14:paraId="55C9EE41">
            <w:pPr>
              <w:pStyle w:val="61"/>
            </w:pPr>
            <w:r>
              <w:rPr>
                <w:rFonts w:hint="eastAsia"/>
              </w:rPr>
              <w:t>监测项目</w:t>
            </w:r>
          </w:p>
        </w:tc>
        <w:tc>
          <w:tcPr>
            <w:tcW w:w="1041" w:type="pct"/>
            <w:vAlign w:val="center"/>
          </w:tcPr>
          <w:p w14:paraId="51B84875">
            <w:pPr>
              <w:pStyle w:val="61"/>
            </w:pPr>
            <w:r>
              <w:rPr>
                <w:rFonts w:hint="eastAsia"/>
              </w:rPr>
              <w:t>NH</w:t>
            </w:r>
            <w:r>
              <w:rPr>
                <w:rFonts w:hint="eastAsia"/>
                <w:vertAlign w:val="subscript"/>
              </w:rPr>
              <w:t>3</w:t>
            </w:r>
            <w:r>
              <w:rPr>
                <w:rFonts w:hint="eastAsia"/>
              </w:rPr>
              <w:t>（mg/m</w:t>
            </w:r>
            <w:r>
              <w:rPr>
                <w:rFonts w:hint="eastAsia"/>
                <w:vertAlign w:val="superscript"/>
              </w:rPr>
              <w:t>3</w:t>
            </w:r>
            <w:r>
              <w:rPr>
                <w:rFonts w:hint="eastAsia"/>
              </w:rPr>
              <w:t>）</w:t>
            </w:r>
          </w:p>
        </w:tc>
        <w:tc>
          <w:tcPr>
            <w:tcW w:w="1041" w:type="pct"/>
            <w:vAlign w:val="center"/>
          </w:tcPr>
          <w:p w14:paraId="168FD704">
            <w:pPr>
              <w:pStyle w:val="61"/>
            </w:pPr>
            <w:r>
              <w:rPr>
                <w:rFonts w:hint="eastAsia"/>
              </w:rPr>
              <w:t>H</w:t>
            </w:r>
            <w:r>
              <w:rPr>
                <w:rFonts w:hint="eastAsia"/>
                <w:vertAlign w:val="subscript"/>
              </w:rPr>
              <w:t>2</w:t>
            </w:r>
            <w:r>
              <w:rPr>
                <w:rFonts w:hint="eastAsia"/>
              </w:rPr>
              <w:t>S（mg/m</w:t>
            </w:r>
            <w:r>
              <w:rPr>
                <w:rFonts w:hint="eastAsia"/>
                <w:vertAlign w:val="superscript"/>
              </w:rPr>
              <w:t>3</w:t>
            </w:r>
            <w:r>
              <w:rPr>
                <w:rFonts w:hint="eastAsia"/>
              </w:rPr>
              <w:t>）</w:t>
            </w:r>
          </w:p>
        </w:tc>
        <w:tc>
          <w:tcPr>
            <w:tcW w:w="1041" w:type="pct"/>
            <w:vAlign w:val="center"/>
          </w:tcPr>
          <w:p w14:paraId="40F2E90E">
            <w:pPr>
              <w:pStyle w:val="61"/>
            </w:pPr>
            <w:r>
              <w:rPr>
                <w:rFonts w:hint="eastAsia"/>
              </w:rPr>
              <w:t>恶臭（无量纲）</w:t>
            </w:r>
          </w:p>
        </w:tc>
      </w:tr>
      <w:tr w14:paraId="71474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restart"/>
            <w:vAlign w:val="center"/>
          </w:tcPr>
          <w:p w14:paraId="2C628650">
            <w:pPr>
              <w:pStyle w:val="61"/>
            </w:pPr>
            <w:r>
              <w:rPr>
                <w:rFonts w:hint="eastAsia"/>
              </w:rPr>
              <w:t>1</w:t>
            </w:r>
            <w:r>
              <w:t>1</w:t>
            </w:r>
            <w:r>
              <w:rPr>
                <w:rFonts w:hint="eastAsia"/>
              </w:rPr>
              <w:t>月8日</w:t>
            </w:r>
          </w:p>
        </w:tc>
        <w:tc>
          <w:tcPr>
            <w:tcW w:w="876" w:type="pct"/>
            <w:vAlign w:val="center"/>
          </w:tcPr>
          <w:p w14:paraId="7C3422C7">
            <w:pPr>
              <w:pStyle w:val="61"/>
            </w:pPr>
            <w:r>
              <w:rPr>
                <w:rFonts w:hint="eastAsia"/>
              </w:rPr>
              <w:t>8:0</w:t>
            </w:r>
            <w:r>
              <w:t>0</w:t>
            </w:r>
          </w:p>
        </w:tc>
        <w:tc>
          <w:tcPr>
            <w:tcW w:w="1041" w:type="pct"/>
            <w:vAlign w:val="center"/>
          </w:tcPr>
          <w:p w14:paraId="1BBFBD40">
            <w:pPr>
              <w:pStyle w:val="61"/>
            </w:pPr>
            <w:r>
              <w:rPr>
                <w:rFonts w:hint="eastAsia"/>
              </w:rPr>
              <w:t>0</w:t>
            </w:r>
            <w:r>
              <w:t>.028</w:t>
            </w:r>
          </w:p>
        </w:tc>
        <w:tc>
          <w:tcPr>
            <w:tcW w:w="1041" w:type="pct"/>
            <w:vAlign w:val="center"/>
          </w:tcPr>
          <w:p w14:paraId="475B6BC8">
            <w:pPr>
              <w:pStyle w:val="61"/>
            </w:pPr>
            <w:r>
              <w:t>&lt;0.002</w:t>
            </w:r>
          </w:p>
        </w:tc>
        <w:tc>
          <w:tcPr>
            <w:tcW w:w="1041" w:type="pct"/>
            <w:vAlign w:val="center"/>
          </w:tcPr>
          <w:p w14:paraId="468148B9">
            <w:pPr>
              <w:pStyle w:val="61"/>
            </w:pPr>
            <w:r>
              <w:rPr>
                <w:rFonts w:hint="eastAsia"/>
              </w:rPr>
              <w:t>1</w:t>
            </w:r>
            <w:r>
              <w:t>4</w:t>
            </w:r>
          </w:p>
        </w:tc>
      </w:tr>
      <w:tr w14:paraId="6284E0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vAlign w:val="center"/>
          </w:tcPr>
          <w:p w14:paraId="23A3422F">
            <w:pPr>
              <w:pStyle w:val="61"/>
            </w:pPr>
          </w:p>
        </w:tc>
        <w:tc>
          <w:tcPr>
            <w:tcW w:w="876" w:type="pct"/>
            <w:vAlign w:val="center"/>
          </w:tcPr>
          <w:p w14:paraId="65BB5107">
            <w:pPr>
              <w:pStyle w:val="61"/>
            </w:pPr>
            <w:r>
              <w:rPr>
                <w:rFonts w:hint="eastAsia"/>
              </w:rPr>
              <w:t>1</w:t>
            </w:r>
            <w:r>
              <w:t>4:00</w:t>
            </w:r>
          </w:p>
        </w:tc>
        <w:tc>
          <w:tcPr>
            <w:tcW w:w="1041" w:type="pct"/>
            <w:vAlign w:val="center"/>
          </w:tcPr>
          <w:p w14:paraId="58B4EAEF">
            <w:pPr>
              <w:pStyle w:val="61"/>
            </w:pPr>
            <w:r>
              <w:rPr>
                <w:rFonts w:hint="eastAsia"/>
              </w:rPr>
              <w:t>0</w:t>
            </w:r>
            <w:r>
              <w:t>.032</w:t>
            </w:r>
          </w:p>
        </w:tc>
        <w:tc>
          <w:tcPr>
            <w:tcW w:w="1041" w:type="pct"/>
            <w:vAlign w:val="center"/>
          </w:tcPr>
          <w:p w14:paraId="455FBFC5">
            <w:pPr>
              <w:pStyle w:val="61"/>
            </w:pPr>
            <w:r>
              <w:t>&lt;0.002</w:t>
            </w:r>
          </w:p>
        </w:tc>
        <w:tc>
          <w:tcPr>
            <w:tcW w:w="1041" w:type="pct"/>
            <w:vAlign w:val="center"/>
          </w:tcPr>
          <w:p w14:paraId="0290186E">
            <w:pPr>
              <w:pStyle w:val="61"/>
            </w:pPr>
            <w:r>
              <w:rPr>
                <w:rFonts w:hint="eastAsia"/>
              </w:rPr>
              <w:t>1</w:t>
            </w:r>
            <w:r>
              <w:t>4</w:t>
            </w:r>
          </w:p>
        </w:tc>
      </w:tr>
      <w:tr w14:paraId="0C2130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vAlign w:val="center"/>
          </w:tcPr>
          <w:p w14:paraId="446CFA1E">
            <w:pPr>
              <w:pStyle w:val="61"/>
            </w:pPr>
          </w:p>
        </w:tc>
        <w:tc>
          <w:tcPr>
            <w:tcW w:w="876" w:type="pct"/>
            <w:vAlign w:val="center"/>
          </w:tcPr>
          <w:p w14:paraId="1AC97850">
            <w:pPr>
              <w:pStyle w:val="61"/>
            </w:pPr>
            <w:r>
              <w:rPr>
                <w:rFonts w:hint="eastAsia"/>
              </w:rPr>
              <w:t>2</w:t>
            </w:r>
            <w:r>
              <w:t>0:00</w:t>
            </w:r>
          </w:p>
        </w:tc>
        <w:tc>
          <w:tcPr>
            <w:tcW w:w="1041" w:type="pct"/>
            <w:vAlign w:val="center"/>
          </w:tcPr>
          <w:p w14:paraId="1E8B4804">
            <w:pPr>
              <w:pStyle w:val="61"/>
            </w:pPr>
            <w:r>
              <w:rPr>
                <w:rFonts w:hint="eastAsia"/>
              </w:rPr>
              <w:t>0</w:t>
            </w:r>
            <w:r>
              <w:t>.026</w:t>
            </w:r>
          </w:p>
        </w:tc>
        <w:tc>
          <w:tcPr>
            <w:tcW w:w="1041" w:type="pct"/>
            <w:vAlign w:val="center"/>
          </w:tcPr>
          <w:p w14:paraId="5EE9FCC4">
            <w:pPr>
              <w:pStyle w:val="61"/>
            </w:pPr>
            <w:r>
              <w:t>&lt;0.002</w:t>
            </w:r>
          </w:p>
        </w:tc>
        <w:tc>
          <w:tcPr>
            <w:tcW w:w="1041" w:type="pct"/>
            <w:vAlign w:val="center"/>
          </w:tcPr>
          <w:p w14:paraId="6C653827">
            <w:pPr>
              <w:pStyle w:val="61"/>
            </w:pPr>
            <w:r>
              <w:rPr>
                <w:rFonts w:hint="eastAsia"/>
              </w:rPr>
              <w:t>1</w:t>
            </w:r>
            <w:r>
              <w:t>4</w:t>
            </w:r>
          </w:p>
        </w:tc>
      </w:tr>
      <w:tr w14:paraId="03B87F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restart"/>
            <w:vAlign w:val="center"/>
          </w:tcPr>
          <w:p w14:paraId="0B37D617">
            <w:pPr>
              <w:pStyle w:val="61"/>
            </w:pPr>
            <w:r>
              <w:rPr>
                <w:rFonts w:hint="eastAsia"/>
              </w:rPr>
              <w:t>1</w:t>
            </w:r>
            <w:r>
              <w:t>1</w:t>
            </w:r>
            <w:r>
              <w:rPr>
                <w:rFonts w:hint="eastAsia"/>
              </w:rPr>
              <w:t>月</w:t>
            </w:r>
            <w:r>
              <w:t>9</w:t>
            </w:r>
            <w:r>
              <w:rPr>
                <w:rFonts w:hint="eastAsia"/>
              </w:rPr>
              <w:t>日</w:t>
            </w:r>
          </w:p>
        </w:tc>
        <w:tc>
          <w:tcPr>
            <w:tcW w:w="876" w:type="pct"/>
            <w:vAlign w:val="center"/>
          </w:tcPr>
          <w:p w14:paraId="13439D0D">
            <w:pPr>
              <w:pStyle w:val="61"/>
            </w:pPr>
            <w:r>
              <w:rPr>
                <w:rFonts w:hint="eastAsia"/>
              </w:rPr>
              <w:t>8:0</w:t>
            </w:r>
            <w:r>
              <w:t>0</w:t>
            </w:r>
          </w:p>
        </w:tc>
        <w:tc>
          <w:tcPr>
            <w:tcW w:w="1041" w:type="pct"/>
            <w:vAlign w:val="center"/>
          </w:tcPr>
          <w:p w14:paraId="19BFF8AE">
            <w:pPr>
              <w:pStyle w:val="61"/>
            </w:pPr>
            <w:r>
              <w:rPr>
                <w:rFonts w:hint="eastAsia"/>
              </w:rPr>
              <w:t>0</w:t>
            </w:r>
            <w:r>
              <w:t>.024</w:t>
            </w:r>
          </w:p>
        </w:tc>
        <w:tc>
          <w:tcPr>
            <w:tcW w:w="1041" w:type="pct"/>
            <w:vAlign w:val="center"/>
          </w:tcPr>
          <w:p w14:paraId="6D93A0CD">
            <w:pPr>
              <w:pStyle w:val="61"/>
            </w:pPr>
            <w:r>
              <w:t>&lt;0.002</w:t>
            </w:r>
          </w:p>
        </w:tc>
        <w:tc>
          <w:tcPr>
            <w:tcW w:w="1041" w:type="pct"/>
            <w:vAlign w:val="center"/>
          </w:tcPr>
          <w:p w14:paraId="7F16C1F1">
            <w:pPr>
              <w:pStyle w:val="61"/>
            </w:pPr>
            <w:r>
              <w:rPr>
                <w:rFonts w:hint="eastAsia"/>
              </w:rPr>
              <w:t>1</w:t>
            </w:r>
            <w:r>
              <w:t>4</w:t>
            </w:r>
          </w:p>
        </w:tc>
      </w:tr>
      <w:tr w14:paraId="23F347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vAlign w:val="center"/>
          </w:tcPr>
          <w:p w14:paraId="590F43DF">
            <w:pPr>
              <w:pStyle w:val="61"/>
            </w:pPr>
          </w:p>
        </w:tc>
        <w:tc>
          <w:tcPr>
            <w:tcW w:w="876" w:type="pct"/>
            <w:vAlign w:val="center"/>
          </w:tcPr>
          <w:p w14:paraId="12AC7EF8">
            <w:pPr>
              <w:pStyle w:val="61"/>
            </w:pPr>
            <w:r>
              <w:rPr>
                <w:rFonts w:hint="eastAsia"/>
              </w:rPr>
              <w:t>1</w:t>
            </w:r>
            <w:r>
              <w:t>4:00</w:t>
            </w:r>
          </w:p>
        </w:tc>
        <w:tc>
          <w:tcPr>
            <w:tcW w:w="1041" w:type="pct"/>
            <w:vAlign w:val="center"/>
          </w:tcPr>
          <w:p w14:paraId="0B377927">
            <w:pPr>
              <w:pStyle w:val="61"/>
            </w:pPr>
            <w:r>
              <w:rPr>
                <w:rFonts w:hint="eastAsia"/>
              </w:rPr>
              <w:t>0</w:t>
            </w:r>
            <w:r>
              <w:t>.026</w:t>
            </w:r>
          </w:p>
        </w:tc>
        <w:tc>
          <w:tcPr>
            <w:tcW w:w="1041" w:type="pct"/>
            <w:vAlign w:val="center"/>
          </w:tcPr>
          <w:p w14:paraId="544BBBF5">
            <w:pPr>
              <w:pStyle w:val="61"/>
            </w:pPr>
            <w:r>
              <w:t>&lt;0.002</w:t>
            </w:r>
          </w:p>
        </w:tc>
        <w:tc>
          <w:tcPr>
            <w:tcW w:w="1041" w:type="pct"/>
            <w:vAlign w:val="center"/>
          </w:tcPr>
          <w:p w14:paraId="7E016DA5">
            <w:pPr>
              <w:pStyle w:val="61"/>
            </w:pPr>
            <w:r>
              <w:rPr>
                <w:rFonts w:hint="eastAsia"/>
              </w:rPr>
              <w:t>1</w:t>
            </w:r>
            <w:r>
              <w:t>4</w:t>
            </w:r>
          </w:p>
        </w:tc>
      </w:tr>
      <w:tr w14:paraId="32084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vMerge w:val="continue"/>
            <w:vAlign w:val="center"/>
          </w:tcPr>
          <w:p w14:paraId="6ED9B778">
            <w:pPr>
              <w:pStyle w:val="61"/>
            </w:pPr>
          </w:p>
        </w:tc>
        <w:tc>
          <w:tcPr>
            <w:tcW w:w="876" w:type="pct"/>
            <w:vAlign w:val="center"/>
          </w:tcPr>
          <w:p w14:paraId="204EE248">
            <w:pPr>
              <w:pStyle w:val="61"/>
            </w:pPr>
            <w:r>
              <w:rPr>
                <w:rFonts w:hint="eastAsia"/>
              </w:rPr>
              <w:t>2</w:t>
            </w:r>
            <w:r>
              <w:t>0:00</w:t>
            </w:r>
          </w:p>
        </w:tc>
        <w:tc>
          <w:tcPr>
            <w:tcW w:w="1041" w:type="pct"/>
            <w:vAlign w:val="center"/>
          </w:tcPr>
          <w:p w14:paraId="02AF2B7A">
            <w:pPr>
              <w:pStyle w:val="61"/>
            </w:pPr>
            <w:r>
              <w:rPr>
                <w:rFonts w:hint="eastAsia"/>
              </w:rPr>
              <w:t>0</w:t>
            </w:r>
            <w:r>
              <w:t>.032</w:t>
            </w:r>
          </w:p>
        </w:tc>
        <w:tc>
          <w:tcPr>
            <w:tcW w:w="1041" w:type="pct"/>
            <w:vAlign w:val="center"/>
          </w:tcPr>
          <w:p w14:paraId="4FCE334E">
            <w:pPr>
              <w:pStyle w:val="61"/>
            </w:pPr>
            <w:r>
              <w:t>&lt;0.002</w:t>
            </w:r>
          </w:p>
        </w:tc>
        <w:tc>
          <w:tcPr>
            <w:tcW w:w="1041" w:type="pct"/>
            <w:vAlign w:val="center"/>
          </w:tcPr>
          <w:p w14:paraId="5338965F">
            <w:pPr>
              <w:pStyle w:val="61"/>
            </w:pPr>
            <w:r>
              <w:rPr>
                <w:rFonts w:hint="eastAsia"/>
              </w:rPr>
              <w:t>1</w:t>
            </w:r>
            <w:r>
              <w:t>4</w:t>
            </w:r>
          </w:p>
        </w:tc>
      </w:tr>
    </w:tbl>
    <w:p w14:paraId="13746442">
      <w:pPr>
        <w:pageBreakBefore w:val="0"/>
        <w:widowControl w:val="0"/>
        <w:kinsoku/>
        <w:wordWrap/>
        <w:overflowPunct/>
        <w:topLinePunct w:val="0"/>
        <w:autoSpaceDE/>
        <w:autoSpaceDN/>
        <w:bidi w:val="0"/>
        <w:adjustRightInd/>
        <w:snapToGrid/>
        <w:spacing w:line="480" w:lineRule="exact"/>
        <w:ind w:firstLine="480" w:firstLineChars="200"/>
        <w:textAlignment w:val="auto"/>
      </w:pPr>
      <w:r>
        <w:rPr>
          <w:rFonts w:hint="eastAsia"/>
        </w:rPr>
        <w:t>由表6.2-</w:t>
      </w:r>
      <w:r>
        <w:rPr>
          <w:rFonts w:hint="eastAsia"/>
          <w:lang w:val="en-US" w:eastAsia="zh-CN"/>
        </w:rPr>
        <w:t>3</w:t>
      </w:r>
      <w:r>
        <w:rPr>
          <w:rFonts w:hint="eastAsia"/>
        </w:rPr>
        <w:t>工程实例监测结果表明，验收期间项目厂区周界NH</w:t>
      </w:r>
      <w:r>
        <w:rPr>
          <w:rFonts w:hint="eastAsia"/>
          <w:vertAlign w:val="subscript"/>
        </w:rPr>
        <w:t>3</w:t>
      </w:r>
      <w:r>
        <w:rPr>
          <w:rFonts w:hint="eastAsia"/>
        </w:rPr>
        <w:t>浓度范围为0.004~0.032mg/m</w:t>
      </w:r>
      <w:r>
        <w:rPr>
          <w:rFonts w:hint="eastAsia"/>
          <w:vertAlign w:val="superscript"/>
        </w:rPr>
        <w:t>3</w:t>
      </w:r>
      <w:r>
        <w:rPr>
          <w:rFonts w:hint="eastAsia"/>
        </w:rPr>
        <w:t>，H</w:t>
      </w:r>
      <w:r>
        <w:rPr>
          <w:rFonts w:hint="eastAsia"/>
          <w:vertAlign w:val="subscript"/>
        </w:rPr>
        <w:t>2</w:t>
      </w:r>
      <w:r>
        <w:rPr>
          <w:rFonts w:hint="eastAsia"/>
        </w:rPr>
        <w:t>S范围为＜0.002mg/m</w:t>
      </w:r>
      <w:r>
        <w:rPr>
          <w:rFonts w:hint="eastAsia"/>
          <w:vertAlign w:val="superscript"/>
        </w:rPr>
        <w:t>3</w:t>
      </w:r>
      <w:r>
        <w:rPr>
          <w:rFonts w:hint="eastAsia"/>
        </w:rPr>
        <w:t>，满足《恶臭污染物排放标准》（GB14554-93）相关要求。</w:t>
      </w:r>
    </w:p>
    <w:p w14:paraId="403932C8">
      <w:pPr>
        <w:pageBreakBefore w:val="0"/>
        <w:widowControl w:val="0"/>
        <w:kinsoku/>
        <w:wordWrap/>
        <w:overflowPunct/>
        <w:topLinePunct w:val="0"/>
        <w:autoSpaceDE/>
        <w:autoSpaceDN/>
        <w:bidi w:val="0"/>
        <w:adjustRightInd/>
        <w:snapToGrid/>
        <w:spacing w:line="480" w:lineRule="exact"/>
        <w:ind w:firstLine="480" w:firstLineChars="200"/>
        <w:textAlignment w:val="auto"/>
      </w:pPr>
      <w:r>
        <w:rPr>
          <w:rFonts w:hint="eastAsia"/>
        </w:rPr>
        <w:t>综上所述，工程实例采取的恶臭气体控制措施行之有效，应用于本项目恶臭防控，对实现厂界达标排放，是可行的。</w:t>
      </w:r>
    </w:p>
    <w:p w14:paraId="51DCEB7C">
      <w:pPr>
        <w:pStyle w:val="8"/>
        <w:pageBreakBefore w:val="0"/>
        <w:widowControl w:val="0"/>
        <w:kinsoku/>
        <w:wordWrap/>
        <w:overflowPunct/>
        <w:topLinePunct w:val="0"/>
        <w:autoSpaceDE/>
        <w:autoSpaceDN/>
        <w:bidi w:val="0"/>
        <w:adjustRightInd/>
        <w:snapToGrid/>
        <w:spacing w:line="4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.2.1.</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排气筒设置合理性分析</w:t>
      </w:r>
    </w:p>
    <w:p w14:paraId="646A390E">
      <w:pPr>
        <w:pageBreakBefore w:val="0"/>
        <w:widowControl w:val="0"/>
        <w:kinsoku/>
        <w:wordWrap/>
        <w:overflowPunct/>
        <w:topLinePunct w:val="0"/>
        <w:autoSpaceDE/>
        <w:autoSpaceDN/>
        <w:bidi w:val="0"/>
        <w:adjustRightInd/>
        <w:snapToGrid/>
        <w:spacing w:line="480" w:lineRule="exact"/>
        <w:ind w:firstLine="480"/>
        <w:textAlignment w:val="auto"/>
        <w:rPr>
          <w:rFonts w:ascii="Times New Roman" w:hAnsi="Times New Roman" w:eastAsia="宋体" w:cs="Times New Roman"/>
          <w:color w:val="000000"/>
        </w:rPr>
      </w:pPr>
      <w:r>
        <w:rPr>
          <w:rFonts w:ascii="Times New Roman" w:hAnsi="Times New Roman" w:eastAsia="宋体" w:cs="Times New Roman"/>
          <w:color w:val="000000"/>
        </w:rPr>
        <w:t>本项目共设置</w:t>
      </w:r>
      <w:r>
        <w:rPr>
          <w:rFonts w:hint="eastAsia" w:ascii="Times New Roman" w:hAnsi="Times New Roman" w:eastAsia="宋体" w:cs="Times New Roman"/>
          <w:color w:val="000000"/>
          <w:lang w:val="en-US" w:eastAsia="zh-CN"/>
        </w:rPr>
        <w:t>1</w:t>
      </w:r>
      <w:r>
        <w:rPr>
          <w:rFonts w:ascii="Times New Roman" w:hAnsi="Times New Roman" w:eastAsia="宋体" w:cs="Times New Roman"/>
          <w:color w:val="000000"/>
        </w:rPr>
        <w:t>根排气筒（DA001），详见表6.</w:t>
      </w:r>
      <w:r>
        <w:rPr>
          <w:rFonts w:hint="eastAsia" w:ascii="Times New Roman" w:hAnsi="Times New Roman" w:eastAsia="宋体" w:cs="Times New Roman"/>
          <w:color w:val="000000"/>
        </w:rPr>
        <w:t>2-</w:t>
      </w:r>
      <w:r>
        <w:rPr>
          <w:rFonts w:hint="eastAsia" w:ascii="Times New Roman" w:hAnsi="Times New Roman" w:eastAsia="宋体" w:cs="Times New Roman"/>
          <w:color w:val="000000"/>
          <w:lang w:val="en-US" w:eastAsia="zh-CN"/>
        </w:rPr>
        <w:t>4</w:t>
      </w:r>
      <w:r>
        <w:rPr>
          <w:rFonts w:ascii="Times New Roman" w:hAnsi="Times New Roman" w:eastAsia="宋体" w:cs="Times New Roman"/>
          <w:color w:val="000000"/>
        </w:rPr>
        <w:t>。</w:t>
      </w:r>
    </w:p>
    <w:p w14:paraId="7953AF7A">
      <w:pPr>
        <w:pageBreakBefore w:val="0"/>
        <w:widowControl w:val="0"/>
        <w:kinsoku/>
        <w:wordWrap/>
        <w:overflowPunct/>
        <w:topLinePunct w:val="0"/>
        <w:autoSpaceDE/>
        <w:autoSpaceDN/>
        <w:bidi w:val="0"/>
        <w:adjustRightInd/>
        <w:snapToGrid/>
        <w:spacing w:line="480" w:lineRule="exact"/>
        <w:ind w:firstLine="482"/>
        <w:jc w:val="center"/>
        <w:textAlignment w:val="auto"/>
        <w:rPr>
          <w:rFonts w:ascii="Times New Roman" w:hAnsi="Times New Roman" w:eastAsia="宋体" w:cs="Times New Roman"/>
          <w:b/>
          <w:color w:val="000000"/>
        </w:rPr>
      </w:pPr>
      <w:r>
        <w:rPr>
          <w:rFonts w:ascii="Times New Roman" w:hAnsi="Times New Roman" w:eastAsia="宋体" w:cs="Times New Roman"/>
          <w:b/>
          <w:color w:val="000000"/>
        </w:rPr>
        <w:t>表6.</w:t>
      </w:r>
      <w:r>
        <w:rPr>
          <w:rFonts w:hint="eastAsia" w:ascii="Times New Roman" w:hAnsi="Times New Roman" w:eastAsia="宋体" w:cs="Times New Roman"/>
          <w:b/>
          <w:color w:val="000000"/>
        </w:rPr>
        <w:t>2-</w:t>
      </w:r>
      <w:r>
        <w:rPr>
          <w:rFonts w:hint="eastAsia" w:ascii="Times New Roman" w:hAnsi="Times New Roman" w:eastAsia="宋体" w:cs="Times New Roman"/>
          <w:b/>
          <w:color w:val="000000"/>
          <w:lang w:val="en-US" w:eastAsia="zh-CN"/>
        </w:rPr>
        <w:t>4</w:t>
      </w:r>
      <w:r>
        <w:rPr>
          <w:rFonts w:ascii="Times New Roman" w:hAnsi="Times New Roman" w:eastAsia="宋体" w:cs="Times New Roman"/>
          <w:b/>
          <w:color w:val="000000"/>
        </w:rPr>
        <w:t xml:space="preserve"> 项目</w:t>
      </w:r>
      <w:r>
        <w:rPr>
          <w:rFonts w:hint="eastAsia" w:ascii="Times New Roman" w:hAnsi="Times New Roman" w:eastAsia="宋体" w:cs="Times New Roman"/>
          <w:b/>
          <w:color w:val="000000"/>
        </w:rPr>
        <w:t>厂区</w:t>
      </w:r>
      <w:r>
        <w:rPr>
          <w:rFonts w:ascii="Times New Roman" w:hAnsi="Times New Roman" w:eastAsia="宋体" w:cs="Times New Roman"/>
          <w:b/>
          <w:color w:val="000000"/>
        </w:rPr>
        <w:t>排气筒设置情况一览表</w:t>
      </w:r>
    </w:p>
    <w:tbl>
      <w:tblPr>
        <w:tblStyle w:val="41"/>
        <w:tblW w:w="91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1456"/>
        <w:gridCol w:w="2554"/>
        <w:gridCol w:w="1485"/>
        <w:gridCol w:w="1609"/>
      </w:tblGrid>
      <w:tr w14:paraId="63AD1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5" w:type="dxa"/>
            <w:vMerge w:val="restart"/>
            <w:tcMar>
              <w:left w:w="28" w:type="dxa"/>
              <w:right w:w="28" w:type="dxa"/>
            </w:tcMar>
            <w:vAlign w:val="center"/>
          </w:tcPr>
          <w:p w14:paraId="414A1F92">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排气筒位置</w:t>
            </w:r>
          </w:p>
        </w:tc>
        <w:tc>
          <w:tcPr>
            <w:tcW w:w="1456" w:type="dxa"/>
            <w:vMerge w:val="restart"/>
            <w:vAlign w:val="center"/>
          </w:tcPr>
          <w:p w14:paraId="3182129C">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排气筒编号</w:t>
            </w:r>
          </w:p>
        </w:tc>
        <w:tc>
          <w:tcPr>
            <w:tcW w:w="2554" w:type="dxa"/>
            <w:vMerge w:val="restart"/>
            <w:vAlign w:val="center"/>
          </w:tcPr>
          <w:p w14:paraId="543F2817">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污染物名称</w:t>
            </w:r>
          </w:p>
        </w:tc>
        <w:tc>
          <w:tcPr>
            <w:tcW w:w="3094" w:type="dxa"/>
            <w:gridSpan w:val="2"/>
            <w:vAlign w:val="center"/>
          </w:tcPr>
          <w:p w14:paraId="7173369D">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排放源参数</w:t>
            </w:r>
          </w:p>
        </w:tc>
      </w:tr>
      <w:tr w14:paraId="56CD5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5" w:type="dxa"/>
            <w:vMerge w:val="continue"/>
            <w:tcMar>
              <w:left w:w="28" w:type="dxa"/>
              <w:right w:w="28" w:type="dxa"/>
            </w:tcMar>
            <w:vAlign w:val="center"/>
          </w:tcPr>
          <w:p w14:paraId="6B1B0D8D">
            <w:pPr>
              <w:spacing w:line="300" w:lineRule="exact"/>
              <w:jc w:val="center"/>
              <w:rPr>
                <w:rFonts w:ascii="Times New Roman" w:hAnsi="Times New Roman" w:eastAsia="宋体" w:cs="Times New Roman"/>
                <w:color w:val="000000"/>
                <w:sz w:val="21"/>
                <w:szCs w:val="21"/>
              </w:rPr>
            </w:pPr>
          </w:p>
        </w:tc>
        <w:tc>
          <w:tcPr>
            <w:tcW w:w="1456" w:type="dxa"/>
            <w:vMerge w:val="continue"/>
            <w:vAlign w:val="center"/>
          </w:tcPr>
          <w:p w14:paraId="39FF609B">
            <w:pPr>
              <w:spacing w:line="300" w:lineRule="exact"/>
              <w:jc w:val="center"/>
              <w:rPr>
                <w:rFonts w:ascii="Times New Roman" w:hAnsi="Times New Roman" w:eastAsia="宋体" w:cs="Times New Roman"/>
                <w:color w:val="000000"/>
                <w:sz w:val="21"/>
                <w:szCs w:val="21"/>
              </w:rPr>
            </w:pPr>
          </w:p>
        </w:tc>
        <w:tc>
          <w:tcPr>
            <w:tcW w:w="2554" w:type="dxa"/>
            <w:vMerge w:val="continue"/>
            <w:vAlign w:val="center"/>
          </w:tcPr>
          <w:p w14:paraId="30685701">
            <w:pPr>
              <w:spacing w:line="300" w:lineRule="exact"/>
              <w:jc w:val="center"/>
              <w:rPr>
                <w:rFonts w:ascii="Times New Roman" w:hAnsi="Times New Roman" w:eastAsia="宋体" w:cs="Times New Roman"/>
                <w:color w:val="000000"/>
                <w:sz w:val="21"/>
                <w:szCs w:val="21"/>
              </w:rPr>
            </w:pPr>
          </w:p>
        </w:tc>
        <w:tc>
          <w:tcPr>
            <w:tcW w:w="1485" w:type="dxa"/>
            <w:vAlign w:val="center"/>
          </w:tcPr>
          <w:p w14:paraId="24431C5D">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高度（m）</w:t>
            </w:r>
          </w:p>
        </w:tc>
        <w:tc>
          <w:tcPr>
            <w:tcW w:w="1609" w:type="dxa"/>
            <w:vAlign w:val="center"/>
          </w:tcPr>
          <w:p w14:paraId="2A3AE6F9">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内径（mm）</w:t>
            </w:r>
          </w:p>
        </w:tc>
      </w:tr>
      <w:tr w14:paraId="614B65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5" w:type="dxa"/>
            <w:tcMar>
              <w:left w:w="28" w:type="dxa"/>
              <w:right w:w="28" w:type="dxa"/>
            </w:tcMar>
            <w:vAlign w:val="center"/>
          </w:tcPr>
          <w:p w14:paraId="6AB57B13">
            <w:pPr>
              <w:spacing w:line="300" w:lineRule="exact"/>
              <w:jc w:val="center"/>
              <w:rPr>
                <w:rFonts w:ascii="Times New Roman" w:hAnsi="Times New Roman" w:eastAsia="宋体" w:cs="Times New Roman"/>
                <w:color w:val="000000"/>
                <w:kern w:val="0"/>
                <w:sz w:val="21"/>
                <w:szCs w:val="21"/>
              </w:rPr>
            </w:pPr>
            <w:r>
              <w:rPr>
                <w:rFonts w:hint="eastAsia" w:eastAsia="宋体" w:cs="Times New Roman"/>
                <w:bCs/>
                <w:sz w:val="21"/>
                <w:szCs w:val="21"/>
              </w:rPr>
              <w:t>污水处理站</w:t>
            </w:r>
          </w:p>
        </w:tc>
        <w:tc>
          <w:tcPr>
            <w:tcW w:w="1456" w:type="dxa"/>
            <w:vAlign w:val="center"/>
          </w:tcPr>
          <w:p w14:paraId="05497F21">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DA001</w:t>
            </w:r>
          </w:p>
        </w:tc>
        <w:tc>
          <w:tcPr>
            <w:tcW w:w="2554" w:type="dxa"/>
            <w:vAlign w:val="center"/>
          </w:tcPr>
          <w:p w14:paraId="728FD6B1">
            <w:pPr>
              <w:spacing w:line="320" w:lineRule="exact"/>
              <w:jc w:val="center"/>
              <w:rPr>
                <w:color w:val="000000"/>
                <w:sz w:val="21"/>
                <w:szCs w:val="21"/>
              </w:rPr>
            </w:pPr>
            <w:r>
              <w:rPr>
                <w:color w:val="000000"/>
                <w:kern w:val="0"/>
                <w:sz w:val="21"/>
                <w:szCs w:val="21"/>
              </w:rPr>
              <w:t>NH</w:t>
            </w:r>
            <w:r>
              <w:rPr>
                <w:color w:val="000000"/>
                <w:kern w:val="0"/>
                <w:sz w:val="21"/>
                <w:szCs w:val="21"/>
                <w:vertAlign w:val="subscript"/>
              </w:rPr>
              <w:t>3</w:t>
            </w:r>
            <w:r>
              <w:rPr>
                <w:rFonts w:hAnsi="宋体"/>
                <w:color w:val="000000"/>
                <w:sz w:val="21"/>
                <w:szCs w:val="21"/>
              </w:rPr>
              <w:t>、</w:t>
            </w:r>
            <w:r>
              <w:rPr>
                <w:color w:val="000000"/>
                <w:kern w:val="0"/>
                <w:sz w:val="21"/>
                <w:szCs w:val="21"/>
              </w:rPr>
              <w:t>H</w:t>
            </w:r>
            <w:r>
              <w:rPr>
                <w:color w:val="000000"/>
                <w:kern w:val="0"/>
                <w:sz w:val="21"/>
                <w:szCs w:val="21"/>
                <w:vertAlign w:val="subscript"/>
              </w:rPr>
              <w:t>2</w:t>
            </w:r>
            <w:r>
              <w:rPr>
                <w:color w:val="000000"/>
                <w:kern w:val="0"/>
                <w:sz w:val="21"/>
                <w:szCs w:val="21"/>
              </w:rPr>
              <w:t>S</w:t>
            </w:r>
            <w:r>
              <w:rPr>
                <w:rFonts w:hint="eastAsia"/>
                <w:color w:val="000000"/>
                <w:kern w:val="0"/>
                <w:sz w:val="21"/>
                <w:szCs w:val="21"/>
              </w:rPr>
              <w:t>、臭气浓度</w:t>
            </w:r>
          </w:p>
        </w:tc>
        <w:tc>
          <w:tcPr>
            <w:tcW w:w="1485" w:type="dxa"/>
            <w:vAlign w:val="center"/>
          </w:tcPr>
          <w:p w14:paraId="2968490B">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w:t>
            </w:r>
          </w:p>
        </w:tc>
        <w:tc>
          <w:tcPr>
            <w:tcW w:w="1609" w:type="dxa"/>
            <w:vAlign w:val="center"/>
          </w:tcPr>
          <w:p w14:paraId="3DFF93FE">
            <w:pPr>
              <w:spacing w:line="300" w:lineRule="exact"/>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0.4</w:t>
            </w:r>
          </w:p>
        </w:tc>
      </w:tr>
    </w:tbl>
    <w:p w14:paraId="584FE269">
      <w:pPr>
        <w:spacing w:line="480" w:lineRule="exact"/>
        <w:ind w:firstLine="480"/>
        <w:rPr>
          <w:rFonts w:ascii="Times New Roman" w:hAnsi="Times New Roman" w:eastAsia="宋体" w:cs="Times New Roman"/>
          <w:color w:val="000000"/>
        </w:rPr>
      </w:pPr>
      <w:r>
        <w:rPr>
          <w:rFonts w:ascii="Times New Roman" w:hAnsi="Times New Roman" w:eastAsia="宋体" w:cs="Times New Roman"/>
          <w:color w:val="000000"/>
        </w:rPr>
        <w:t>根据第5章5.2节大气预测分析，各污染因子在相应的预测模式下，厂界均能达标，对周围大气环境质量影响不大。项目只要确保环保设施正常运行，尽量减少或避免非正常工况的发生，就能保障不会对周围环境产生大的影响。</w:t>
      </w:r>
    </w:p>
    <w:p w14:paraId="088E4F01">
      <w:pPr>
        <w:spacing w:line="480" w:lineRule="exact"/>
        <w:ind w:firstLine="480"/>
        <w:rPr>
          <w:rFonts w:ascii="Times New Roman" w:hAnsi="Times New Roman" w:eastAsia="宋体" w:cs="Times New Roman"/>
          <w:color w:val="000000"/>
        </w:rPr>
      </w:pPr>
      <w:r>
        <w:rPr>
          <w:rFonts w:ascii="Times New Roman" w:hAnsi="Times New Roman" w:eastAsia="宋体" w:cs="Times New Roman"/>
          <w:color w:val="000000"/>
        </w:rPr>
        <w:t>本项目位于</w:t>
      </w:r>
      <w:r>
        <w:rPr>
          <w:rFonts w:hint="eastAsia"/>
        </w:rPr>
        <w:t>宿迁市泗阳县穿城镇向阳村四组</w:t>
      </w:r>
      <w:r>
        <w:rPr>
          <w:rFonts w:ascii="Times New Roman" w:hAnsi="Times New Roman" w:eastAsia="宋体" w:cs="Times New Roman"/>
          <w:color w:val="000000"/>
        </w:rPr>
        <w:t>，根据《大气污染物综合排放标准》（GB16297-1996）中规定，所有排气筒高度应不低于15m，排气筒周围半径200m范围内有建筑时，排气筒高度还应高出最高建筑物5m以上。本项目</w:t>
      </w:r>
      <w:r>
        <w:rPr>
          <w:rFonts w:hint="eastAsia" w:ascii="Times New Roman" w:hAnsi="Times New Roman" w:eastAsia="宋体" w:cs="Times New Roman"/>
          <w:color w:val="000000"/>
        </w:rPr>
        <w:t>厂区</w:t>
      </w:r>
      <w:r>
        <w:rPr>
          <w:rFonts w:ascii="Times New Roman" w:hAnsi="Times New Roman" w:eastAsia="宋体" w:cs="Times New Roman"/>
          <w:color w:val="000000"/>
        </w:rPr>
        <w:t>周围200米半径范围的建筑最高为</w:t>
      </w:r>
      <w:r>
        <w:rPr>
          <w:rFonts w:hint="eastAsia" w:ascii="Times New Roman" w:hAnsi="Times New Roman" w:eastAsia="宋体" w:cs="Times New Roman"/>
          <w:color w:val="000000"/>
        </w:rPr>
        <w:t>6</w:t>
      </w:r>
      <w:r>
        <w:rPr>
          <w:rFonts w:ascii="Times New Roman" w:hAnsi="Times New Roman" w:eastAsia="宋体" w:cs="Times New Roman"/>
          <w:color w:val="000000"/>
        </w:rPr>
        <w:t>m，对照以上要求，本项目排气筒高度设置为</w:t>
      </w:r>
      <w:r>
        <w:rPr>
          <w:rFonts w:hint="eastAsia" w:ascii="Times New Roman" w:hAnsi="Times New Roman" w:eastAsia="宋体" w:cs="Times New Roman"/>
          <w:color w:val="000000"/>
        </w:rPr>
        <w:t>1</w:t>
      </w:r>
      <w:r>
        <w:rPr>
          <w:rFonts w:ascii="Times New Roman" w:hAnsi="Times New Roman" w:eastAsia="宋体" w:cs="Times New Roman"/>
          <w:color w:val="000000"/>
        </w:rPr>
        <w:t>5m，满足相应排气筒高度要求。项目排气筒距离较远，不需考虑等效排气筒情况。综上，本项目排气筒设置合理。</w:t>
      </w:r>
    </w:p>
    <w:p w14:paraId="59AE771A">
      <w:pPr>
        <w:pStyle w:val="8"/>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.2.1.</w:t>
      </w:r>
      <w:r>
        <w:rPr>
          <w:rFonts w:hint="eastAsia"/>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废气污染防治措施经济可行性</w:t>
      </w:r>
    </w:p>
    <w:p w14:paraId="65C9D7B6">
      <w:pPr>
        <w:spacing w:line="480" w:lineRule="exact"/>
        <w:ind w:firstLine="480"/>
        <w:rPr>
          <w:rFonts w:ascii="Times New Roman" w:hAnsi="Times New Roman" w:eastAsia="宋体" w:cs="Times New Roman"/>
          <w:color w:val="000000"/>
        </w:rPr>
      </w:pPr>
      <w:r>
        <w:rPr>
          <w:rFonts w:ascii="Times New Roman" w:hAnsi="Times New Roman" w:eastAsia="宋体" w:cs="Times New Roman"/>
          <w:color w:val="000000"/>
        </w:rPr>
        <w:t>本项目废气污染</w:t>
      </w:r>
      <w:r>
        <w:rPr>
          <w:rFonts w:ascii="Times New Roman" w:hAnsi="Times New Roman" w:eastAsia="宋体" w:cs="Times New Roman"/>
          <w:color w:val="000000" w:themeColor="text1"/>
          <w14:textFill>
            <w14:solidFill>
              <w14:schemeClr w14:val="tx1"/>
            </w14:solidFill>
          </w14:textFill>
        </w:rPr>
        <w:t>防治措施见表6.</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-1，主要的投资为环保设施的一次性投资，约为35万元，</w:t>
      </w:r>
      <w:r>
        <w:rPr>
          <w:rFonts w:hint="eastAsia" w:ascii="Times New Roman" w:hAnsi="Times New Roman" w:eastAsia="宋体" w:cs="Times New Roman"/>
          <w:color w:val="000000" w:themeColor="text1"/>
          <w14:textFill>
            <w14:solidFill>
              <w14:schemeClr w14:val="tx1"/>
            </w14:solidFill>
          </w14:textFill>
        </w:rPr>
        <w:t>本</w:t>
      </w:r>
      <w:r>
        <w:rPr>
          <w:rFonts w:ascii="Times New Roman" w:hAnsi="Times New Roman" w:eastAsia="宋体" w:cs="Times New Roman"/>
          <w:color w:val="000000" w:themeColor="text1"/>
          <w14:textFill>
            <w14:solidFill>
              <w14:schemeClr w14:val="tx1"/>
            </w14:solidFill>
          </w14:textFill>
        </w:rPr>
        <w:t>项目总投资</w:t>
      </w:r>
      <w:r>
        <w:rPr>
          <w:rFonts w:hint="eastAsia" w:ascii="Times New Roman" w:hAnsi="Times New Roman" w:eastAsia="宋体" w:cs="Times New Roman"/>
          <w:color w:val="000000" w:themeColor="text1"/>
          <w14:textFill>
            <w14:solidFill>
              <w14:schemeClr w14:val="tx1"/>
            </w14:solidFill>
          </w14:textFill>
        </w:rPr>
        <w:t>15</w:t>
      </w:r>
      <w:r>
        <w:rPr>
          <w:rFonts w:ascii="Times New Roman" w:hAnsi="Times New Roman" w:eastAsia="宋体" w:cs="Times New Roman"/>
          <w:color w:val="000000" w:themeColor="text1"/>
          <w14:textFill>
            <w14:solidFill>
              <w14:schemeClr w14:val="tx1"/>
            </w14:solidFill>
          </w14:textFill>
        </w:rPr>
        <w:t>00万元，占项目总投资的</w:t>
      </w:r>
      <w:r>
        <w:rPr>
          <w:rFonts w:hint="eastAsia" w:ascii="Times New Roman" w:hAnsi="Times New Roman" w:eastAsia="宋体" w:cs="Times New Roman"/>
          <w:color w:val="000000" w:themeColor="text1"/>
          <w14:textFill>
            <w14:solidFill>
              <w14:schemeClr w14:val="tx1"/>
            </w14:solidFill>
          </w14:textFill>
        </w:rPr>
        <w:t>2.33</w:t>
      </w:r>
      <w:r>
        <w:rPr>
          <w:rFonts w:ascii="Times New Roman" w:hAnsi="Times New Roman" w:eastAsia="宋体" w:cs="Times New Roman"/>
          <w:color w:val="000000" w:themeColor="text1"/>
          <w14:textFill>
            <w14:solidFill>
              <w14:schemeClr w14:val="tx1"/>
            </w14:solidFill>
          </w14:textFill>
        </w:rPr>
        <w:t>%，处于</w:t>
      </w:r>
      <w:r>
        <w:rPr>
          <w:rFonts w:ascii="Times New Roman" w:hAnsi="Times New Roman" w:eastAsia="宋体" w:cs="Times New Roman"/>
          <w:color w:val="000000"/>
        </w:rPr>
        <w:t>企业可承受范围内。因此，从经济角度讲，本项目废气污染防治措施在经济上是可行的。</w:t>
      </w:r>
    </w:p>
    <w:p w14:paraId="184A3422">
      <w:pPr>
        <w:pStyle w:val="7"/>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废水污染防治措施评述</w:t>
      </w:r>
    </w:p>
    <w:p w14:paraId="6D06B1EC">
      <w:pPr>
        <w:pStyle w:val="8"/>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.2.2.1 </w:t>
      </w:r>
      <w:r>
        <w:rPr>
          <w:rFonts w:hint="eastAsia"/>
          <w:color w:val="000000" w:themeColor="text1"/>
          <w14:textFill>
            <w14:solidFill>
              <w14:schemeClr w14:val="tx1"/>
            </w14:solidFill>
          </w14:textFill>
        </w:rPr>
        <w:t>废水</w:t>
      </w:r>
      <w:r>
        <w:rPr>
          <w:rFonts w:hint="eastAsia"/>
          <w:color w:val="000000" w:themeColor="text1"/>
          <w:lang w:val="en-US" w:eastAsia="zh-CN"/>
          <w14:textFill>
            <w14:solidFill>
              <w14:schemeClr w14:val="tx1"/>
            </w14:solidFill>
          </w14:textFill>
        </w:rPr>
        <w:t>收集、</w:t>
      </w:r>
      <w:r>
        <w:rPr>
          <w:rFonts w:hint="eastAsia"/>
          <w:color w:val="000000" w:themeColor="text1"/>
          <w14:textFill>
            <w14:solidFill>
              <w14:schemeClr w14:val="tx1"/>
            </w14:solidFill>
          </w14:textFill>
        </w:rPr>
        <w:t>处理措施</w:t>
      </w:r>
    </w:p>
    <w:p w14:paraId="350BBE47">
      <w:pPr>
        <w:spacing w:line="480" w:lineRule="exact"/>
        <w:ind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（1）废水产生</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收集</w:t>
      </w:r>
      <w:r>
        <w:rPr>
          <w:rFonts w:ascii="Times New Roman" w:hAnsi="Times New Roman" w:eastAsia="宋体" w:cs="Times New Roman"/>
          <w:color w:val="000000" w:themeColor="text1"/>
          <w14:textFill>
            <w14:solidFill>
              <w14:schemeClr w14:val="tx1"/>
            </w14:solidFill>
          </w14:textFill>
        </w:rPr>
        <w:t>及排放情况</w:t>
      </w:r>
    </w:p>
    <w:p w14:paraId="12CF7AF1">
      <w:pPr>
        <w:spacing w:line="480" w:lineRule="exact"/>
        <w:ind w:firstLine="480" w:firstLineChars="200"/>
        <w:rPr>
          <w:rFonts w:ascii="Times New Roman" w:hAnsi="Times New Roman" w:eastAsia="宋体" w:cs="Times New Roman"/>
        </w:rPr>
      </w:pPr>
      <w:r>
        <w:rPr>
          <w:rFonts w:ascii="Times New Roman" w:hAnsi="Times New Roman" w:eastAsia="宋体" w:cs="Times New Roman"/>
        </w:rPr>
        <w:t>本项目按照《畜禽养殖业污染物排放标准》（GB18596-2001）的规定，养殖场的排水系统实行雨污分流（雨水走明渠，污水经管道自重流入污水收集池，鸡舍全部采用房舍式设计，不设露天养殖），项目年废水产生量为1361.4m</w:t>
      </w:r>
      <w:r>
        <w:rPr>
          <w:rFonts w:ascii="Times New Roman" w:hAnsi="Times New Roman" w:eastAsia="宋体" w:cs="Times New Roman"/>
          <w:vertAlign w:val="superscript"/>
        </w:rPr>
        <w:t>3</w:t>
      </w:r>
      <w:r>
        <w:rPr>
          <w:rFonts w:ascii="Times New Roman" w:hAnsi="Times New Roman" w:eastAsia="宋体" w:cs="Times New Roman"/>
          <w:color w:val="000000" w:themeColor="text1"/>
          <w14:textFill>
            <w14:solidFill>
              <w14:schemeClr w14:val="tx1"/>
            </w14:solidFill>
          </w14:textFill>
        </w:rPr>
        <w:t>（其中生活污水240m</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/a、鸡舍冲洗废水730.4m</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/a、废气喷淋废水24m</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/a、初期雨水367m</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ascii="Times New Roman" w:hAnsi="Times New Roman" w:eastAsia="宋体" w:cs="Times New Roman"/>
        </w:rPr>
        <w:t>，本项目废水处理采用“格栅+沉砂集水+水解酸化+厌氧反应+好氧处理+消毒”工艺处理达标后</w:t>
      </w:r>
      <w:r>
        <w:rPr>
          <w:rFonts w:ascii="Times New Roman" w:hAnsi="Times New Roman" w:eastAsia="宋体" w:cs="Times New Roman"/>
          <w:color w:val="000000"/>
          <w:szCs w:val="24"/>
        </w:rPr>
        <w:t>通</w:t>
      </w:r>
      <w:r>
        <w:rPr>
          <w:rFonts w:hint="eastAsia" w:ascii="Times New Roman" w:hAnsi="Times New Roman" w:eastAsia="宋体" w:cs="Times New Roman"/>
          <w:color w:val="000000"/>
          <w:szCs w:val="24"/>
          <w:lang w:eastAsia="zh-CN"/>
        </w:rPr>
        <w:t>过管道输送至项目</w:t>
      </w:r>
      <w:r>
        <w:rPr>
          <w:rFonts w:hint="eastAsia" w:ascii="Times New Roman" w:hAnsi="Times New Roman" w:eastAsia="宋体" w:cs="Times New Roman"/>
          <w:color w:val="000000"/>
          <w:szCs w:val="24"/>
          <w:lang w:val="en-US" w:eastAsia="zh-CN"/>
        </w:rPr>
        <w:t>周边</w:t>
      </w:r>
      <w:r>
        <w:rPr>
          <w:rFonts w:hint="eastAsia" w:ascii="Times New Roman" w:hAnsi="Times New Roman" w:eastAsia="宋体" w:cs="Times New Roman"/>
          <w:color w:val="000000"/>
          <w:szCs w:val="24"/>
          <w:lang w:eastAsia="zh-CN"/>
        </w:rPr>
        <w:t>配套农田</w:t>
      </w:r>
      <w:r>
        <w:rPr>
          <w:rFonts w:ascii="Times New Roman" w:hAnsi="Times New Roman" w:eastAsia="宋体" w:cs="Times New Roman"/>
          <w:color w:val="000000"/>
          <w:szCs w:val="24"/>
        </w:rPr>
        <w:t>作为灌溉用水</w:t>
      </w:r>
      <w:r>
        <w:rPr>
          <w:rFonts w:ascii="Times New Roman" w:hAnsi="Times New Roman" w:eastAsia="宋体" w:cs="Times New Roman"/>
        </w:rPr>
        <w:t>，废水不排放。</w:t>
      </w:r>
    </w:p>
    <w:p w14:paraId="4F5067DA">
      <w:pPr>
        <w:spacing w:line="480" w:lineRule="exact"/>
        <w:ind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（2）废水处理方案</w:t>
      </w:r>
    </w:p>
    <w:p w14:paraId="080629CA">
      <w:pPr>
        <w:widowControl/>
        <w:spacing w:line="440" w:lineRule="exact"/>
        <w:ind w:firstLine="480" w:firstLineChars="200"/>
        <w:jc w:val="left"/>
        <w:rPr>
          <w:rFonts w:ascii="Times New Roman" w:hAnsi="Times New Roman" w:eastAsia="宋体" w:cs="Times New Roman"/>
          <w:szCs w:val="24"/>
        </w:rPr>
      </w:pPr>
      <w:r>
        <w:rPr>
          <w:rFonts w:ascii="Times New Roman" w:hAnsi="Times New Roman" w:eastAsia="宋体" w:cs="Times New Roman"/>
          <w:szCs w:val="24"/>
        </w:rPr>
        <w:t>根据《畜禽养殖业污染治理工程技术规范》（HJ497-2009），选用粪污处理工艺时，应根据养殖场的养殖种类、养殖规模、粪污收集方式、当地的自然地理环境条件以及排水去向等因素确定工艺路线及处理目标，并应充分考虑畜禽养殖废水的特殊性，在实现综合利用或达标排放的情况下，优先选择低运行成本的处理工艺；应慎重选用物化处理工艺。该规范指出：养殖规模在存栏（以猪计）2000头及以下的应尽可能采用模式Ⅰ（格栅+沉砂集水+厌氧反应）或模式Ⅱ处理工艺（格栅+沉砂集水+固液分离+水解酸化+厌氧反应）；存栏（以猪计）10000头及以上的，宜采用模式Ⅲ处理工艺（格栅+沉砂集水+固液分离+水解酸化+厌氧反应+好氧处理+自然处理）；同时参照《排污许可证申请与核发技术规范 畜禽养殖行业》（HJ1029-2019）中大型养殖规模综合废水直排推荐的处理方法为：干清粪+固液分离+厌氧+好氧（SBR、接触氧化、MBR）+自然处理（人工湿地、氧化塘）</w:t>
      </w:r>
      <w:r>
        <w:rPr>
          <w:rFonts w:hint="eastAsia" w:ascii="Times New Roman" w:hAnsi="Times New Roman" w:eastAsia="宋体" w:cs="Times New Roman"/>
          <w:szCs w:val="24"/>
        </w:rPr>
        <w:t>。</w:t>
      </w:r>
    </w:p>
    <w:p w14:paraId="4515D516">
      <w:pPr>
        <w:pStyle w:val="49"/>
        <w:snapToGrid/>
        <w:spacing w:line="440" w:lineRule="exact"/>
        <w:ind w:firstLine="480"/>
        <w:rPr>
          <w:rFonts w:eastAsia="宋体" w:cs="Times New Roman"/>
        </w:rPr>
      </w:pPr>
      <w:r>
        <w:rPr>
          <w:rFonts w:eastAsia="宋体" w:cs="Times New Roman"/>
        </w:rPr>
        <w:t>结合</w:t>
      </w:r>
      <w:r>
        <w:rPr>
          <w:rFonts w:eastAsia="宋体" w:cs="Times New Roman"/>
          <w:szCs w:val="24"/>
        </w:rPr>
        <w:t>《畜禽养殖业污染治理工程技术规范》（HJ497-2009）及</w:t>
      </w:r>
      <w:r>
        <w:rPr>
          <w:rFonts w:hint="eastAsia" w:eastAsia="宋体" w:cs="Times New Roman"/>
          <w:szCs w:val="24"/>
        </w:rPr>
        <w:t>《</w:t>
      </w:r>
      <w:r>
        <w:rPr>
          <w:rFonts w:eastAsia="宋体" w:cs="Times New Roman"/>
          <w:szCs w:val="24"/>
        </w:rPr>
        <w:t>排污许可证申请与核发技术规范 畜禽养殖行业》（HJ1029-2019）要求，本项目采用“格栅+沉砂集水+水解酸化+厌氧反应+好氧处理+消毒”</w:t>
      </w:r>
      <w:r>
        <w:rPr>
          <w:rFonts w:hint="eastAsia" w:eastAsia="宋体" w:cs="Times New Roman"/>
          <w:szCs w:val="24"/>
        </w:rPr>
        <w:t>工艺</w:t>
      </w:r>
      <w:r>
        <w:rPr>
          <w:rFonts w:eastAsia="宋体" w:cs="Times New Roman"/>
          <w:szCs w:val="24"/>
        </w:rPr>
        <w:t>处理</w:t>
      </w:r>
      <w:r>
        <w:rPr>
          <w:rFonts w:hint="eastAsia" w:eastAsia="宋体" w:cs="Times New Roman"/>
          <w:szCs w:val="24"/>
        </w:rPr>
        <w:t>。</w:t>
      </w:r>
    </w:p>
    <w:p w14:paraId="158A172B">
      <w:pPr>
        <w:pStyle w:val="49"/>
        <w:snapToGrid/>
        <w:spacing w:line="440" w:lineRule="exact"/>
        <w:ind w:firstLine="480"/>
        <w:rPr>
          <w:rFonts w:eastAsia="宋体" w:cs="Times New Roman"/>
        </w:rPr>
      </w:pPr>
      <w:r>
        <w:rPr>
          <w:rFonts w:eastAsia="宋体" w:cs="Times New Roman"/>
        </w:rPr>
        <w:t>本项目污水处理站主要包含一座80</w:t>
      </w:r>
      <w:r>
        <w:rPr>
          <w:rFonts w:eastAsia="宋体" w:cs="Times New Roman"/>
          <w:bCs/>
        </w:rPr>
        <w:t>m</w:t>
      </w:r>
      <w:r>
        <w:rPr>
          <w:rFonts w:eastAsia="宋体" w:cs="Times New Roman"/>
          <w:bCs/>
          <w:vertAlign w:val="superscript"/>
        </w:rPr>
        <w:t>3</w:t>
      </w:r>
      <w:r>
        <w:rPr>
          <w:rFonts w:eastAsia="宋体" w:cs="Times New Roman"/>
        </w:rPr>
        <w:t>的集水沉砂池、1座100</w:t>
      </w:r>
      <w:r>
        <w:rPr>
          <w:rFonts w:eastAsia="宋体" w:cs="Times New Roman"/>
          <w:bCs/>
        </w:rPr>
        <w:t>m</w:t>
      </w:r>
      <w:r>
        <w:rPr>
          <w:rFonts w:eastAsia="宋体" w:cs="Times New Roman"/>
          <w:bCs/>
          <w:vertAlign w:val="superscript"/>
        </w:rPr>
        <w:t>3</w:t>
      </w:r>
      <w:r>
        <w:rPr>
          <w:rFonts w:eastAsia="宋体" w:cs="Times New Roman"/>
        </w:rPr>
        <w:t>的水解酸化池、1座100</w:t>
      </w:r>
      <w:r>
        <w:rPr>
          <w:rFonts w:eastAsia="宋体" w:cs="Times New Roman"/>
          <w:bCs/>
        </w:rPr>
        <w:t>m</w:t>
      </w:r>
      <w:r>
        <w:rPr>
          <w:rFonts w:eastAsia="宋体" w:cs="Times New Roman"/>
          <w:bCs/>
          <w:vertAlign w:val="superscript"/>
        </w:rPr>
        <w:t>3</w:t>
      </w:r>
      <w:r>
        <w:rPr>
          <w:rFonts w:eastAsia="宋体" w:cs="Times New Roman"/>
        </w:rPr>
        <w:t>的厌氧反应池、1座100</w:t>
      </w:r>
      <w:r>
        <w:rPr>
          <w:rFonts w:eastAsia="宋体" w:cs="Times New Roman"/>
          <w:bCs/>
        </w:rPr>
        <w:t>m</w:t>
      </w:r>
      <w:r>
        <w:rPr>
          <w:rFonts w:eastAsia="宋体" w:cs="Times New Roman"/>
          <w:bCs/>
          <w:vertAlign w:val="superscript"/>
        </w:rPr>
        <w:t>3</w:t>
      </w:r>
      <w:r>
        <w:rPr>
          <w:rFonts w:eastAsia="宋体" w:cs="Times New Roman"/>
        </w:rPr>
        <w:t>的好氧池、一座20</w:t>
      </w:r>
      <w:r>
        <w:rPr>
          <w:rFonts w:eastAsia="宋体" w:cs="Times New Roman"/>
          <w:bCs/>
        </w:rPr>
        <w:t>m</w:t>
      </w:r>
      <w:r>
        <w:rPr>
          <w:rFonts w:eastAsia="宋体" w:cs="Times New Roman"/>
          <w:bCs/>
          <w:vertAlign w:val="superscript"/>
        </w:rPr>
        <w:t>3</w:t>
      </w:r>
      <w:r>
        <w:rPr>
          <w:rFonts w:eastAsia="宋体" w:cs="Times New Roman"/>
        </w:rPr>
        <w:t>的消毒池和一座</w:t>
      </w:r>
      <w:r>
        <w:rPr>
          <w:rFonts w:hint="eastAsia" w:eastAsia="宋体" w:cs="Times New Roman"/>
        </w:rPr>
        <w:t>75</w:t>
      </w:r>
      <w:r>
        <w:rPr>
          <w:rFonts w:eastAsia="宋体" w:cs="Times New Roman"/>
        </w:rPr>
        <w:t>0</w:t>
      </w:r>
      <w:r>
        <w:rPr>
          <w:rFonts w:eastAsia="宋体" w:cs="Times New Roman"/>
          <w:bCs/>
        </w:rPr>
        <w:t>m</w:t>
      </w:r>
      <w:r>
        <w:rPr>
          <w:rFonts w:eastAsia="宋体" w:cs="Times New Roman"/>
          <w:bCs/>
          <w:vertAlign w:val="superscript"/>
        </w:rPr>
        <w:t>3</w:t>
      </w:r>
      <w:r>
        <w:rPr>
          <w:rFonts w:eastAsia="宋体" w:cs="Times New Roman"/>
          <w:bCs/>
        </w:rPr>
        <w:t>尾水收集池，</w:t>
      </w:r>
      <w:r>
        <w:rPr>
          <w:rFonts w:eastAsia="宋体" w:cs="Times New Roman"/>
        </w:rPr>
        <w:t>污水处理站工艺流程图见</w:t>
      </w:r>
      <w:r>
        <w:rPr>
          <w:rFonts w:eastAsia="宋体" w:cs="Times New Roman"/>
          <w:b/>
          <w:bCs/>
          <w:color w:val="000000" w:themeColor="text1"/>
          <w14:textFill>
            <w14:solidFill>
              <w14:schemeClr w14:val="tx1"/>
            </w14:solidFill>
          </w14:textFill>
        </w:rPr>
        <w:t>图6.</w:t>
      </w:r>
      <w:r>
        <w:rPr>
          <w:rFonts w:hint="eastAsia" w:eastAsia="宋体" w:cs="Times New Roman"/>
          <w:b/>
          <w:bCs/>
          <w:color w:val="000000" w:themeColor="text1"/>
          <w14:textFill>
            <w14:solidFill>
              <w14:schemeClr w14:val="tx1"/>
            </w14:solidFill>
          </w14:textFill>
        </w:rPr>
        <w:t>2-</w:t>
      </w:r>
      <w:r>
        <w:rPr>
          <w:rFonts w:hint="eastAsia" w:eastAsia="宋体" w:cs="Times New Roman"/>
          <w:b/>
          <w:bCs/>
          <w:color w:val="000000" w:themeColor="text1"/>
          <w:lang w:val="en-US" w:eastAsia="zh-CN"/>
          <w14:textFill>
            <w14:solidFill>
              <w14:schemeClr w14:val="tx1"/>
            </w14:solidFill>
          </w14:textFill>
        </w:rPr>
        <w:t>3</w:t>
      </w:r>
      <w:r>
        <w:rPr>
          <w:rFonts w:eastAsia="宋体" w:cs="Times New Roman"/>
          <w:color w:val="000000" w:themeColor="text1"/>
          <w14:textFill>
            <w14:solidFill>
              <w14:schemeClr w14:val="tx1"/>
            </w14:solidFill>
          </w14:textFill>
        </w:rPr>
        <w:t>。</w:t>
      </w:r>
    </w:p>
    <w:p w14:paraId="470177DA">
      <w:pPr>
        <w:spacing w:line="240" w:lineRule="auto"/>
        <w:jc w:val="center"/>
      </w:pPr>
      <w:r>
        <w:drawing>
          <wp:inline distT="0" distB="0" distL="114300" distR="114300">
            <wp:extent cx="3252470" cy="3656965"/>
            <wp:effectExtent l="0" t="0" r="5080" b="635"/>
            <wp:docPr id="2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9"/>
                    <pic:cNvPicPr>
                      <a:picLocks noChangeAspect="1"/>
                    </pic:cNvPicPr>
                  </pic:nvPicPr>
                  <pic:blipFill>
                    <a:blip r:embed="rId85"/>
                    <a:stretch>
                      <a:fillRect/>
                    </a:stretch>
                  </pic:blipFill>
                  <pic:spPr>
                    <a:xfrm>
                      <a:off x="0" y="0"/>
                      <a:ext cx="3252470" cy="3656965"/>
                    </a:xfrm>
                    <a:prstGeom prst="rect">
                      <a:avLst/>
                    </a:prstGeom>
                    <a:noFill/>
                    <a:ln>
                      <a:noFill/>
                    </a:ln>
                  </pic:spPr>
                </pic:pic>
              </a:graphicData>
            </a:graphic>
          </wp:inline>
        </w:drawing>
      </w:r>
    </w:p>
    <w:p w14:paraId="7AE2DB87">
      <w:pPr>
        <w:pStyle w:val="5"/>
        <w:spacing w:after="0" w:line="480" w:lineRule="exact"/>
      </w:pPr>
      <w:r>
        <w:rPr>
          <w:rFonts w:hint="eastAsia"/>
          <w:color w:val="000000" w:themeColor="text1"/>
          <w14:textFill>
            <w14:solidFill>
              <w14:schemeClr w14:val="tx1"/>
            </w14:solidFill>
          </w14:textFill>
        </w:rPr>
        <w:t>图6.</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 xml:space="preserve"> </w:t>
      </w:r>
      <w:r>
        <w:rPr>
          <w:rFonts w:hint="eastAsia"/>
        </w:rPr>
        <w:t xml:space="preserve"> 本项目废水处理工艺流程图</w:t>
      </w:r>
    </w:p>
    <w:p w14:paraId="51D9952C">
      <w:pPr>
        <w:spacing w:line="480" w:lineRule="exact"/>
        <w:ind w:firstLine="482" w:firstLineChars="200"/>
        <w:rPr>
          <w:b/>
          <w:bCs/>
        </w:rPr>
      </w:pPr>
      <w:r>
        <w:rPr>
          <w:rFonts w:hint="eastAsia"/>
          <w:b/>
          <w:bCs/>
        </w:rPr>
        <w:t>厂内污水处理站工艺流程简述：</w:t>
      </w:r>
    </w:p>
    <w:p w14:paraId="0B12E768">
      <w:pPr>
        <w:pStyle w:val="49"/>
        <w:spacing w:line="480" w:lineRule="exact"/>
        <w:ind w:firstLine="480"/>
        <w:rPr>
          <w:rFonts w:eastAsia="宋体"/>
        </w:rPr>
      </w:pPr>
      <w:r>
        <w:rPr>
          <w:rFonts w:hint="eastAsia"/>
        </w:rPr>
        <w:t>格栅沉降：生活污水化粪池预处理后和冲洗废水、喷淋废水及初期雨水一起通过粗格栅进入集水沉沙池进行沉降，此过程中污水大颗粒固体物均已沉降下来。</w:t>
      </w:r>
    </w:p>
    <w:p w14:paraId="1BB50AAA">
      <w:pPr>
        <w:pStyle w:val="49"/>
        <w:spacing w:line="470" w:lineRule="exact"/>
        <w:ind w:firstLine="480"/>
        <w:rPr>
          <w:rFonts w:eastAsia="宋体"/>
        </w:rPr>
      </w:pPr>
      <w:r>
        <w:rPr>
          <w:rFonts w:hint="eastAsia"/>
        </w:rPr>
        <w:t>水解酸化：</w:t>
      </w:r>
      <w:r>
        <w:rPr>
          <w:color w:val="000000"/>
          <w:szCs w:val="21"/>
          <w:lang w:bidi="ar"/>
        </w:rPr>
        <w:t>废水经水解酸化池进行生物降解，</w:t>
      </w:r>
      <w:r>
        <w:rPr>
          <w:rFonts w:hint="eastAsia"/>
          <w:color w:val="000000"/>
          <w:szCs w:val="21"/>
          <w:lang w:bidi="ar"/>
        </w:rPr>
        <w:t>将废水中难降解的大分子有机物分解成小分子物质</w:t>
      </w:r>
      <w:r>
        <w:rPr>
          <w:color w:val="000000"/>
          <w:szCs w:val="21"/>
          <w:lang w:bidi="ar"/>
        </w:rPr>
        <w:t>，</w:t>
      </w:r>
      <w:r>
        <w:rPr>
          <w:rFonts w:hint="eastAsia"/>
          <w:color w:val="000000"/>
          <w:szCs w:val="21"/>
          <w:lang w:bidi="ar"/>
        </w:rPr>
        <w:t>同时</w:t>
      </w:r>
      <w:r>
        <w:rPr>
          <w:color w:val="000000"/>
          <w:szCs w:val="21"/>
          <w:lang w:bidi="ar"/>
        </w:rPr>
        <w:t>提高后生化工艺对污染物的去除效果</w:t>
      </w:r>
      <w:r>
        <w:rPr>
          <w:rFonts w:hint="eastAsia"/>
          <w:color w:val="000000"/>
          <w:szCs w:val="21"/>
          <w:lang w:bidi="ar"/>
        </w:rPr>
        <w:t>。</w:t>
      </w:r>
    </w:p>
    <w:p w14:paraId="0815FD6A">
      <w:pPr>
        <w:pStyle w:val="49"/>
        <w:spacing w:line="470" w:lineRule="exact"/>
        <w:ind w:firstLine="480"/>
        <w:rPr>
          <w:rFonts w:eastAsia="宋体"/>
        </w:rPr>
      </w:pPr>
      <w:r>
        <w:rPr>
          <w:rFonts w:hint="eastAsia"/>
        </w:rPr>
        <w:t>厌氧反应：污水自流进入厌氧池，厌氧池内设置厌氧反应器，反应器底部有一个高活性的污泥床，污水中的大部分有机污染物在此间完成厌氧发酵降解，污水在厌氧池内停留12小时。然后自流入好氧池。</w:t>
      </w:r>
    </w:p>
    <w:p w14:paraId="753A596D">
      <w:pPr>
        <w:pStyle w:val="49"/>
        <w:spacing w:line="480" w:lineRule="exact"/>
        <w:ind w:firstLine="480"/>
        <w:rPr>
          <w:rFonts w:eastAsia="宋体"/>
        </w:rPr>
      </w:pPr>
      <w:r>
        <w:rPr>
          <w:rFonts w:hint="eastAsia"/>
        </w:rPr>
        <w:t>好氧池处理：</w:t>
      </w:r>
      <w:r>
        <w:rPr>
          <w:rFonts w:hint="eastAsia" w:cs="Times New Roman"/>
          <w:szCs w:val="24"/>
        </w:rPr>
        <w:t>厌氧处理将污水中的大部分COD和BOD</w:t>
      </w:r>
      <w:r>
        <w:rPr>
          <w:rFonts w:hint="eastAsia" w:cs="Times New Roman"/>
          <w:szCs w:val="24"/>
          <w:vertAlign w:val="subscript"/>
        </w:rPr>
        <w:t>5</w:t>
      </w:r>
      <w:r>
        <w:rPr>
          <w:rFonts w:hint="eastAsia" w:cs="Times New Roman"/>
          <w:szCs w:val="24"/>
        </w:rPr>
        <w:t>得到了去除，剩下的污染物属于较难处理的长链有机物。所以本项目再将废水引入好氧处理系统中，好氧池采用SBR活性污泥法。经过驯化后的好氧细菌的新陈代谢作用将废水中的易降解的有机物分解成一氧化碳和水。</w:t>
      </w:r>
    </w:p>
    <w:p w14:paraId="73967B75">
      <w:pPr>
        <w:pageBreakBefore w:val="0"/>
        <w:widowControl/>
        <w:kinsoku/>
        <w:wordWrap/>
        <w:overflowPunct/>
        <w:topLinePunct w:val="0"/>
        <w:autoSpaceDE/>
        <w:autoSpaceDN/>
        <w:bidi w:val="0"/>
        <w:adjustRightInd/>
        <w:snapToGrid/>
        <w:spacing w:line="460" w:lineRule="exact"/>
        <w:ind w:firstLine="480" w:firstLineChars="200"/>
        <w:jc w:val="left"/>
        <w:textAlignment w:val="auto"/>
        <w:rPr>
          <w:rFonts w:eastAsia="宋体"/>
        </w:rPr>
      </w:pPr>
      <w:r>
        <w:rPr>
          <w:rFonts w:hint="eastAsia" w:ascii="宋体" w:hAnsi="宋体" w:eastAsia="宋体" w:cs="宋体"/>
          <w:color w:val="000000"/>
          <w:kern w:val="0"/>
          <w:szCs w:val="24"/>
          <w:lang w:bidi="ar"/>
        </w:rPr>
        <w:t>消毒处理：采用紫外消毒方式对好氧池出水进行消毒，消毒后尾水进入尾水收集池。本项目</w:t>
      </w:r>
      <w:r>
        <w:rPr>
          <w:rFonts w:hint="eastAsia" w:ascii="宋体" w:hAnsi="宋体" w:eastAsia="宋体" w:cs="宋体"/>
          <w:color w:val="000000"/>
          <w:kern w:val="0"/>
          <w:szCs w:val="24"/>
          <w:lang w:val="en-US" w:eastAsia="zh-CN" w:bidi="ar"/>
        </w:rPr>
        <w:t>厂区</w:t>
      </w:r>
      <w:r>
        <w:rPr>
          <w:rFonts w:hint="eastAsia" w:ascii="宋体" w:hAnsi="宋体" w:eastAsia="宋体" w:cs="宋体"/>
          <w:color w:val="000000"/>
          <w:kern w:val="0"/>
          <w:szCs w:val="24"/>
          <w:lang w:bidi="ar"/>
        </w:rPr>
        <w:t>设置</w:t>
      </w:r>
      <w:r>
        <w:rPr>
          <w:rFonts w:hint="eastAsia"/>
          <w:szCs w:val="24"/>
        </w:rPr>
        <w:t>一座</w:t>
      </w:r>
      <w:r>
        <w:rPr>
          <w:rFonts w:hint="eastAsia"/>
          <w:color w:val="000000" w:themeColor="text1"/>
          <w:szCs w:val="24"/>
          <w14:textFill>
            <w14:solidFill>
              <w14:schemeClr w14:val="tx1"/>
            </w14:solidFill>
          </w14:textFill>
        </w:rPr>
        <w:t>750</w:t>
      </w:r>
      <w:r>
        <w:rPr>
          <w:bCs/>
          <w:color w:val="000000" w:themeColor="text1"/>
          <w:szCs w:val="24"/>
          <w14:textFill>
            <w14:solidFill>
              <w14:schemeClr w14:val="tx1"/>
            </w14:solidFill>
          </w14:textFill>
        </w:rPr>
        <w:t>m</w:t>
      </w:r>
      <w:r>
        <w:rPr>
          <w:bCs/>
          <w:color w:val="000000" w:themeColor="text1"/>
          <w:szCs w:val="24"/>
          <w:vertAlign w:val="superscript"/>
          <w14:textFill>
            <w14:solidFill>
              <w14:schemeClr w14:val="tx1"/>
            </w14:solidFill>
          </w14:textFill>
        </w:rPr>
        <w:t>3</w:t>
      </w:r>
      <w:r>
        <w:rPr>
          <w:rFonts w:hint="eastAsia"/>
          <w:bCs/>
          <w:color w:val="000000" w:themeColor="text1"/>
          <w:szCs w:val="24"/>
          <w14:textFill>
            <w14:solidFill>
              <w14:schemeClr w14:val="tx1"/>
            </w14:solidFill>
          </w14:textFill>
        </w:rPr>
        <w:t>尾水收集池，用于暂存项目污水站处理的尾水</w:t>
      </w:r>
      <w:r>
        <w:rPr>
          <w:rFonts w:hint="eastAsia"/>
          <w:bCs/>
          <w:color w:val="000000" w:themeColor="text1"/>
          <w:szCs w:val="24"/>
          <w:lang w:eastAsia="zh-CN"/>
          <w14:textFill>
            <w14:solidFill>
              <w14:schemeClr w14:val="tx1"/>
            </w14:solidFill>
          </w14:textFill>
        </w:rPr>
        <w:t>，</w:t>
      </w:r>
      <w:r>
        <w:rPr>
          <w:rFonts w:hint="eastAsia" w:hAnsi="宋体"/>
          <w:color w:val="000000" w:themeColor="text1"/>
          <w:kern w:val="0"/>
          <w:szCs w:val="24"/>
          <w:lang w:val="en-US" w:eastAsia="zh-CN"/>
          <w14:textFill>
            <w14:solidFill>
              <w14:schemeClr w14:val="tx1"/>
            </w14:solidFill>
          </w14:textFill>
        </w:rPr>
        <w:t>暂存池配套建设输送管线及输送泵，</w:t>
      </w:r>
      <w:r>
        <w:rPr>
          <w:rFonts w:hint="eastAsia"/>
          <w:bCs/>
          <w:color w:val="000000" w:themeColor="text1"/>
          <w:szCs w:val="24"/>
          <w14:textFill>
            <w14:solidFill>
              <w14:schemeClr w14:val="tx1"/>
            </w14:solidFill>
          </w14:textFill>
        </w:rPr>
        <w:t>灌溉季节，</w:t>
      </w:r>
      <w:r>
        <w:rPr>
          <w:rFonts w:hint="eastAsia" w:hAnsi="宋体"/>
          <w:color w:val="000000" w:themeColor="text1"/>
          <w:kern w:val="0"/>
          <w:szCs w:val="24"/>
          <w:lang w:val="en-US" w:eastAsia="zh-CN"/>
          <w14:textFill>
            <w14:solidFill>
              <w14:schemeClr w14:val="tx1"/>
            </w14:solidFill>
          </w14:textFill>
        </w:rPr>
        <w:t>通过暂存池配套的输送管线及输送泵对</w:t>
      </w:r>
      <w:r>
        <w:rPr>
          <w:rFonts w:hint="eastAsia" w:ascii="宋体" w:hAnsi="宋体" w:eastAsia="宋体" w:cs="宋体"/>
          <w:color w:val="000000" w:themeColor="text1"/>
          <w:kern w:val="0"/>
          <w:szCs w:val="24"/>
          <w:lang w:bidi="ar"/>
          <w14:textFill>
            <w14:solidFill>
              <w14:schemeClr w14:val="tx1"/>
            </w14:solidFill>
          </w14:textFill>
        </w:rPr>
        <w:t>项目周边配套农田进行灌溉</w:t>
      </w:r>
      <w:r>
        <w:rPr>
          <w:rFonts w:hint="eastAsia" w:hAnsi="宋体"/>
          <w:color w:val="000000" w:themeColor="text1"/>
          <w:kern w:val="0"/>
          <w:szCs w:val="24"/>
          <w:lang w:val="en-US" w:eastAsia="zh-CN"/>
          <w14:textFill>
            <w14:solidFill>
              <w14:schemeClr w14:val="tx1"/>
            </w14:solidFill>
          </w14:textFill>
        </w:rPr>
        <w:t>，项目</w:t>
      </w:r>
      <w:r>
        <w:rPr>
          <w:rFonts w:hint="eastAsia" w:hAnsi="宋体"/>
          <w:color w:val="000000" w:themeColor="text1"/>
          <w:kern w:val="0"/>
          <w:szCs w:val="24"/>
          <w14:textFill>
            <w14:solidFill>
              <w14:schemeClr w14:val="tx1"/>
            </w14:solidFill>
          </w14:textFill>
        </w:rPr>
        <w:t>灌溉农田时使用管道滴灌</w:t>
      </w:r>
      <w:r>
        <w:rPr>
          <w:rFonts w:hint="eastAsia"/>
          <w:bCs/>
          <w:color w:val="000000" w:themeColor="text1"/>
          <w:szCs w:val="24"/>
          <w:lang w:eastAsia="zh-CN"/>
          <w14:textFill>
            <w14:solidFill>
              <w14:schemeClr w14:val="tx1"/>
            </w14:solidFill>
          </w14:textFill>
        </w:rPr>
        <w:t>，</w:t>
      </w:r>
      <w:r>
        <w:rPr>
          <w:rFonts w:hint="eastAsia" w:hAnsi="宋体"/>
          <w:color w:val="000000" w:themeColor="text1"/>
          <w:kern w:val="0"/>
          <w:szCs w:val="24"/>
          <w14:textFill>
            <w14:solidFill>
              <w14:schemeClr w14:val="tx1"/>
            </w14:solidFill>
          </w14:textFill>
        </w:rPr>
        <w:t>不得漫灌，也不得形成地表径流排入周边水体</w:t>
      </w:r>
      <w:r>
        <w:rPr>
          <w:rFonts w:hint="eastAsia" w:ascii="宋体" w:hAnsi="宋体" w:eastAsia="宋体" w:cs="宋体"/>
          <w:color w:val="000000" w:themeColor="text1"/>
          <w:kern w:val="0"/>
          <w:szCs w:val="24"/>
          <w:lang w:bidi="ar"/>
          <w14:textFill>
            <w14:solidFill>
              <w14:schemeClr w14:val="tx1"/>
            </w14:solidFill>
          </w14:textFill>
        </w:rPr>
        <w:t>。</w:t>
      </w:r>
    </w:p>
    <w:p w14:paraId="6ABBE61A">
      <w:pPr>
        <w:pStyle w:val="8"/>
        <w:pageBreakBefore w:val="0"/>
        <w:kinsoku/>
        <w:wordWrap/>
        <w:overflowPunct/>
        <w:topLinePunct w:val="0"/>
        <w:autoSpaceDE/>
        <w:autoSpaceDN/>
        <w:bidi w:val="0"/>
        <w:adjustRightInd/>
        <w:snapToGrid/>
        <w:spacing w:line="46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.2.2.</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废水处理达标可行性分析</w:t>
      </w:r>
    </w:p>
    <w:p w14:paraId="4D7673DC">
      <w:pPr>
        <w:pageBreakBefore w:val="0"/>
        <w:kinsoku/>
        <w:wordWrap/>
        <w:overflowPunct/>
        <w:topLinePunct w:val="0"/>
        <w:autoSpaceDE/>
        <w:autoSpaceDN/>
        <w:bidi w:val="0"/>
        <w:adjustRightInd/>
        <w:snapToGrid/>
        <w:spacing w:line="460" w:lineRule="exact"/>
        <w:ind w:firstLine="482" w:firstLineChars="200"/>
        <w:textAlignment w:val="auto"/>
        <w:rPr>
          <w:b/>
          <w:bCs/>
        </w:rPr>
      </w:pPr>
      <w:r>
        <w:rPr>
          <w:rFonts w:hint="eastAsia"/>
          <w:b/>
          <w:bCs/>
          <w:color w:val="000000" w:themeColor="text1"/>
          <w14:textFill>
            <w14:solidFill>
              <w14:schemeClr w14:val="tx1"/>
            </w14:solidFill>
          </w14:textFill>
        </w:rPr>
        <w:t>（1）废水处理效果论</w:t>
      </w:r>
      <w:r>
        <w:rPr>
          <w:rFonts w:ascii="Times New Roman" w:hAnsi="Times New Roman" w:eastAsia="宋体" w:cs="Times New Roman"/>
          <w:b/>
          <w:bCs/>
          <w:color w:val="000000" w:themeColor="text1"/>
          <w14:textFill>
            <w14:solidFill>
              <w14:schemeClr w14:val="tx1"/>
            </w14:solidFill>
          </w14:textFill>
        </w:rPr>
        <w:t>：</w:t>
      </w:r>
    </w:p>
    <w:p w14:paraId="5D21F06D">
      <w:pPr>
        <w:pageBreakBefore w:val="0"/>
        <w:kinsoku/>
        <w:wordWrap/>
        <w:overflowPunct/>
        <w:topLinePunct w:val="0"/>
        <w:autoSpaceDE/>
        <w:autoSpaceDN/>
        <w:bidi w:val="0"/>
        <w:adjustRightInd/>
        <w:snapToGrid/>
        <w:spacing w:line="460" w:lineRule="exact"/>
        <w:ind w:firstLine="480" w:firstLineChars="200"/>
        <w:textAlignment w:val="auto"/>
        <w:rPr>
          <w:color w:val="000000" w:themeColor="text1"/>
          <w14:textFill>
            <w14:solidFill>
              <w14:schemeClr w14:val="tx1"/>
            </w14:solidFill>
          </w14:textFill>
        </w:rPr>
      </w:pPr>
      <w:r>
        <w:rPr>
          <w:rFonts w:hint="eastAsia"/>
        </w:rPr>
        <w:t>根据工程设计方案，项目污水处理单元处理效果</w:t>
      </w:r>
      <w:r>
        <w:rPr>
          <w:rFonts w:hint="eastAsia"/>
          <w:color w:val="000000" w:themeColor="text1"/>
          <w14:textFill>
            <w14:solidFill>
              <w14:schemeClr w14:val="tx1"/>
            </w14:solidFill>
          </w14:textFill>
        </w:rPr>
        <w:t>见表6.2-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w:t>
      </w:r>
    </w:p>
    <w:p w14:paraId="74CE7F68">
      <w:pPr>
        <w:pStyle w:val="31"/>
        <w:pageBreakBefore w:val="0"/>
        <w:kinsoku/>
        <w:wordWrap/>
        <w:overflowPunct/>
        <w:topLinePunct w:val="0"/>
        <w:autoSpaceDE/>
        <w:autoSpaceDN/>
        <w:bidi w:val="0"/>
        <w:adjustRightInd/>
        <w:snapToGrid/>
        <w:spacing w:before="0" w:line="46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6.2-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 xml:space="preserve">  污水处理站处理效果一览表</w:t>
      </w:r>
    </w:p>
    <w:tbl>
      <w:tblPr>
        <w:tblStyle w:val="41"/>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672"/>
        <w:gridCol w:w="1181"/>
        <w:gridCol w:w="1091"/>
        <w:gridCol w:w="1092"/>
        <w:gridCol w:w="1092"/>
        <w:gridCol w:w="1092"/>
        <w:gridCol w:w="1092"/>
        <w:gridCol w:w="1280"/>
      </w:tblGrid>
      <w:tr w14:paraId="6299D5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tcBorders>
              <w:tl2br w:val="nil"/>
              <w:tr2bl w:val="nil"/>
            </w:tcBorders>
            <w:vAlign w:val="center"/>
          </w:tcPr>
          <w:p w14:paraId="762992FA">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997" w:type="pct"/>
            <w:gridSpan w:val="2"/>
            <w:tcBorders>
              <w:tl2br w:val="nil"/>
              <w:tr2bl w:val="nil"/>
            </w:tcBorders>
            <w:vAlign w:val="center"/>
          </w:tcPr>
          <w:p w14:paraId="0305DDC2">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项目</w:t>
            </w:r>
          </w:p>
        </w:tc>
        <w:tc>
          <w:tcPr>
            <w:tcW w:w="587" w:type="pct"/>
            <w:tcBorders>
              <w:tl2br w:val="nil"/>
              <w:tr2bl w:val="nil"/>
            </w:tcBorders>
            <w:vAlign w:val="center"/>
          </w:tcPr>
          <w:p w14:paraId="42D40972">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CODcr</w:t>
            </w:r>
          </w:p>
          <w:p w14:paraId="3A2ECDA7">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（mg/L）</w:t>
            </w:r>
          </w:p>
        </w:tc>
        <w:tc>
          <w:tcPr>
            <w:tcW w:w="588" w:type="pct"/>
            <w:tcBorders>
              <w:tl2br w:val="nil"/>
              <w:tr2bl w:val="nil"/>
            </w:tcBorders>
            <w:vAlign w:val="center"/>
          </w:tcPr>
          <w:p w14:paraId="67EC2436">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BOD</w:t>
            </w:r>
            <w:r>
              <w:rPr>
                <w:rFonts w:ascii="Times New Roman" w:hAnsi="Times New Roman" w:eastAsia="宋体" w:cs="Times New Roman"/>
                <w:sz w:val="21"/>
                <w:szCs w:val="21"/>
                <w:vertAlign w:val="subscript"/>
              </w:rPr>
              <w:t>5</w:t>
            </w:r>
            <w:r>
              <w:rPr>
                <w:rFonts w:ascii="Times New Roman" w:hAnsi="Times New Roman" w:eastAsia="宋体" w:cs="Times New Roman"/>
                <w:sz w:val="21"/>
                <w:szCs w:val="21"/>
              </w:rPr>
              <w:t>（mg/L）</w:t>
            </w:r>
          </w:p>
        </w:tc>
        <w:tc>
          <w:tcPr>
            <w:tcW w:w="588" w:type="pct"/>
            <w:tcBorders>
              <w:tl2br w:val="nil"/>
              <w:tr2bl w:val="nil"/>
            </w:tcBorders>
            <w:vAlign w:val="center"/>
          </w:tcPr>
          <w:p w14:paraId="06DA9042">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SS</w:t>
            </w:r>
          </w:p>
          <w:p w14:paraId="53F83FFC">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（mg/L）</w:t>
            </w:r>
          </w:p>
        </w:tc>
        <w:tc>
          <w:tcPr>
            <w:tcW w:w="588" w:type="pct"/>
            <w:tcBorders>
              <w:tl2br w:val="nil"/>
              <w:tr2bl w:val="nil"/>
            </w:tcBorders>
            <w:vAlign w:val="center"/>
          </w:tcPr>
          <w:p w14:paraId="32AA0620">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NH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-N</w:t>
            </w:r>
          </w:p>
          <w:p w14:paraId="7A2155D8">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（mg/L）</w:t>
            </w:r>
          </w:p>
        </w:tc>
        <w:tc>
          <w:tcPr>
            <w:tcW w:w="588" w:type="pct"/>
            <w:tcBorders>
              <w:tl2br w:val="nil"/>
              <w:tr2bl w:val="nil"/>
            </w:tcBorders>
            <w:vAlign w:val="center"/>
          </w:tcPr>
          <w:p w14:paraId="35923193">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总磷</w:t>
            </w:r>
          </w:p>
          <w:p w14:paraId="270CEC15">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（mg/L）</w:t>
            </w:r>
          </w:p>
        </w:tc>
        <w:tc>
          <w:tcPr>
            <w:tcW w:w="689" w:type="pct"/>
            <w:tcBorders>
              <w:tl2br w:val="nil"/>
              <w:tr2bl w:val="nil"/>
            </w:tcBorders>
            <w:vAlign w:val="center"/>
          </w:tcPr>
          <w:p w14:paraId="710166AE">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粪大肠菌群（</w:t>
            </w:r>
            <w:r>
              <w:rPr>
                <w:rFonts w:ascii="Times New Roman" w:hAnsi="Times New Roman" w:eastAsia="宋体" w:cs="Times New Roman"/>
                <w:color w:val="000000"/>
                <w:kern w:val="0"/>
                <w:sz w:val="21"/>
                <w:szCs w:val="21"/>
                <w:lang w:bidi="ar"/>
              </w:rPr>
              <w:t>MPN/L</w:t>
            </w:r>
            <w:r>
              <w:rPr>
                <w:rFonts w:ascii="Times New Roman" w:hAnsi="Times New Roman" w:eastAsia="宋体" w:cs="Times New Roman"/>
                <w:sz w:val="21"/>
                <w:szCs w:val="21"/>
              </w:rPr>
              <w:t>）</w:t>
            </w:r>
          </w:p>
        </w:tc>
      </w:tr>
      <w:tr w14:paraId="2F11AF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tcBorders>
              <w:tl2br w:val="nil"/>
              <w:tr2bl w:val="nil"/>
            </w:tcBorders>
            <w:vAlign w:val="center"/>
          </w:tcPr>
          <w:p w14:paraId="77596D06">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997" w:type="pct"/>
            <w:gridSpan w:val="2"/>
            <w:tcBorders>
              <w:tl2br w:val="nil"/>
              <w:tr2bl w:val="nil"/>
            </w:tcBorders>
            <w:vAlign w:val="center"/>
          </w:tcPr>
          <w:p w14:paraId="5C9CAF4C">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进水</w:t>
            </w:r>
          </w:p>
        </w:tc>
        <w:tc>
          <w:tcPr>
            <w:tcW w:w="587" w:type="pct"/>
            <w:tcBorders>
              <w:tl2br w:val="nil"/>
              <w:tr2bl w:val="nil"/>
            </w:tcBorders>
            <w:vAlign w:val="center"/>
          </w:tcPr>
          <w:p w14:paraId="2C1AA604">
            <w:pPr>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905.6</w:t>
            </w:r>
          </w:p>
        </w:tc>
        <w:tc>
          <w:tcPr>
            <w:tcW w:w="588" w:type="pct"/>
            <w:tcBorders>
              <w:tl2br w:val="nil"/>
              <w:tr2bl w:val="nil"/>
            </w:tcBorders>
            <w:vAlign w:val="center"/>
          </w:tcPr>
          <w:p w14:paraId="675D328E">
            <w:pPr>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514.2</w:t>
            </w:r>
          </w:p>
        </w:tc>
        <w:tc>
          <w:tcPr>
            <w:tcW w:w="588" w:type="pct"/>
            <w:tcBorders>
              <w:tl2br w:val="nil"/>
              <w:tr2bl w:val="nil"/>
            </w:tcBorders>
            <w:vAlign w:val="center"/>
          </w:tcPr>
          <w:p w14:paraId="0C1DFB88">
            <w:pPr>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697.4</w:t>
            </w:r>
          </w:p>
        </w:tc>
        <w:tc>
          <w:tcPr>
            <w:tcW w:w="588" w:type="pct"/>
            <w:tcBorders>
              <w:tl2br w:val="nil"/>
              <w:tr2bl w:val="nil"/>
            </w:tcBorders>
            <w:vAlign w:val="center"/>
          </w:tcPr>
          <w:p w14:paraId="2F779488">
            <w:pPr>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134.3</w:t>
            </w:r>
          </w:p>
        </w:tc>
        <w:tc>
          <w:tcPr>
            <w:tcW w:w="588" w:type="pct"/>
            <w:tcBorders>
              <w:tl2br w:val="nil"/>
              <w:tr2bl w:val="nil"/>
            </w:tcBorders>
            <w:vAlign w:val="center"/>
          </w:tcPr>
          <w:p w14:paraId="1E535E80">
            <w:pPr>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26.4</w:t>
            </w:r>
          </w:p>
        </w:tc>
        <w:tc>
          <w:tcPr>
            <w:tcW w:w="689" w:type="pct"/>
            <w:tcBorders>
              <w:tl2br w:val="nil"/>
              <w:tr2bl w:val="nil"/>
            </w:tcBorders>
            <w:vAlign w:val="center"/>
          </w:tcPr>
          <w:p w14:paraId="629D4C15">
            <w:pPr>
              <w:spacing w:line="300" w:lineRule="exact"/>
              <w:jc w:val="center"/>
              <w:rPr>
                <w:rFonts w:ascii="Times New Roman" w:hAnsi="Times New Roman" w:eastAsia="宋体" w:cs="Times New Roman"/>
                <w:sz w:val="21"/>
                <w:szCs w:val="21"/>
              </w:rPr>
            </w:pPr>
            <w:r>
              <w:rPr>
                <w:rFonts w:ascii="Times New Roman" w:hAnsi="Times New Roman" w:eastAsia="宋体" w:cs="Times New Roman"/>
                <w:color w:val="000000"/>
                <w:kern w:val="0"/>
                <w:sz w:val="21"/>
                <w:szCs w:val="21"/>
                <w:lang w:bidi="ar"/>
              </w:rPr>
              <w:t>3.0×10</w:t>
            </w:r>
            <w:r>
              <w:rPr>
                <w:rFonts w:ascii="Times New Roman" w:hAnsi="Times New Roman" w:eastAsia="宋体" w:cs="Times New Roman"/>
                <w:color w:val="000000"/>
                <w:kern w:val="0"/>
                <w:sz w:val="21"/>
                <w:szCs w:val="21"/>
                <w:vertAlign w:val="superscript"/>
                <w:lang w:bidi="ar"/>
              </w:rPr>
              <w:t>7</w:t>
            </w:r>
          </w:p>
        </w:tc>
      </w:tr>
      <w:tr w14:paraId="4C7B2A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restart"/>
            <w:tcBorders>
              <w:tl2br w:val="nil"/>
              <w:tr2bl w:val="nil"/>
            </w:tcBorders>
            <w:vAlign w:val="center"/>
          </w:tcPr>
          <w:p w14:paraId="5AD03AF1">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362" w:type="pct"/>
            <w:vMerge w:val="restart"/>
            <w:tcBorders>
              <w:tl2br w:val="nil"/>
              <w:tr2bl w:val="nil"/>
            </w:tcBorders>
            <w:vAlign w:val="center"/>
          </w:tcPr>
          <w:p w14:paraId="1A526E01">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格栅沉降</w:t>
            </w:r>
          </w:p>
        </w:tc>
        <w:tc>
          <w:tcPr>
            <w:tcW w:w="635" w:type="pct"/>
            <w:tcBorders>
              <w:tl2br w:val="nil"/>
              <w:tr2bl w:val="nil"/>
            </w:tcBorders>
            <w:vAlign w:val="center"/>
          </w:tcPr>
          <w:p w14:paraId="46423198">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去除率（%）</w:t>
            </w:r>
          </w:p>
        </w:tc>
        <w:tc>
          <w:tcPr>
            <w:tcW w:w="587" w:type="pct"/>
            <w:tcBorders>
              <w:tl2br w:val="nil"/>
              <w:tr2bl w:val="nil"/>
            </w:tcBorders>
            <w:vAlign w:val="center"/>
          </w:tcPr>
          <w:p w14:paraId="43233866">
            <w:pPr>
              <w:widowControl/>
              <w:spacing w:line="300" w:lineRule="exact"/>
              <w:jc w:val="center"/>
              <w:textAlignment w:val="center"/>
              <w:rPr>
                <w:rFonts w:ascii="Times New Roman" w:hAnsi="Times New Roman" w:eastAsia="宋体" w:cs="Times New Roman"/>
                <w:sz w:val="21"/>
                <w:szCs w:val="21"/>
              </w:rPr>
            </w:pPr>
            <w:r>
              <w:rPr>
                <w:rFonts w:hint="eastAsia" w:ascii="Times New Roman" w:hAnsi="Times New Roman" w:eastAsia="宋体" w:cs="Times New Roman"/>
                <w:color w:val="000000"/>
                <w:kern w:val="0"/>
                <w:sz w:val="21"/>
                <w:szCs w:val="21"/>
                <w:lang w:bidi="ar"/>
              </w:rPr>
              <w:t>11.7</w:t>
            </w:r>
          </w:p>
        </w:tc>
        <w:tc>
          <w:tcPr>
            <w:tcW w:w="588" w:type="pct"/>
            <w:tcBorders>
              <w:tl2br w:val="nil"/>
              <w:tr2bl w:val="nil"/>
            </w:tcBorders>
            <w:vAlign w:val="center"/>
          </w:tcPr>
          <w:p w14:paraId="4B126355">
            <w:pPr>
              <w:widowControl/>
              <w:spacing w:line="300" w:lineRule="exact"/>
              <w:jc w:val="center"/>
              <w:textAlignment w:val="center"/>
              <w:rPr>
                <w:rFonts w:ascii="Times New Roman" w:hAnsi="Times New Roman" w:eastAsia="宋体" w:cs="Times New Roman"/>
                <w:sz w:val="21"/>
                <w:szCs w:val="21"/>
              </w:rPr>
            </w:pPr>
            <w:r>
              <w:rPr>
                <w:rFonts w:hint="eastAsia" w:ascii="Times New Roman" w:hAnsi="Times New Roman" w:eastAsia="宋体" w:cs="Times New Roman"/>
                <w:color w:val="000000"/>
                <w:kern w:val="0"/>
                <w:sz w:val="21"/>
                <w:szCs w:val="21"/>
                <w:lang w:bidi="ar"/>
              </w:rPr>
              <w:t>12.5</w:t>
            </w:r>
          </w:p>
        </w:tc>
        <w:tc>
          <w:tcPr>
            <w:tcW w:w="588" w:type="pct"/>
            <w:tcBorders>
              <w:tl2br w:val="nil"/>
              <w:tr2bl w:val="nil"/>
            </w:tcBorders>
            <w:vAlign w:val="center"/>
          </w:tcPr>
          <w:p w14:paraId="47E7919E">
            <w:pPr>
              <w:widowControl/>
              <w:spacing w:line="300" w:lineRule="exact"/>
              <w:jc w:val="center"/>
              <w:textAlignment w:val="center"/>
              <w:rPr>
                <w:rFonts w:ascii="Times New Roman" w:hAnsi="Times New Roman" w:eastAsia="宋体" w:cs="Times New Roman"/>
                <w:sz w:val="21"/>
                <w:szCs w:val="21"/>
              </w:rPr>
            </w:pPr>
            <w:r>
              <w:rPr>
                <w:rFonts w:hint="eastAsia" w:ascii="Times New Roman" w:hAnsi="Times New Roman" w:eastAsia="宋体" w:cs="Times New Roman"/>
                <w:color w:val="000000"/>
                <w:kern w:val="0"/>
                <w:sz w:val="21"/>
                <w:szCs w:val="21"/>
                <w:lang w:bidi="ar"/>
              </w:rPr>
              <w:t>42.9</w:t>
            </w:r>
          </w:p>
        </w:tc>
        <w:tc>
          <w:tcPr>
            <w:tcW w:w="588" w:type="pct"/>
            <w:tcBorders>
              <w:tl2br w:val="nil"/>
              <w:tr2bl w:val="nil"/>
            </w:tcBorders>
            <w:vAlign w:val="center"/>
          </w:tcPr>
          <w:p w14:paraId="2A344A55">
            <w:pPr>
              <w:widowControl/>
              <w:spacing w:line="300" w:lineRule="exact"/>
              <w:jc w:val="center"/>
              <w:textAlignment w:val="center"/>
              <w:rPr>
                <w:rFonts w:ascii="Times New Roman" w:hAnsi="Times New Roman" w:eastAsia="宋体" w:cs="Times New Roman"/>
                <w:sz w:val="21"/>
                <w:szCs w:val="21"/>
              </w:rPr>
            </w:pPr>
            <w:r>
              <w:rPr>
                <w:rFonts w:ascii="Times New Roman" w:hAnsi="Times New Roman" w:eastAsia="宋体" w:cs="Times New Roman"/>
                <w:color w:val="000000"/>
                <w:kern w:val="0"/>
                <w:sz w:val="21"/>
                <w:szCs w:val="21"/>
                <w:lang w:bidi="ar"/>
              </w:rPr>
              <w:t>0</w:t>
            </w:r>
          </w:p>
        </w:tc>
        <w:tc>
          <w:tcPr>
            <w:tcW w:w="588" w:type="pct"/>
            <w:tcBorders>
              <w:tl2br w:val="nil"/>
              <w:tr2bl w:val="nil"/>
            </w:tcBorders>
            <w:vAlign w:val="center"/>
          </w:tcPr>
          <w:p w14:paraId="23BCC9F0">
            <w:pPr>
              <w:widowControl/>
              <w:spacing w:line="300" w:lineRule="exact"/>
              <w:jc w:val="center"/>
              <w:textAlignment w:val="center"/>
              <w:rPr>
                <w:rFonts w:ascii="Times New Roman" w:hAnsi="Times New Roman" w:eastAsia="宋体" w:cs="Times New Roman"/>
                <w:sz w:val="21"/>
                <w:szCs w:val="21"/>
              </w:rPr>
            </w:pPr>
            <w:r>
              <w:rPr>
                <w:rFonts w:ascii="Times New Roman" w:hAnsi="Times New Roman" w:eastAsia="宋体" w:cs="Times New Roman"/>
                <w:color w:val="000000"/>
                <w:kern w:val="0"/>
                <w:sz w:val="21"/>
                <w:szCs w:val="21"/>
                <w:lang w:bidi="ar"/>
              </w:rPr>
              <w:t>0</w:t>
            </w:r>
          </w:p>
        </w:tc>
        <w:tc>
          <w:tcPr>
            <w:tcW w:w="689" w:type="pct"/>
            <w:tcBorders>
              <w:tl2br w:val="nil"/>
              <w:tr2bl w:val="nil"/>
            </w:tcBorders>
            <w:vAlign w:val="center"/>
          </w:tcPr>
          <w:p w14:paraId="113BACA2">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66.7</w:t>
            </w:r>
          </w:p>
        </w:tc>
      </w:tr>
      <w:tr w14:paraId="0D479A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continue"/>
            <w:tcBorders>
              <w:tl2br w:val="nil"/>
              <w:tr2bl w:val="nil"/>
            </w:tcBorders>
            <w:vAlign w:val="center"/>
          </w:tcPr>
          <w:p w14:paraId="1073A03E">
            <w:pPr>
              <w:spacing w:line="300" w:lineRule="exact"/>
              <w:jc w:val="center"/>
              <w:rPr>
                <w:rFonts w:ascii="Times New Roman" w:hAnsi="Times New Roman" w:eastAsia="宋体" w:cs="Times New Roman"/>
                <w:sz w:val="21"/>
                <w:szCs w:val="21"/>
              </w:rPr>
            </w:pPr>
          </w:p>
        </w:tc>
        <w:tc>
          <w:tcPr>
            <w:tcW w:w="362" w:type="pct"/>
            <w:vMerge w:val="continue"/>
            <w:tcBorders>
              <w:tl2br w:val="nil"/>
              <w:tr2bl w:val="nil"/>
            </w:tcBorders>
            <w:vAlign w:val="center"/>
          </w:tcPr>
          <w:p w14:paraId="35929C43">
            <w:pPr>
              <w:spacing w:line="300" w:lineRule="exact"/>
              <w:jc w:val="center"/>
              <w:rPr>
                <w:rFonts w:ascii="Times New Roman" w:hAnsi="Times New Roman" w:eastAsia="宋体" w:cs="Times New Roman"/>
                <w:sz w:val="21"/>
                <w:szCs w:val="21"/>
              </w:rPr>
            </w:pPr>
          </w:p>
        </w:tc>
        <w:tc>
          <w:tcPr>
            <w:tcW w:w="635" w:type="pct"/>
            <w:tcBorders>
              <w:tl2br w:val="nil"/>
              <w:tr2bl w:val="nil"/>
            </w:tcBorders>
            <w:vAlign w:val="center"/>
          </w:tcPr>
          <w:p w14:paraId="233025B8">
            <w:pPr>
              <w:pStyle w:val="97"/>
              <w:spacing w:line="300" w:lineRule="exact"/>
              <w:rPr>
                <w:rFonts w:eastAsia="宋体"/>
                <w:b w:val="0"/>
                <w:sz w:val="21"/>
                <w:szCs w:val="21"/>
              </w:rPr>
            </w:pPr>
            <w:r>
              <w:rPr>
                <w:rFonts w:eastAsia="宋体"/>
                <w:b w:val="0"/>
                <w:sz w:val="21"/>
                <w:szCs w:val="21"/>
              </w:rPr>
              <w:t>出水</w:t>
            </w:r>
          </w:p>
        </w:tc>
        <w:tc>
          <w:tcPr>
            <w:tcW w:w="587" w:type="pct"/>
            <w:tcBorders>
              <w:tl2br w:val="nil"/>
              <w:tr2bl w:val="nil"/>
            </w:tcBorders>
            <w:vAlign w:val="center"/>
          </w:tcPr>
          <w:p w14:paraId="666BC74F">
            <w:pPr>
              <w:widowControl/>
              <w:spacing w:line="300" w:lineRule="exact"/>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800</w:t>
            </w:r>
          </w:p>
        </w:tc>
        <w:tc>
          <w:tcPr>
            <w:tcW w:w="588" w:type="pct"/>
            <w:tcBorders>
              <w:tl2br w:val="nil"/>
              <w:tr2bl w:val="nil"/>
            </w:tcBorders>
            <w:vAlign w:val="center"/>
          </w:tcPr>
          <w:p w14:paraId="38318DED">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450</w:t>
            </w:r>
          </w:p>
        </w:tc>
        <w:tc>
          <w:tcPr>
            <w:tcW w:w="588" w:type="pct"/>
            <w:tcBorders>
              <w:tl2br w:val="nil"/>
              <w:tr2bl w:val="nil"/>
            </w:tcBorders>
            <w:vAlign w:val="center"/>
          </w:tcPr>
          <w:p w14:paraId="75BCE225">
            <w:pPr>
              <w:widowControl/>
              <w:spacing w:line="300" w:lineRule="exact"/>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400</w:t>
            </w:r>
          </w:p>
        </w:tc>
        <w:tc>
          <w:tcPr>
            <w:tcW w:w="588" w:type="pct"/>
            <w:tcBorders>
              <w:tl2br w:val="nil"/>
              <w:tr2bl w:val="nil"/>
            </w:tcBorders>
            <w:vAlign w:val="center"/>
          </w:tcPr>
          <w:p w14:paraId="12F08F2A">
            <w:pPr>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134.3</w:t>
            </w:r>
          </w:p>
        </w:tc>
        <w:tc>
          <w:tcPr>
            <w:tcW w:w="588" w:type="pct"/>
            <w:tcBorders>
              <w:tl2br w:val="nil"/>
              <w:tr2bl w:val="nil"/>
            </w:tcBorders>
            <w:vAlign w:val="center"/>
          </w:tcPr>
          <w:p w14:paraId="46E53937">
            <w:pPr>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26.4</w:t>
            </w:r>
          </w:p>
        </w:tc>
        <w:tc>
          <w:tcPr>
            <w:tcW w:w="689" w:type="pct"/>
            <w:tcBorders>
              <w:tl2br w:val="nil"/>
              <w:tr2bl w:val="nil"/>
            </w:tcBorders>
            <w:vAlign w:val="center"/>
          </w:tcPr>
          <w:p w14:paraId="7331D452">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1.0×10</w:t>
            </w:r>
            <w:r>
              <w:rPr>
                <w:rFonts w:ascii="Times New Roman" w:hAnsi="Times New Roman" w:eastAsia="宋体" w:cs="Times New Roman"/>
                <w:color w:val="000000"/>
                <w:kern w:val="0"/>
                <w:sz w:val="21"/>
                <w:szCs w:val="21"/>
                <w:vertAlign w:val="superscript"/>
                <w:lang w:bidi="ar"/>
              </w:rPr>
              <w:t>7</w:t>
            </w:r>
          </w:p>
        </w:tc>
      </w:tr>
      <w:tr w14:paraId="3FA2CA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restart"/>
            <w:tcBorders>
              <w:tl2br w:val="nil"/>
              <w:tr2bl w:val="nil"/>
            </w:tcBorders>
            <w:vAlign w:val="center"/>
          </w:tcPr>
          <w:p w14:paraId="29C6BA11">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362" w:type="pct"/>
            <w:vMerge w:val="restart"/>
            <w:tcBorders>
              <w:tl2br w:val="nil"/>
              <w:tr2bl w:val="nil"/>
            </w:tcBorders>
            <w:vAlign w:val="center"/>
          </w:tcPr>
          <w:p w14:paraId="6C59EFD9">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水解酸化</w:t>
            </w:r>
          </w:p>
        </w:tc>
        <w:tc>
          <w:tcPr>
            <w:tcW w:w="635" w:type="pct"/>
            <w:tcBorders>
              <w:tl2br w:val="nil"/>
              <w:tr2bl w:val="nil"/>
            </w:tcBorders>
            <w:vAlign w:val="center"/>
          </w:tcPr>
          <w:p w14:paraId="6B5CB6F0">
            <w:pPr>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进水</w:t>
            </w:r>
          </w:p>
        </w:tc>
        <w:tc>
          <w:tcPr>
            <w:tcW w:w="587" w:type="pct"/>
            <w:tcBorders>
              <w:tl2br w:val="nil"/>
              <w:tr2bl w:val="nil"/>
            </w:tcBorders>
            <w:vAlign w:val="center"/>
          </w:tcPr>
          <w:p w14:paraId="686F4B11">
            <w:pPr>
              <w:widowControl/>
              <w:spacing w:line="300" w:lineRule="exact"/>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800</w:t>
            </w:r>
          </w:p>
        </w:tc>
        <w:tc>
          <w:tcPr>
            <w:tcW w:w="588" w:type="pct"/>
            <w:tcBorders>
              <w:tl2br w:val="nil"/>
              <w:tr2bl w:val="nil"/>
            </w:tcBorders>
            <w:vAlign w:val="center"/>
          </w:tcPr>
          <w:p w14:paraId="5175012B">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450</w:t>
            </w:r>
          </w:p>
        </w:tc>
        <w:tc>
          <w:tcPr>
            <w:tcW w:w="588" w:type="pct"/>
            <w:tcBorders>
              <w:tl2br w:val="nil"/>
              <w:tr2bl w:val="nil"/>
            </w:tcBorders>
            <w:vAlign w:val="center"/>
          </w:tcPr>
          <w:p w14:paraId="56417B23">
            <w:pPr>
              <w:widowControl/>
              <w:spacing w:line="300" w:lineRule="exact"/>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400</w:t>
            </w:r>
          </w:p>
        </w:tc>
        <w:tc>
          <w:tcPr>
            <w:tcW w:w="588" w:type="pct"/>
            <w:tcBorders>
              <w:tl2br w:val="nil"/>
              <w:tr2bl w:val="nil"/>
            </w:tcBorders>
            <w:vAlign w:val="center"/>
          </w:tcPr>
          <w:p w14:paraId="0B5D820A">
            <w:pPr>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134.3</w:t>
            </w:r>
          </w:p>
        </w:tc>
        <w:tc>
          <w:tcPr>
            <w:tcW w:w="588" w:type="pct"/>
            <w:tcBorders>
              <w:tl2br w:val="nil"/>
              <w:tr2bl w:val="nil"/>
            </w:tcBorders>
            <w:vAlign w:val="center"/>
          </w:tcPr>
          <w:p w14:paraId="52317DD8">
            <w:pPr>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26.4</w:t>
            </w:r>
          </w:p>
        </w:tc>
        <w:tc>
          <w:tcPr>
            <w:tcW w:w="689" w:type="pct"/>
            <w:tcBorders>
              <w:tl2br w:val="nil"/>
              <w:tr2bl w:val="nil"/>
            </w:tcBorders>
            <w:vAlign w:val="center"/>
          </w:tcPr>
          <w:p w14:paraId="1FE64035">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1.0×10</w:t>
            </w:r>
            <w:r>
              <w:rPr>
                <w:rFonts w:ascii="Times New Roman" w:hAnsi="Times New Roman" w:eastAsia="宋体" w:cs="Times New Roman"/>
                <w:color w:val="000000"/>
                <w:kern w:val="0"/>
                <w:sz w:val="21"/>
                <w:szCs w:val="21"/>
                <w:vertAlign w:val="superscript"/>
                <w:lang w:bidi="ar"/>
              </w:rPr>
              <w:t>7</w:t>
            </w:r>
          </w:p>
        </w:tc>
      </w:tr>
      <w:tr w14:paraId="787A82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continue"/>
            <w:tcBorders>
              <w:tl2br w:val="nil"/>
              <w:tr2bl w:val="nil"/>
            </w:tcBorders>
            <w:vAlign w:val="center"/>
          </w:tcPr>
          <w:p w14:paraId="792576DE">
            <w:pPr>
              <w:spacing w:line="300" w:lineRule="exact"/>
              <w:jc w:val="center"/>
              <w:rPr>
                <w:rFonts w:ascii="Times New Roman" w:hAnsi="Times New Roman" w:eastAsia="宋体" w:cs="Times New Roman"/>
                <w:sz w:val="21"/>
                <w:szCs w:val="21"/>
              </w:rPr>
            </w:pPr>
          </w:p>
        </w:tc>
        <w:tc>
          <w:tcPr>
            <w:tcW w:w="362" w:type="pct"/>
            <w:vMerge w:val="continue"/>
            <w:tcBorders>
              <w:tl2br w:val="nil"/>
              <w:tr2bl w:val="nil"/>
            </w:tcBorders>
            <w:vAlign w:val="center"/>
          </w:tcPr>
          <w:p w14:paraId="2441291B">
            <w:pPr>
              <w:spacing w:line="300" w:lineRule="exact"/>
              <w:jc w:val="center"/>
              <w:rPr>
                <w:rFonts w:ascii="Times New Roman" w:hAnsi="Times New Roman" w:eastAsia="宋体" w:cs="Times New Roman"/>
                <w:sz w:val="21"/>
                <w:szCs w:val="21"/>
              </w:rPr>
            </w:pPr>
          </w:p>
        </w:tc>
        <w:tc>
          <w:tcPr>
            <w:tcW w:w="635" w:type="pct"/>
            <w:tcBorders>
              <w:tl2br w:val="nil"/>
              <w:tr2bl w:val="nil"/>
            </w:tcBorders>
            <w:vAlign w:val="center"/>
          </w:tcPr>
          <w:p w14:paraId="62689B01">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去除率（%）</w:t>
            </w:r>
          </w:p>
        </w:tc>
        <w:tc>
          <w:tcPr>
            <w:tcW w:w="587" w:type="pct"/>
            <w:tcBorders>
              <w:tl2br w:val="nil"/>
              <w:tr2bl w:val="nil"/>
            </w:tcBorders>
            <w:vAlign w:val="center"/>
          </w:tcPr>
          <w:p w14:paraId="7351B976">
            <w:pPr>
              <w:widowControl/>
              <w:spacing w:line="300" w:lineRule="exact"/>
              <w:jc w:val="center"/>
              <w:textAlignment w:val="center"/>
              <w:rPr>
                <w:rFonts w:ascii="Times New Roman" w:hAnsi="Times New Roman" w:eastAsia="宋体" w:cs="Times New Roman"/>
                <w:sz w:val="21"/>
                <w:szCs w:val="21"/>
              </w:rPr>
            </w:pPr>
            <w:r>
              <w:rPr>
                <w:rFonts w:ascii="Times New Roman" w:hAnsi="Times New Roman" w:eastAsia="宋体" w:cs="Times New Roman"/>
                <w:color w:val="000000"/>
                <w:kern w:val="0"/>
                <w:sz w:val="21"/>
                <w:szCs w:val="21"/>
                <w:lang w:bidi="ar"/>
              </w:rPr>
              <w:t>25.0</w:t>
            </w:r>
          </w:p>
        </w:tc>
        <w:tc>
          <w:tcPr>
            <w:tcW w:w="588" w:type="pct"/>
            <w:tcBorders>
              <w:tl2br w:val="nil"/>
              <w:tr2bl w:val="nil"/>
            </w:tcBorders>
            <w:vAlign w:val="center"/>
          </w:tcPr>
          <w:p w14:paraId="0BAE493E">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22.2</w:t>
            </w:r>
          </w:p>
        </w:tc>
        <w:tc>
          <w:tcPr>
            <w:tcW w:w="588" w:type="pct"/>
            <w:tcBorders>
              <w:tl2br w:val="nil"/>
              <w:tr2bl w:val="nil"/>
            </w:tcBorders>
            <w:vAlign w:val="center"/>
          </w:tcPr>
          <w:p w14:paraId="2FCB7A47">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50</w:t>
            </w:r>
          </w:p>
        </w:tc>
        <w:tc>
          <w:tcPr>
            <w:tcW w:w="588" w:type="pct"/>
            <w:tcBorders>
              <w:tl2br w:val="nil"/>
              <w:tr2bl w:val="nil"/>
            </w:tcBorders>
            <w:vAlign w:val="center"/>
          </w:tcPr>
          <w:p w14:paraId="18D185CC">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10.6</w:t>
            </w:r>
          </w:p>
        </w:tc>
        <w:tc>
          <w:tcPr>
            <w:tcW w:w="588" w:type="pct"/>
            <w:tcBorders>
              <w:tl2br w:val="nil"/>
              <w:tr2bl w:val="nil"/>
            </w:tcBorders>
            <w:vAlign w:val="center"/>
          </w:tcPr>
          <w:p w14:paraId="1F246E76">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5.3</w:t>
            </w:r>
          </w:p>
        </w:tc>
        <w:tc>
          <w:tcPr>
            <w:tcW w:w="689" w:type="pct"/>
            <w:tcBorders>
              <w:tl2br w:val="nil"/>
              <w:tr2bl w:val="nil"/>
            </w:tcBorders>
            <w:vAlign w:val="center"/>
          </w:tcPr>
          <w:p w14:paraId="7C0142FA">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0</w:t>
            </w:r>
          </w:p>
        </w:tc>
      </w:tr>
      <w:tr w14:paraId="227528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continue"/>
            <w:tcBorders>
              <w:tl2br w:val="nil"/>
              <w:tr2bl w:val="nil"/>
            </w:tcBorders>
            <w:vAlign w:val="center"/>
          </w:tcPr>
          <w:p w14:paraId="7A1C3440">
            <w:pPr>
              <w:spacing w:line="300" w:lineRule="exact"/>
              <w:jc w:val="center"/>
              <w:rPr>
                <w:rFonts w:ascii="Times New Roman" w:hAnsi="Times New Roman" w:eastAsia="宋体" w:cs="Times New Roman"/>
                <w:sz w:val="21"/>
                <w:szCs w:val="21"/>
              </w:rPr>
            </w:pPr>
          </w:p>
        </w:tc>
        <w:tc>
          <w:tcPr>
            <w:tcW w:w="362" w:type="pct"/>
            <w:vMerge w:val="continue"/>
            <w:tcBorders>
              <w:tl2br w:val="nil"/>
              <w:tr2bl w:val="nil"/>
            </w:tcBorders>
            <w:vAlign w:val="center"/>
          </w:tcPr>
          <w:p w14:paraId="3CAAB1EF">
            <w:pPr>
              <w:spacing w:line="300" w:lineRule="exact"/>
              <w:jc w:val="center"/>
              <w:rPr>
                <w:rFonts w:ascii="Times New Roman" w:hAnsi="Times New Roman" w:eastAsia="宋体" w:cs="Times New Roman"/>
                <w:sz w:val="21"/>
                <w:szCs w:val="21"/>
              </w:rPr>
            </w:pPr>
          </w:p>
        </w:tc>
        <w:tc>
          <w:tcPr>
            <w:tcW w:w="635" w:type="pct"/>
            <w:tcBorders>
              <w:tl2br w:val="nil"/>
              <w:tr2bl w:val="nil"/>
            </w:tcBorders>
            <w:vAlign w:val="center"/>
          </w:tcPr>
          <w:p w14:paraId="7395105B">
            <w:pPr>
              <w:pStyle w:val="97"/>
              <w:spacing w:line="300" w:lineRule="exact"/>
              <w:rPr>
                <w:rFonts w:eastAsia="宋体"/>
                <w:b w:val="0"/>
                <w:sz w:val="21"/>
                <w:szCs w:val="21"/>
              </w:rPr>
            </w:pPr>
            <w:r>
              <w:rPr>
                <w:rFonts w:eastAsia="宋体"/>
                <w:b w:val="0"/>
                <w:sz w:val="21"/>
                <w:szCs w:val="21"/>
              </w:rPr>
              <w:t>出水</w:t>
            </w:r>
          </w:p>
        </w:tc>
        <w:tc>
          <w:tcPr>
            <w:tcW w:w="587" w:type="pct"/>
            <w:tcBorders>
              <w:tl2br w:val="nil"/>
              <w:tr2bl w:val="nil"/>
            </w:tcBorders>
            <w:vAlign w:val="center"/>
          </w:tcPr>
          <w:p w14:paraId="46DFDA5F">
            <w:pPr>
              <w:widowControl/>
              <w:spacing w:line="300" w:lineRule="exact"/>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600</w:t>
            </w:r>
          </w:p>
        </w:tc>
        <w:tc>
          <w:tcPr>
            <w:tcW w:w="588" w:type="pct"/>
            <w:tcBorders>
              <w:tl2br w:val="nil"/>
              <w:tr2bl w:val="nil"/>
            </w:tcBorders>
            <w:vAlign w:val="center"/>
          </w:tcPr>
          <w:p w14:paraId="2DE34D7A">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350</w:t>
            </w:r>
          </w:p>
        </w:tc>
        <w:tc>
          <w:tcPr>
            <w:tcW w:w="588" w:type="pct"/>
            <w:tcBorders>
              <w:tl2br w:val="nil"/>
              <w:tr2bl w:val="nil"/>
            </w:tcBorders>
            <w:vAlign w:val="center"/>
          </w:tcPr>
          <w:p w14:paraId="00BF2865">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200</w:t>
            </w:r>
          </w:p>
        </w:tc>
        <w:tc>
          <w:tcPr>
            <w:tcW w:w="588" w:type="pct"/>
            <w:tcBorders>
              <w:tl2br w:val="nil"/>
              <w:tr2bl w:val="nil"/>
            </w:tcBorders>
            <w:vAlign w:val="center"/>
          </w:tcPr>
          <w:p w14:paraId="4371B7D2">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hint="eastAsia" w:ascii="Times New Roman" w:hAnsi="Times New Roman" w:eastAsia="宋体" w:cs="Times New Roman"/>
                <w:sz w:val="21"/>
                <w:szCs w:val="21"/>
              </w:rPr>
              <w:t>120</w:t>
            </w:r>
          </w:p>
        </w:tc>
        <w:tc>
          <w:tcPr>
            <w:tcW w:w="588" w:type="pct"/>
            <w:tcBorders>
              <w:tl2br w:val="nil"/>
              <w:tr2bl w:val="nil"/>
            </w:tcBorders>
            <w:vAlign w:val="center"/>
          </w:tcPr>
          <w:p w14:paraId="6DFCC60A">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sz w:val="21"/>
                <w:szCs w:val="21"/>
              </w:rPr>
              <w:t>25</w:t>
            </w:r>
          </w:p>
        </w:tc>
        <w:tc>
          <w:tcPr>
            <w:tcW w:w="689" w:type="pct"/>
            <w:tcBorders>
              <w:tl2br w:val="nil"/>
              <w:tr2bl w:val="nil"/>
            </w:tcBorders>
            <w:vAlign w:val="center"/>
          </w:tcPr>
          <w:p w14:paraId="6A87334F">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1.0×10</w:t>
            </w:r>
            <w:r>
              <w:rPr>
                <w:rFonts w:ascii="Times New Roman" w:hAnsi="Times New Roman" w:eastAsia="宋体" w:cs="Times New Roman"/>
                <w:color w:val="000000"/>
                <w:kern w:val="0"/>
                <w:sz w:val="21"/>
                <w:szCs w:val="21"/>
                <w:vertAlign w:val="superscript"/>
                <w:lang w:bidi="ar"/>
              </w:rPr>
              <w:t>7</w:t>
            </w:r>
          </w:p>
        </w:tc>
      </w:tr>
      <w:tr w14:paraId="4ED3BA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restart"/>
            <w:tcBorders>
              <w:tl2br w:val="nil"/>
              <w:tr2bl w:val="nil"/>
            </w:tcBorders>
            <w:vAlign w:val="center"/>
          </w:tcPr>
          <w:p w14:paraId="7FBE9923">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362" w:type="pct"/>
            <w:vMerge w:val="restart"/>
            <w:tcBorders>
              <w:tl2br w:val="nil"/>
              <w:tr2bl w:val="nil"/>
            </w:tcBorders>
            <w:vAlign w:val="center"/>
          </w:tcPr>
          <w:p w14:paraId="35E4C720">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厌氧+好氧</w:t>
            </w:r>
          </w:p>
        </w:tc>
        <w:tc>
          <w:tcPr>
            <w:tcW w:w="635" w:type="pct"/>
            <w:tcBorders>
              <w:tl2br w:val="nil"/>
              <w:tr2bl w:val="nil"/>
            </w:tcBorders>
            <w:vAlign w:val="center"/>
          </w:tcPr>
          <w:p w14:paraId="51112096">
            <w:pPr>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进水</w:t>
            </w:r>
          </w:p>
        </w:tc>
        <w:tc>
          <w:tcPr>
            <w:tcW w:w="587" w:type="pct"/>
            <w:tcBorders>
              <w:tl2br w:val="nil"/>
              <w:tr2bl w:val="nil"/>
            </w:tcBorders>
            <w:vAlign w:val="center"/>
          </w:tcPr>
          <w:p w14:paraId="6EA3EF69">
            <w:pPr>
              <w:widowControl/>
              <w:spacing w:line="300" w:lineRule="exact"/>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600</w:t>
            </w:r>
          </w:p>
        </w:tc>
        <w:tc>
          <w:tcPr>
            <w:tcW w:w="588" w:type="pct"/>
            <w:tcBorders>
              <w:tl2br w:val="nil"/>
              <w:tr2bl w:val="nil"/>
            </w:tcBorders>
            <w:vAlign w:val="center"/>
          </w:tcPr>
          <w:p w14:paraId="10FF822A">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350</w:t>
            </w:r>
          </w:p>
        </w:tc>
        <w:tc>
          <w:tcPr>
            <w:tcW w:w="588" w:type="pct"/>
            <w:tcBorders>
              <w:tl2br w:val="nil"/>
              <w:tr2bl w:val="nil"/>
            </w:tcBorders>
            <w:vAlign w:val="center"/>
          </w:tcPr>
          <w:p w14:paraId="74A84ACC">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200</w:t>
            </w:r>
          </w:p>
        </w:tc>
        <w:tc>
          <w:tcPr>
            <w:tcW w:w="588" w:type="pct"/>
            <w:tcBorders>
              <w:tl2br w:val="nil"/>
              <w:tr2bl w:val="nil"/>
            </w:tcBorders>
            <w:vAlign w:val="center"/>
          </w:tcPr>
          <w:p w14:paraId="7A585D6C">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hint="eastAsia" w:ascii="Times New Roman" w:hAnsi="Times New Roman" w:eastAsia="宋体" w:cs="Times New Roman"/>
                <w:sz w:val="21"/>
                <w:szCs w:val="21"/>
              </w:rPr>
              <w:t>120</w:t>
            </w:r>
          </w:p>
        </w:tc>
        <w:tc>
          <w:tcPr>
            <w:tcW w:w="588" w:type="pct"/>
            <w:tcBorders>
              <w:tl2br w:val="nil"/>
              <w:tr2bl w:val="nil"/>
            </w:tcBorders>
            <w:vAlign w:val="center"/>
          </w:tcPr>
          <w:p w14:paraId="4F40969F">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sz w:val="21"/>
                <w:szCs w:val="21"/>
              </w:rPr>
              <w:t>25</w:t>
            </w:r>
          </w:p>
        </w:tc>
        <w:tc>
          <w:tcPr>
            <w:tcW w:w="689" w:type="pct"/>
            <w:tcBorders>
              <w:tl2br w:val="nil"/>
              <w:tr2bl w:val="nil"/>
            </w:tcBorders>
            <w:vAlign w:val="center"/>
          </w:tcPr>
          <w:p w14:paraId="5DB64BA4">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1.0×10</w:t>
            </w:r>
            <w:r>
              <w:rPr>
                <w:rFonts w:ascii="Times New Roman" w:hAnsi="Times New Roman" w:eastAsia="宋体" w:cs="Times New Roman"/>
                <w:color w:val="000000"/>
                <w:kern w:val="0"/>
                <w:sz w:val="21"/>
                <w:szCs w:val="21"/>
                <w:vertAlign w:val="superscript"/>
                <w:lang w:bidi="ar"/>
              </w:rPr>
              <w:t>7</w:t>
            </w:r>
          </w:p>
        </w:tc>
      </w:tr>
      <w:tr w14:paraId="1B0534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continue"/>
            <w:tcBorders>
              <w:tl2br w:val="nil"/>
              <w:tr2bl w:val="nil"/>
            </w:tcBorders>
            <w:vAlign w:val="center"/>
          </w:tcPr>
          <w:p w14:paraId="75E12AFE">
            <w:pPr>
              <w:spacing w:line="300" w:lineRule="exact"/>
              <w:jc w:val="center"/>
              <w:rPr>
                <w:rFonts w:ascii="Times New Roman" w:hAnsi="Times New Roman" w:eastAsia="宋体" w:cs="Times New Roman"/>
                <w:sz w:val="21"/>
                <w:szCs w:val="21"/>
              </w:rPr>
            </w:pPr>
          </w:p>
        </w:tc>
        <w:tc>
          <w:tcPr>
            <w:tcW w:w="362" w:type="pct"/>
            <w:vMerge w:val="continue"/>
            <w:tcBorders>
              <w:tl2br w:val="nil"/>
              <w:tr2bl w:val="nil"/>
            </w:tcBorders>
            <w:vAlign w:val="center"/>
          </w:tcPr>
          <w:p w14:paraId="7A0F79E3">
            <w:pPr>
              <w:spacing w:line="300" w:lineRule="exact"/>
              <w:jc w:val="center"/>
              <w:rPr>
                <w:rFonts w:ascii="Times New Roman" w:hAnsi="Times New Roman" w:eastAsia="宋体" w:cs="Times New Roman"/>
                <w:sz w:val="21"/>
                <w:szCs w:val="21"/>
              </w:rPr>
            </w:pPr>
          </w:p>
        </w:tc>
        <w:tc>
          <w:tcPr>
            <w:tcW w:w="635" w:type="pct"/>
            <w:tcBorders>
              <w:tl2br w:val="nil"/>
              <w:tr2bl w:val="nil"/>
            </w:tcBorders>
            <w:vAlign w:val="center"/>
          </w:tcPr>
          <w:p w14:paraId="5771A396">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去除率（%）</w:t>
            </w:r>
          </w:p>
        </w:tc>
        <w:tc>
          <w:tcPr>
            <w:tcW w:w="587" w:type="pct"/>
            <w:tcBorders>
              <w:tl2br w:val="nil"/>
              <w:tr2bl w:val="nil"/>
            </w:tcBorders>
            <w:vAlign w:val="center"/>
          </w:tcPr>
          <w:p w14:paraId="2A6DA95D">
            <w:pPr>
              <w:widowControl/>
              <w:spacing w:line="300" w:lineRule="exact"/>
              <w:jc w:val="center"/>
              <w:textAlignment w:val="center"/>
              <w:rPr>
                <w:rFonts w:ascii="Times New Roman" w:hAnsi="Times New Roman" w:eastAsia="宋体" w:cs="Times New Roman"/>
                <w:sz w:val="21"/>
                <w:szCs w:val="21"/>
              </w:rPr>
            </w:pPr>
            <w:r>
              <w:rPr>
                <w:rFonts w:ascii="Times New Roman" w:hAnsi="Times New Roman" w:eastAsia="宋体" w:cs="Times New Roman"/>
                <w:color w:val="000000"/>
                <w:kern w:val="0"/>
                <w:sz w:val="21"/>
                <w:szCs w:val="21"/>
                <w:lang w:bidi="ar"/>
              </w:rPr>
              <w:t>75</w:t>
            </w:r>
          </w:p>
        </w:tc>
        <w:tc>
          <w:tcPr>
            <w:tcW w:w="588" w:type="pct"/>
            <w:tcBorders>
              <w:tl2br w:val="nil"/>
              <w:tr2bl w:val="nil"/>
            </w:tcBorders>
            <w:vAlign w:val="center"/>
          </w:tcPr>
          <w:p w14:paraId="72849D51">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82.9</w:t>
            </w:r>
          </w:p>
        </w:tc>
        <w:tc>
          <w:tcPr>
            <w:tcW w:w="588" w:type="pct"/>
            <w:tcBorders>
              <w:tl2br w:val="nil"/>
              <w:tr2bl w:val="nil"/>
            </w:tcBorders>
            <w:vAlign w:val="center"/>
          </w:tcPr>
          <w:p w14:paraId="49B24EFB">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60</w:t>
            </w:r>
          </w:p>
        </w:tc>
        <w:tc>
          <w:tcPr>
            <w:tcW w:w="588" w:type="pct"/>
            <w:tcBorders>
              <w:tl2br w:val="nil"/>
              <w:tr2bl w:val="nil"/>
            </w:tcBorders>
            <w:vAlign w:val="center"/>
          </w:tcPr>
          <w:p w14:paraId="7A3DCFB1">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33.3</w:t>
            </w:r>
          </w:p>
        </w:tc>
        <w:tc>
          <w:tcPr>
            <w:tcW w:w="588" w:type="pct"/>
            <w:tcBorders>
              <w:tl2br w:val="nil"/>
              <w:tr2bl w:val="nil"/>
            </w:tcBorders>
            <w:vAlign w:val="center"/>
          </w:tcPr>
          <w:p w14:paraId="39B1F42E">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68.0</w:t>
            </w:r>
          </w:p>
        </w:tc>
        <w:tc>
          <w:tcPr>
            <w:tcW w:w="689" w:type="pct"/>
            <w:tcBorders>
              <w:tl2br w:val="nil"/>
              <w:tr2bl w:val="nil"/>
            </w:tcBorders>
            <w:vAlign w:val="center"/>
          </w:tcPr>
          <w:p w14:paraId="231BA46B">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0</w:t>
            </w:r>
          </w:p>
        </w:tc>
      </w:tr>
      <w:tr w14:paraId="0B4E40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continue"/>
            <w:tcBorders>
              <w:tl2br w:val="nil"/>
              <w:tr2bl w:val="nil"/>
            </w:tcBorders>
            <w:vAlign w:val="center"/>
          </w:tcPr>
          <w:p w14:paraId="661C1F77">
            <w:pPr>
              <w:spacing w:line="300" w:lineRule="exact"/>
              <w:jc w:val="center"/>
              <w:rPr>
                <w:rFonts w:ascii="Times New Roman" w:hAnsi="Times New Roman" w:eastAsia="宋体" w:cs="Times New Roman"/>
                <w:sz w:val="21"/>
                <w:szCs w:val="21"/>
              </w:rPr>
            </w:pPr>
          </w:p>
        </w:tc>
        <w:tc>
          <w:tcPr>
            <w:tcW w:w="362" w:type="pct"/>
            <w:vMerge w:val="continue"/>
            <w:tcBorders>
              <w:tl2br w:val="nil"/>
              <w:tr2bl w:val="nil"/>
            </w:tcBorders>
            <w:vAlign w:val="center"/>
          </w:tcPr>
          <w:p w14:paraId="4B289584">
            <w:pPr>
              <w:spacing w:line="300" w:lineRule="exact"/>
              <w:jc w:val="center"/>
              <w:rPr>
                <w:rFonts w:ascii="Times New Roman" w:hAnsi="Times New Roman" w:eastAsia="宋体" w:cs="Times New Roman"/>
                <w:sz w:val="21"/>
                <w:szCs w:val="21"/>
              </w:rPr>
            </w:pPr>
          </w:p>
        </w:tc>
        <w:tc>
          <w:tcPr>
            <w:tcW w:w="635" w:type="pct"/>
            <w:tcBorders>
              <w:tl2br w:val="nil"/>
              <w:tr2bl w:val="nil"/>
            </w:tcBorders>
            <w:vAlign w:val="center"/>
          </w:tcPr>
          <w:p w14:paraId="78E04921">
            <w:pPr>
              <w:pStyle w:val="97"/>
              <w:spacing w:line="300" w:lineRule="exact"/>
              <w:rPr>
                <w:rFonts w:eastAsia="宋体"/>
                <w:b w:val="0"/>
                <w:sz w:val="21"/>
                <w:szCs w:val="21"/>
              </w:rPr>
            </w:pPr>
            <w:r>
              <w:rPr>
                <w:rFonts w:eastAsia="宋体"/>
                <w:b w:val="0"/>
                <w:sz w:val="21"/>
                <w:szCs w:val="21"/>
              </w:rPr>
              <w:t>出水</w:t>
            </w:r>
          </w:p>
        </w:tc>
        <w:tc>
          <w:tcPr>
            <w:tcW w:w="587" w:type="pct"/>
            <w:tcBorders>
              <w:tl2br w:val="nil"/>
              <w:tr2bl w:val="nil"/>
            </w:tcBorders>
            <w:vAlign w:val="center"/>
          </w:tcPr>
          <w:p w14:paraId="6ED0B086">
            <w:pPr>
              <w:widowControl/>
              <w:spacing w:line="300" w:lineRule="exact"/>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150</w:t>
            </w:r>
          </w:p>
        </w:tc>
        <w:tc>
          <w:tcPr>
            <w:tcW w:w="588" w:type="pct"/>
            <w:tcBorders>
              <w:tl2br w:val="nil"/>
              <w:tr2bl w:val="nil"/>
            </w:tcBorders>
            <w:vAlign w:val="center"/>
          </w:tcPr>
          <w:p w14:paraId="25EFD28D">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60</w:t>
            </w:r>
          </w:p>
        </w:tc>
        <w:tc>
          <w:tcPr>
            <w:tcW w:w="588" w:type="pct"/>
            <w:tcBorders>
              <w:tl2br w:val="nil"/>
              <w:tr2bl w:val="nil"/>
            </w:tcBorders>
            <w:vAlign w:val="center"/>
          </w:tcPr>
          <w:p w14:paraId="0CE047D9">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80</w:t>
            </w:r>
          </w:p>
        </w:tc>
        <w:tc>
          <w:tcPr>
            <w:tcW w:w="588" w:type="pct"/>
            <w:tcBorders>
              <w:tl2br w:val="nil"/>
              <w:tr2bl w:val="nil"/>
            </w:tcBorders>
            <w:vAlign w:val="center"/>
          </w:tcPr>
          <w:p w14:paraId="6A73445D">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80</w:t>
            </w:r>
          </w:p>
        </w:tc>
        <w:tc>
          <w:tcPr>
            <w:tcW w:w="588" w:type="pct"/>
            <w:tcBorders>
              <w:tl2br w:val="nil"/>
              <w:tr2bl w:val="nil"/>
            </w:tcBorders>
            <w:vAlign w:val="center"/>
          </w:tcPr>
          <w:p w14:paraId="75AA476C">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8</w:t>
            </w:r>
          </w:p>
        </w:tc>
        <w:tc>
          <w:tcPr>
            <w:tcW w:w="689" w:type="pct"/>
            <w:tcBorders>
              <w:tl2br w:val="nil"/>
              <w:tr2bl w:val="nil"/>
            </w:tcBorders>
            <w:vAlign w:val="center"/>
          </w:tcPr>
          <w:p w14:paraId="031FF2D9">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1.0×10</w:t>
            </w:r>
            <w:r>
              <w:rPr>
                <w:rFonts w:ascii="Times New Roman" w:hAnsi="Times New Roman" w:eastAsia="宋体" w:cs="Times New Roman"/>
                <w:color w:val="000000"/>
                <w:kern w:val="0"/>
                <w:sz w:val="21"/>
                <w:szCs w:val="21"/>
                <w:vertAlign w:val="superscript"/>
                <w:lang w:bidi="ar"/>
              </w:rPr>
              <w:t>7</w:t>
            </w:r>
          </w:p>
        </w:tc>
      </w:tr>
      <w:tr w14:paraId="09F8A3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restart"/>
            <w:tcBorders>
              <w:tl2br w:val="nil"/>
              <w:tr2bl w:val="nil"/>
            </w:tcBorders>
            <w:vAlign w:val="center"/>
          </w:tcPr>
          <w:p w14:paraId="25CD309D">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362" w:type="pct"/>
            <w:vMerge w:val="restart"/>
            <w:tcBorders>
              <w:tl2br w:val="nil"/>
              <w:tr2bl w:val="nil"/>
            </w:tcBorders>
            <w:vAlign w:val="center"/>
          </w:tcPr>
          <w:p w14:paraId="41F72372">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消毒处理</w:t>
            </w:r>
          </w:p>
        </w:tc>
        <w:tc>
          <w:tcPr>
            <w:tcW w:w="635" w:type="pct"/>
            <w:tcBorders>
              <w:tl2br w:val="nil"/>
              <w:tr2bl w:val="nil"/>
            </w:tcBorders>
            <w:vAlign w:val="center"/>
          </w:tcPr>
          <w:p w14:paraId="0340737D">
            <w:pPr>
              <w:spacing w:line="30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进水</w:t>
            </w:r>
          </w:p>
        </w:tc>
        <w:tc>
          <w:tcPr>
            <w:tcW w:w="587" w:type="pct"/>
            <w:tcBorders>
              <w:tl2br w:val="nil"/>
              <w:tr2bl w:val="nil"/>
            </w:tcBorders>
            <w:vAlign w:val="center"/>
          </w:tcPr>
          <w:p w14:paraId="30E22E43">
            <w:pPr>
              <w:widowControl/>
              <w:spacing w:line="300" w:lineRule="exact"/>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150</w:t>
            </w:r>
          </w:p>
        </w:tc>
        <w:tc>
          <w:tcPr>
            <w:tcW w:w="588" w:type="pct"/>
            <w:tcBorders>
              <w:tl2br w:val="nil"/>
              <w:tr2bl w:val="nil"/>
            </w:tcBorders>
            <w:vAlign w:val="center"/>
          </w:tcPr>
          <w:p w14:paraId="6A2F652A">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60</w:t>
            </w:r>
          </w:p>
        </w:tc>
        <w:tc>
          <w:tcPr>
            <w:tcW w:w="588" w:type="pct"/>
            <w:tcBorders>
              <w:tl2br w:val="nil"/>
              <w:tr2bl w:val="nil"/>
            </w:tcBorders>
            <w:vAlign w:val="center"/>
          </w:tcPr>
          <w:p w14:paraId="009CF3B7">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80</w:t>
            </w:r>
          </w:p>
        </w:tc>
        <w:tc>
          <w:tcPr>
            <w:tcW w:w="588" w:type="pct"/>
            <w:tcBorders>
              <w:tl2br w:val="nil"/>
              <w:tr2bl w:val="nil"/>
            </w:tcBorders>
            <w:vAlign w:val="center"/>
          </w:tcPr>
          <w:p w14:paraId="50C94D91">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80</w:t>
            </w:r>
          </w:p>
        </w:tc>
        <w:tc>
          <w:tcPr>
            <w:tcW w:w="588" w:type="pct"/>
            <w:tcBorders>
              <w:tl2br w:val="nil"/>
              <w:tr2bl w:val="nil"/>
            </w:tcBorders>
            <w:vAlign w:val="center"/>
          </w:tcPr>
          <w:p w14:paraId="50512C65">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8</w:t>
            </w:r>
          </w:p>
        </w:tc>
        <w:tc>
          <w:tcPr>
            <w:tcW w:w="689" w:type="pct"/>
            <w:tcBorders>
              <w:tl2br w:val="nil"/>
              <w:tr2bl w:val="nil"/>
            </w:tcBorders>
            <w:vAlign w:val="center"/>
          </w:tcPr>
          <w:p w14:paraId="6064D3A5">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1.0×10</w:t>
            </w:r>
            <w:r>
              <w:rPr>
                <w:rFonts w:ascii="Times New Roman" w:hAnsi="Times New Roman" w:eastAsia="宋体" w:cs="Times New Roman"/>
                <w:color w:val="000000"/>
                <w:kern w:val="0"/>
                <w:sz w:val="21"/>
                <w:szCs w:val="21"/>
                <w:vertAlign w:val="superscript"/>
                <w:lang w:bidi="ar"/>
              </w:rPr>
              <w:t>7</w:t>
            </w:r>
          </w:p>
        </w:tc>
      </w:tr>
      <w:tr w14:paraId="77A28C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continue"/>
            <w:tcBorders>
              <w:tl2br w:val="nil"/>
              <w:tr2bl w:val="nil"/>
            </w:tcBorders>
            <w:vAlign w:val="center"/>
          </w:tcPr>
          <w:p w14:paraId="3796132A">
            <w:pPr>
              <w:spacing w:line="300" w:lineRule="exact"/>
              <w:jc w:val="center"/>
              <w:rPr>
                <w:rFonts w:ascii="Times New Roman" w:hAnsi="Times New Roman" w:eastAsia="宋体" w:cs="Times New Roman"/>
                <w:sz w:val="21"/>
                <w:szCs w:val="21"/>
              </w:rPr>
            </w:pPr>
          </w:p>
        </w:tc>
        <w:tc>
          <w:tcPr>
            <w:tcW w:w="362" w:type="pct"/>
            <w:vMerge w:val="continue"/>
            <w:tcBorders>
              <w:tl2br w:val="nil"/>
              <w:tr2bl w:val="nil"/>
            </w:tcBorders>
            <w:vAlign w:val="center"/>
          </w:tcPr>
          <w:p w14:paraId="49289574">
            <w:pPr>
              <w:spacing w:line="300" w:lineRule="exact"/>
              <w:jc w:val="center"/>
              <w:rPr>
                <w:rFonts w:ascii="Times New Roman" w:hAnsi="Times New Roman" w:eastAsia="宋体" w:cs="Times New Roman"/>
                <w:sz w:val="21"/>
                <w:szCs w:val="21"/>
              </w:rPr>
            </w:pPr>
          </w:p>
        </w:tc>
        <w:tc>
          <w:tcPr>
            <w:tcW w:w="635" w:type="pct"/>
            <w:tcBorders>
              <w:tl2br w:val="nil"/>
              <w:tr2bl w:val="nil"/>
            </w:tcBorders>
            <w:vAlign w:val="center"/>
          </w:tcPr>
          <w:p w14:paraId="5911DF51">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去除率（%）</w:t>
            </w:r>
          </w:p>
        </w:tc>
        <w:tc>
          <w:tcPr>
            <w:tcW w:w="587" w:type="pct"/>
            <w:tcBorders>
              <w:tl2br w:val="nil"/>
              <w:tr2bl w:val="nil"/>
            </w:tcBorders>
            <w:vAlign w:val="center"/>
          </w:tcPr>
          <w:p w14:paraId="68DB8F33">
            <w:pPr>
              <w:widowControl/>
              <w:spacing w:line="300" w:lineRule="exact"/>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588" w:type="pct"/>
            <w:tcBorders>
              <w:tl2br w:val="nil"/>
              <w:tr2bl w:val="nil"/>
            </w:tcBorders>
            <w:vAlign w:val="center"/>
          </w:tcPr>
          <w:p w14:paraId="0B97581F">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0</w:t>
            </w:r>
          </w:p>
        </w:tc>
        <w:tc>
          <w:tcPr>
            <w:tcW w:w="588" w:type="pct"/>
            <w:tcBorders>
              <w:tl2br w:val="nil"/>
              <w:tr2bl w:val="nil"/>
            </w:tcBorders>
            <w:vAlign w:val="center"/>
          </w:tcPr>
          <w:p w14:paraId="1237841C">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0</w:t>
            </w:r>
          </w:p>
        </w:tc>
        <w:tc>
          <w:tcPr>
            <w:tcW w:w="588" w:type="pct"/>
            <w:tcBorders>
              <w:tl2br w:val="nil"/>
              <w:tr2bl w:val="nil"/>
            </w:tcBorders>
            <w:vAlign w:val="center"/>
          </w:tcPr>
          <w:p w14:paraId="072109BE">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0</w:t>
            </w:r>
          </w:p>
        </w:tc>
        <w:tc>
          <w:tcPr>
            <w:tcW w:w="588" w:type="pct"/>
            <w:tcBorders>
              <w:tl2br w:val="nil"/>
              <w:tr2bl w:val="nil"/>
            </w:tcBorders>
            <w:vAlign w:val="center"/>
          </w:tcPr>
          <w:p w14:paraId="3E52E474">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0</w:t>
            </w:r>
          </w:p>
        </w:tc>
        <w:tc>
          <w:tcPr>
            <w:tcW w:w="689" w:type="pct"/>
            <w:tcBorders>
              <w:tl2br w:val="nil"/>
              <w:tr2bl w:val="nil"/>
            </w:tcBorders>
            <w:vAlign w:val="center"/>
          </w:tcPr>
          <w:p w14:paraId="73476994">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99.6</w:t>
            </w:r>
          </w:p>
        </w:tc>
      </w:tr>
      <w:tr w14:paraId="1C0679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Merge w:val="continue"/>
            <w:tcBorders>
              <w:tl2br w:val="nil"/>
              <w:tr2bl w:val="nil"/>
            </w:tcBorders>
            <w:vAlign w:val="center"/>
          </w:tcPr>
          <w:p w14:paraId="0DBC15D8">
            <w:pPr>
              <w:spacing w:line="300" w:lineRule="exact"/>
              <w:jc w:val="center"/>
              <w:rPr>
                <w:rFonts w:ascii="Times New Roman" w:hAnsi="Times New Roman" w:eastAsia="宋体" w:cs="Times New Roman"/>
                <w:sz w:val="21"/>
                <w:szCs w:val="21"/>
              </w:rPr>
            </w:pPr>
          </w:p>
        </w:tc>
        <w:tc>
          <w:tcPr>
            <w:tcW w:w="362" w:type="pct"/>
            <w:vMerge w:val="continue"/>
            <w:tcBorders>
              <w:tl2br w:val="nil"/>
              <w:tr2bl w:val="nil"/>
            </w:tcBorders>
            <w:vAlign w:val="center"/>
          </w:tcPr>
          <w:p w14:paraId="46D74199">
            <w:pPr>
              <w:spacing w:line="300" w:lineRule="exact"/>
              <w:jc w:val="center"/>
              <w:rPr>
                <w:rFonts w:ascii="Times New Roman" w:hAnsi="Times New Roman" w:eastAsia="宋体" w:cs="Times New Roman"/>
                <w:sz w:val="21"/>
                <w:szCs w:val="21"/>
              </w:rPr>
            </w:pPr>
          </w:p>
        </w:tc>
        <w:tc>
          <w:tcPr>
            <w:tcW w:w="635" w:type="pct"/>
            <w:tcBorders>
              <w:tl2br w:val="nil"/>
              <w:tr2bl w:val="nil"/>
            </w:tcBorders>
            <w:vAlign w:val="center"/>
          </w:tcPr>
          <w:p w14:paraId="0D6C0A0F">
            <w:pPr>
              <w:pStyle w:val="97"/>
              <w:spacing w:line="300" w:lineRule="exact"/>
              <w:rPr>
                <w:rFonts w:eastAsia="宋体"/>
                <w:b w:val="0"/>
                <w:sz w:val="21"/>
                <w:szCs w:val="21"/>
              </w:rPr>
            </w:pPr>
            <w:r>
              <w:rPr>
                <w:rFonts w:eastAsia="宋体"/>
                <w:b w:val="0"/>
                <w:sz w:val="21"/>
                <w:szCs w:val="21"/>
              </w:rPr>
              <w:t>出水</w:t>
            </w:r>
          </w:p>
        </w:tc>
        <w:tc>
          <w:tcPr>
            <w:tcW w:w="587" w:type="pct"/>
            <w:tcBorders>
              <w:tl2br w:val="nil"/>
              <w:tr2bl w:val="nil"/>
            </w:tcBorders>
            <w:vAlign w:val="center"/>
          </w:tcPr>
          <w:p w14:paraId="2C82316A">
            <w:pPr>
              <w:widowControl/>
              <w:spacing w:line="300" w:lineRule="exact"/>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150</w:t>
            </w:r>
          </w:p>
        </w:tc>
        <w:tc>
          <w:tcPr>
            <w:tcW w:w="588" w:type="pct"/>
            <w:tcBorders>
              <w:tl2br w:val="nil"/>
              <w:tr2bl w:val="nil"/>
            </w:tcBorders>
            <w:vAlign w:val="center"/>
          </w:tcPr>
          <w:p w14:paraId="12AE4BDC">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60</w:t>
            </w:r>
          </w:p>
        </w:tc>
        <w:tc>
          <w:tcPr>
            <w:tcW w:w="588" w:type="pct"/>
            <w:tcBorders>
              <w:tl2br w:val="nil"/>
              <w:tr2bl w:val="nil"/>
            </w:tcBorders>
            <w:vAlign w:val="center"/>
          </w:tcPr>
          <w:p w14:paraId="24315CCF">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80</w:t>
            </w:r>
          </w:p>
        </w:tc>
        <w:tc>
          <w:tcPr>
            <w:tcW w:w="588" w:type="pct"/>
            <w:tcBorders>
              <w:tl2br w:val="nil"/>
              <w:tr2bl w:val="nil"/>
            </w:tcBorders>
            <w:vAlign w:val="center"/>
          </w:tcPr>
          <w:p w14:paraId="7772051E">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80</w:t>
            </w:r>
          </w:p>
        </w:tc>
        <w:tc>
          <w:tcPr>
            <w:tcW w:w="588" w:type="pct"/>
            <w:tcBorders>
              <w:tl2br w:val="nil"/>
              <w:tr2bl w:val="nil"/>
            </w:tcBorders>
            <w:vAlign w:val="center"/>
          </w:tcPr>
          <w:p w14:paraId="05B49919">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8</w:t>
            </w:r>
          </w:p>
        </w:tc>
        <w:tc>
          <w:tcPr>
            <w:tcW w:w="689" w:type="pct"/>
            <w:tcBorders>
              <w:tl2br w:val="nil"/>
              <w:tr2bl w:val="nil"/>
            </w:tcBorders>
            <w:vAlign w:val="center"/>
          </w:tcPr>
          <w:p w14:paraId="4405461B">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40000</w:t>
            </w:r>
          </w:p>
        </w:tc>
      </w:tr>
      <w:tr w14:paraId="2D42F0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pct"/>
            <w:gridSpan w:val="2"/>
            <w:tcBorders>
              <w:tl2br w:val="nil"/>
              <w:tr2bl w:val="nil"/>
            </w:tcBorders>
            <w:vAlign w:val="center"/>
          </w:tcPr>
          <w:p w14:paraId="0A861975">
            <w:pPr>
              <w:spacing w:line="300" w:lineRule="exact"/>
              <w:jc w:val="center"/>
              <w:rPr>
                <w:rFonts w:ascii="Times New Roman" w:hAnsi="Times New Roman" w:eastAsia="宋体" w:cs="Times New Roman"/>
                <w:sz w:val="21"/>
                <w:szCs w:val="21"/>
              </w:rPr>
            </w:pPr>
            <w:r>
              <w:rPr>
                <w:rFonts w:hint="eastAsia" w:ascii="Times New Roman" w:eastAsia="宋体" w:cs="Times New Roman"/>
                <w:sz w:val="21"/>
                <w:szCs w:val="21"/>
              </w:rPr>
              <w:t>污水站总效率</w:t>
            </w:r>
          </w:p>
        </w:tc>
        <w:tc>
          <w:tcPr>
            <w:tcW w:w="635" w:type="pct"/>
            <w:tcBorders>
              <w:tl2br w:val="nil"/>
              <w:tr2bl w:val="nil"/>
            </w:tcBorders>
            <w:vAlign w:val="center"/>
          </w:tcPr>
          <w:p w14:paraId="24D9B7BB">
            <w:pPr>
              <w:pStyle w:val="97"/>
              <w:spacing w:line="300" w:lineRule="exact"/>
              <w:rPr>
                <w:rFonts w:eastAsia="宋体"/>
                <w:b w:val="0"/>
                <w:sz w:val="21"/>
                <w:szCs w:val="21"/>
              </w:rPr>
            </w:pPr>
            <w:r>
              <w:rPr>
                <w:rFonts w:eastAsia="宋体"/>
                <w:b w:val="0"/>
                <w:sz w:val="21"/>
                <w:szCs w:val="21"/>
              </w:rPr>
              <w:t>去除率（%）</w:t>
            </w:r>
          </w:p>
        </w:tc>
        <w:tc>
          <w:tcPr>
            <w:tcW w:w="587" w:type="pct"/>
            <w:tcBorders>
              <w:tl2br w:val="nil"/>
              <w:tr2bl w:val="nil"/>
            </w:tcBorders>
            <w:vAlign w:val="center"/>
          </w:tcPr>
          <w:p w14:paraId="31229462">
            <w:pPr>
              <w:widowControl/>
              <w:spacing w:line="300" w:lineRule="exact"/>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83.4</w:t>
            </w:r>
          </w:p>
        </w:tc>
        <w:tc>
          <w:tcPr>
            <w:tcW w:w="588" w:type="pct"/>
            <w:tcBorders>
              <w:tl2br w:val="nil"/>
              <w:tr2bl w:val="nil"/>
            </w:tcBorders>
            <w:vAlign w:val="center"/>
          </w:tcPr>
          <w:p w14:paraId="2096853E">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88.3</w:t>
            </w:r>
          </w:p>
        </w:tc>
        <w:tc>
          <w:tcPr>
            <w:tcW w:w="588" w:type="pct"/>
            <w:tcBorders>
              <w:tl2br w:val="nil"/>
              <w:tr2bl w:val="nil"/>
            </w:tcBorders>
            <w:vAlign w:val="center"/>
          </w:tcPr>
          <w:p w14:paraId="39687320">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88.5</w:t>
            </w:r>
          </w:p>
        </w:tc>
        <w:tc>
          <w:tcPr>
            <w:tcW w:w="588" w:type="pct"/>
            <w:tcBorders>
              <w:tl2br w:val="nil"/>
              <w:tr2bl w:val="nil"/>
            </w:tcBorders>
            <w:vAlign w:val="center"/>
          </w:tcPr>
          <w:p w14:paraId="3C5FF0AC">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40.4</w:t>
            </w:r>
          </w:p>
        </w:tc>
        <w:tc>
          <w:tcPr>
            <w:tcW w:w="588" w:type="pct"/>
            <w:tcBorders>
              <w:tl2br w:val="nil"/>
              <w:tr2bl w:val="nil"/>
            </w:tcBorders>
            <w:vAlign w:val="center"/>
          </w:tcPr>
          <w:p w14:paraId="00B768F5">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69.7</w:t>
            </w:r>
          </w:p>
        </w:tc>
        <w:tc>
          <w:tcPr>
            <w:tcW w:w="689" w:type="pct"/>
            <w:tcBorders>
              <w:tl2br w:val="nil"/>
              <w:tr2bl w:val="nil"/>
            </w:tcBorders>
            <w:vAlign w:val="center"/>
          </w:tcPr>
          <w:p w14:paraId="5B074C6A">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hint="eastAsia" w:ascii="Times New Roman" w:hAnsi="Times New Roman" w:eastAsia="宋体" w:cs="Times New Roman"/>
                <w:color w:val="000000"/>
                <w:kern w:val="0"/>
                <w:sz w:val="21"/>
                <w:szCs w:val="21"/>
                <w:lang w:bidi="ar"/>
              </w:rPr>
              <w:t>99.9</w:t>
            </w:r>
          </w:p>
        </w:tc>
      </w:tr>
      <w:tr w14:paraId="4956EC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9" w:type="pct"/>
            <w:gridSpan w:val="3"/>
            <w:tcBorders>
              <w:tl2br w:val="nil"/>
              <w:tr2bl w:val="nil"/>
            </w:tcBorders>
            <w:vAlign w:val="center"/>
          </w:tcPr>
          <w:p w14:paraId="2D74FFC0">
            <w:pPr>
              <w:pStyle w:val="97"/>
              <w:spacing w:line="300" w:lineRule="exact"/>
              <w:rPr>
                <w:rFonts w:eastAsia="宋体"/>
                <w:b w:val="0"/>
                <w:sz w:val="21"/>
                <w:szCs w:val="21"/>
              </w:rPr>
            </w:pPr>
            <w:r>
              <w:rPr>
                <w:rFonts w:eastAsia="宋体"/>
                <w:b w:val="0"/>
                <w:sz w:val="21"/>
                <w:szCs w:val="21"/>
              </w:rPr>
              <w:t>出水标准</w:t>
            </w:r>
          </w:p>
        </w:tc>
        <w:tc>
          <w:tcPr>
            <w:tcW w:w="587" w:type="pct"/>
            <w:tcBorders>
              <w:tl2br w:val="nil"/>
              <w:tr2bl w:val="nil"/>
            </w:tcBorders>
            <w:vAlign w:val="center"/>
          </w:tcPr>
          <w:p w14:paraId="3E0599E6">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150</w:t>
            </w:r>
          </w:p>
        </w:tc>
        <w:tc>
          <w:tcPr>
            <w:tcW w:w="588" w:type="pct"/>
            <w:tcBorders>
              <w:tl2br w:val="nil"/>
              <w:tr2bl w:val="nil"/>
            </w:tcBorders>
            <w:vAlign w:val="center"/>
          </w:tcPr>
          <w:p w14:paraId="71881329">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60</w:t>
            </w:r>
          </w:p>
        </w:tc>
        <w:tc>
          <w:tcPr>
            <w:tcW w:w="588" w:type="pct"/>
            <w:tcBorders>
              <w:tl2br w:val="nil"/>
              <w:tr2bl w:val="nil"/>
            </w:tcBorders>
            <w:vAlign w:val="center"/>
          </w:tcPr>
          <w:p w14:paraId="36A2EF99">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80</w:t>
            </w:r>
          </w:p>
        </w:tc>
        <w:tc>
          <w:tcPr>
            <w:tcW w:w="588" w:type="pct"/>
            <w:tcBorders>
              <w:tl2br w:val="nil"/>
              <w:tr2bl w:val="nil"/>
            </w:tcBorders>
            <w:vAlign w:val="center"/>
          </w:tcPr>
          <w:p w14:paraId="64B548A9">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w:t>
            </w:r>
          </w:p>
        </w:tc>
        <w:tc>
          <w:tcPr>
            <w:tcW w:w="588" w:type="pct"/>
            <w:tcBorders>
              <w:tl2br w:val="nil"/>
              <w:tr2bl w:val="nil"/>
            </w:tcBorders>
            <w:vAlign w:val="center"/>
          </w:tcPr>
          <w:p w14:paraId="7A882737">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w:t>
            </w:r>
          </w:p>
        </w:tc>
        <w:tc>
          <w:tcPr>
            <w:tcW w:w="689" w:type="pct"/>
            <w:tcBorders>
              <w:tl2br w:val="nil"/>
              <w:tr2bl w:val="nil"/>
            </w:tcBorders>
            <w:vAlign w:val="center"/>
          </w:tcPr>
          <w:p w14:paraId="61416994">
            <w:pPr>
              <w:widowControl/>
              <w:spacing w:line="300" w:lineRule="exact"/>
              <w:jc w:val="center"/>
              <w:textAlignment w:val="center"/>
              <w:rPr>
                <w:rFonts w:ascii="Times New Roman" w:hAnsi="Times New Roman" w:eastAsia="宋体" w:cs="Times New Roman"/>
                <w:color w:val="000000"/>
                <w:kern w:val="0"/>
                <w:sz w:val="21"/>
                <w:szCs w:val="21"/>
                <w:lang w:bidi="ar"/>
              </w:rPr>
            </w:pPr>
            <w:r>
              <w:rPr>
                <w:rFonts w:ascii="Times New Roman" w:hAnsi="Times New Roman" w:eastAsia="宋体" w:cs="Times New Roman"/>
                <w:color w:val="000000"/>
                <w:kern w:val="0"/>
                <w:sz w:val="21"/>
                <w:szCs w:val="21"/>
                <w:lang w:bidi="ar"/>
              </w:rPr>
              <w:t>40000</w:t>
            </w:r>
          </w:p>
        </w:tc>
      </w:tr>
    </w:tbl>
    <w:p w14:paraId="60FED962">
      <w:pPr>
        <w:keepNext w:val="0"/>
        <w:keepLines w:val="0"/>
        <w:pageBreakBefore w:val="0"/>
        <w:kinsoku/>
        <w:wordWrap/>
        <w:overflowPunct/>
        <w:topLinePunct w:val="0"/>
        <w:autoSpaceDE/>
        <w:autoSpaceDN/>
        <w:bidi w:val="0"/>
        <w:adjustRightInd/>
        <w:snapToGrid/>
        <w:spacing w:line="470" w:lineRule="exact"/>
        <w:ind w:firstLine="480" w:firstLineChars="200"/>
        <w:textAlignment w:val="auto"/>
      </w:pPr>
      <w:r>
        <w:rPr>
          <w:rFonts w:hint="eastAsia"/>
        </w:rPr>
        <w:t>根据上表可知，</w:t>
      </w:r>
      <w:r>
        <w:rPr>
          <w:rFonts w:ascii="Times New Roman" w:hAnsi="Times New Roman" w:eastAsia="宋体" w:cs="Times New Roman"/>
          <w:color w:val="000000"/>
          <w:kern w:val="0"/>
          <w:szCs w:val="24"/>
          <w:lang w:bidi="ar"/>
        </w:rPr>
        <w:t>项目废水经污水处理站处理后</w:t>
      </w:r>
      <w:r>
        <w:rPr>
          <w:rFonts w:hint="eastAsia"/>
        </w:rPr>
        <w:t>，出水可达到《农田灌溉水质标准》（GB 5084-2021）</w:t>
      </w:r>
      <w:r>
        <w:rPr>
          <w:rFonts w:hint="eastAsia" w:ascii="Times New Roman" w:hAnsi="Times New Roman" w:eastAsia="宋体" w:cs="Times New Roman"/>
          <w:szCs w:val="24"/>
        </w:rPr>
        <w:t>表1</w:t>
      </w:r>
      <w:r>
        <w:rPr>
          <w:rFonts w:ascii="Times New Roman" w:hAnsi="Times New Roman" w:eastAsia="宋体" w:cs="Times New Roman"/>
          <w:szCs w:val="24"/>
        </w:rPr>
        <w:t>中</w:t>
      </w:r>
      <w:r>
        <w:rPr>
          <w:rFonts w:hint="eastAsia" w:ascii="Times New Roman" w:hAnsi="Times New Roman" w:eastAsia="宋体" w:cs="Times New Roman"/>
          <w:szCs w:val="24"/>
        </w:rPr>
        <w:t>“</w:t>
      </w:r>
      <w:r>
        <w:rPr>
          <w:rFonts w:ascii="Times New Roman" w:hAnsi="Times New Roman" w:eastAsia="宋体" w:cs="Times New Roman"/>
          <w:szCs w:val="24"/>
        </w:rPr>
        <w:t>水作标准</w:t>
      </w:r>
      <w:r>
        <w:rPr>
          <w:rFonts w:hint="eastAsia" w:ascii="Times New Roman" w:hAnsi="Times New Roman" w:eastAsia="宋体" w:cs="Times New Roman"/>
          <w:szCs w:val="24"/>
        </w:rPr>
        <w:t>”</w:t>
      </w:r>
      <w:r>
        <w:rPr>
          <w:rFonts w:hint="eastAsia"/>
        </w:rPr>
        <w:t>。</w:t>
      </w:r>
    </w:p>
    <w:p w14:paraId="252AE24F">
      <w:pPr>
        <w:keepNext w:val="0"/>
        <w:keepLines w:val="0"/>
        <w:pageBreakBefore w:val="0"/>
        <w:widowControl/>
        <w:kinsoku/>
        <w:wordWrap/>
        <w:overflowPunct/>
        <w:topLinePunct w:val="0"/>
        <w:autoSpaceDE/>
        <w:autoSpaceDN/>
        <w:bidi w:val="0"/>
        <w:adjustRightInd/>
        <w:snapToGrid/>
        <w:spacing w:line="470" w:lineRule="exact"/>
        <w:ind w:firstLine="482" w:firstLineChars="200"/>
        <w:jc w:val="left"/>
        <w:textAlignment w:val="auto"/>
        <w:outlineLvl w:val="1"/>
        <w:rPr>
          <w:rFonts w:ascii="Times New Roman" w:hAnsi="Times New Roman" w:eastAsia="宋体" w:cs="Times New Roman"/>
          <w:b/>
          <w:bCs/>
          <w:color w:val="000000"/>
          <w:kern w:val="0"/>
          <w:szCs w:val="24"/>
          <w:lang w:bidi="ar"/>
        </w:rPr>
      </w:pPr>
      <w:bookmarkStart w:id="141" w:name="_Toc10574"/>
      <w:bookmarkStart w:id="142" w:name="_Toc11627"/>
      <w:r>
        <w:rPr>
          <w:rFonts w:hint="eastAsia" w:ascii="Times New Roman" w:hAnsi="Times New Roman" w:eastAsia="宋体" w:cs="Times New Roman"/>
          <w:b/>
          <w:bCs/>
          <w:color w:val="000000"/>
          <w:kern w:val="0"/>
          <w:szCs w:val="24"/>
          <w:lang w:bidi="ar"/>
        </w:rPr>
        <w:t>（2）同类工程实例类比分析</w:t>
      </w:r>
      <w:bookmarkEnd w:id="141"/>
      <w:r>
        <w:rPr>
          <w:rFonts w:hint="eastAsia" w:ascii="Times New Roman" w:hAnsi="Times New Roman" w:eastAsia="宋体" w:cs="Times New Roman"/>
          <w:b/>
          <w:bCs/>
          <w:color w:val="000000"/>
          <w:kern w:val="0"/>
          <w:szCs w:val="24"/>
          <w:lang w:bidi="ar"/>
        </w:rPr>
        <w:t>：</w:t>
      </w:r>
      <w:bookmarkEnd w:id="142"/>
    </w:p>
    <w:p w14:paraId="04289EF8">
      <w:pPr>
        <w:keepNext w:val="0"/>
        <w:keepLines w:val="0"/>
        <w:pageBreakBefore w:val="0"/>
        <w:widowControl/>
        <w:kinsoku/>
        <w:wordWrap/>
        <w:overflowPunct/>
        <w:topLinePunct w:val="0"/>
        <w:autoSpaceDE/>
        <w:autoSpaceDN/>
        <w:bidi w:val="0"/>
        <w:adjustRightInd/>
        <w:snapToGrid/>
        <w:spacing w:line="470" w:lineRule="exact"/>
        <w:ind w:firstLine="480" w:firstLineChars="200"/>
        <w:jc w:val="left"/>
        <w:textAlignment w:val="auto"/>
        <w:outlineLvl w:val="0"/>
        <w:rPr>
          <w:rFonts w:ascii="Times New Roman" w:hAnsi="Times New Roman" w:eastAsia="宋体" w:cs="Times New Roman"/>
          <w:b/>
          <w:bCs/>
          <w:color w:val="000000" w:themeColor="text1"/>
          <w:kern w:val="0"/>
          <w:szCs w:val="24"/>
          <w:lang w:bidi="ar"/>
          <w14:textFill>
            <w14:solidFill>
              <w14:schemeClr w14:val="tx1"/>
            </w14:solidFill>
          </w14:textFill>
        </w:rPr>
      </w:pPr>
      <w:bookmarkStart w:id="143" w:name="_Toc17217"/>
      <w:bookmarkStart w:id="144" w:name="_Toc2166"/>
      <w:r>
        <w:rPr>
          <w:rFonts w:hint="eastAsia" w:ascii="Times New Roman" w:hAnsi="Times New Roman" w:eastAsia="宋体" w:cs="Times New Roman"/>
          <w:color w:val="000000"/>
          <w:kern w:val="0"/>
          <w:szCs w:val="24"/>
          <w:lang w:bidi="ar"/>
        </w:rPr>
        <w:t>类比《平邑县金举养殖场年出栏450万只肉鸡养殖项目（一期）竣工环境保护验收监测报告》，该项目养殖废水采用“格栅+调节池+厌氧池+好氧池+消毒”工艺处理后用于周围农田灌溉。山东国实检测技术有限公司于2021年2月21日~2021年2月22日对企业污水处理站出口进行了现场采样监测，类比项目</w:t>
      </w:r>
      <w:r>
        <w:rPr>
          <w:rFonts w:hint="eastAsia" w:ascii="Times New Roman" w:hAnsi="Times New Roman" w:eastAsia="宋体" w:cs="Times New Roman"/>
          <w:color w:val="000000" w:themeColor="text1"/>
          <w:kern w:val="0"/>
          <w:szCs w:val="24"/>
          <w:lang w:bidi="ar"/>
          <w14:textFill>
            <w14:solidFill>
              <w14:schemeClr w14:val="tx1"/>
            </w14:solidFill>
          </w14:textFill>
        </w:rPr>
        <w:t>废水检测数据见下表6.</w:t>
      </w:r>
      <w:bookmarkEnd w:id="143"/>
      <w:r>
        <w:rPr>
          <w:rFonts w:hint="eastAsia" w:ascii="Times New Roman" w:hAnsi="Times New Roman" w:eastAsia="宋体" w:cs="Times New Roman"/>
          <w:color w:val="000000" w:themeColor="text1"/>
          <w:kern w:val="0"/>
          <w:szCs w:val="24"/>
          <w:lang w:bidi="ar"/>
          <w14:textFill>
            <w14:solidFill>
              <w14:schemeClr w14:val="tx1"/>
            </w14:solidFill>
          </w14:textFill>
        </w:rPr>
        <w:t>2-</w:t>
      </w:r>
      <w:r>
        <w:rPr>
          <w:rFonts w:hint="eastAsia" w:ascii="Times New Roman" w:hAnsi="Times New Roman" w:eastAsia="宋体" w:cs="Times New Roman"/>
          <w:color w:val="000000" w:themeColor="text1"/>
          <w:kern w:val="0"/>
          <w:szCs w:val="24"/>
          <w:lang w:val="en-US" w:eastAsia="zh-CN" w:bidi="ar"/>
          <w14:textFill>
            <w14:solidFill>
              <w14:schemeClr w14:val="tx1"/>
            </w14:solidFill>
          </w14:textFill>
        </w:rPr>
        <w:t>6</w:t>
      </w:r>
      <w:r>
        <w:rPr>
          <w:rFonts w:hint="eastAsia" w:ascii="Times New Roman" w:hAnsi="Times New Roman" w:eastAsia="宋体" w:cs="Times New Roman"/>
          <w:color w:val="000000" w:themeColor="text1"/>
          <w:kern w:val="0"/>
          <w:szCs w:val="24"/>
          <w:lang w:bidi="ar"/>
          <w14:textFill>
            <w14:solidFill>
              <w14:schemeClr w14:val="tx1"/>
            </w14:solidFill>
          </w14:textFill>
        </w:rPr>
        <w:t>。</w:t>
      </w:r>
      <w:bookmarkEnd w:id="144"/>
    </w:p>
    <w:p w14:paraId="2C975C63">
      <w:pPr>
        <w:keepNext w:val="0"/>
        <w:keepLines w:val="0"/>
        <w:pageBreakBefore w:val="0"/>
        <w:widowControl/>
        <w:kinsoku/>
        <w:wordWrap/>
        <w:overflowPunct/>
        <w:topLinePunct w:val="0"/>
        <w:autoSpaceDE/>
        <w:autoSpaceDN/>
        <w:bidi w:val="0"/>
        <w:adjustRightInd/>
        <w:snapToGrid/>
        <w:spacing w:line="470" w:lineRule="exact"/>
        <w:jc w:val="center"/>
        <w:textAlignment w:val="auto"/>
        <w:outlineLvl w:val="0"/>
        <w:rPr>
          <w:rFonts w:ascii="Times New Roman" w:hAnsi="Times New Roman" w:eastAsia="宋体" w:cs="Times New Roman"/>
          <w:b/>
          <w:bCs/>
          <w:color w:val="000000" w:themeColor="text1"/>
          <w:kern w:val="0"/>
          <w:szCs w:val="24"/>
          <w:lang w:bidi="ar"/>
          <w14:textFill>
            <w14:solidFill>
              <w14:schemeClr w14:val="tx1"/>
            </w14:solidFill>
          </w14:textFill>
        </w:rPr>
      </w:pPr>
      <w:bookmarkStart w:id="145" w:name="_Toc28276"/>
      <w:bookmarkStart w:id="146" w:name="_Toc3025"/>
      <w:r>
        <w:rPr>
          <w:rFonts w:hint="eastAsia" w:ascii="Times New Roman" w:hAnsi="Times New Roman" w:eastAsia="宋体" w:cs="Times New Roman"/>
          <w:b/>
          <w:bCs/>
          <w:color w:val="000000" w:themeColor="text1"/>
          <w:kern w:val="0"/>
          <w:szCs w:val="24"/>
          <w:lang w:bidi="ar"/>
          <w14:textFill>
            <w14:solidFill>
              <w14:schemeClr w14:val="tx1"/>
            </w14:solidFill>
          </w14:textFill>
        </w:rPr>
        <w:t>表6.2-</w:t>
      </w:r>
      <w:r>
        <w:rPr>
          <w:rFonts w:hint="eastAsia" w:ascii="Times New Roman" w:hAnsi="Times New Roman" w:eastAsia="宋体" w:cs="Times New Roman"/>
          <w:b/>
          <w:bCs/>
          <w:color w:val="000000" w:themeColor="text1"/>
          <w:kern w:val="0"/>
          <w:szCs w:val="24"/>
          <w:lang w:val="en-US" w:eastAsia="zh-CN" w:bidi="ar"/>
          <w14:textFill>
            <w14:solidFill>
              <w14:schemeClr w14:val="tx1"/>
            </w14:solidFill>
          </w14:textFill>
        </w:rPr>
        <w:t>6</w:t>
      </w:r>
      <w:r>
        <w:rPr>
          <w:rFonts w:hint="eastAsia" w:ascii="Times New Roman" w:hAnsi="Times New Roman" w:eastAsia="宋体" w:cs="Times New Roman"/>
          <w:b/>
          <w:bCs/>
          <w:color w:val="000000" w:themeColor="text1"/>
          <w:kern w:val="0"/>
          <w:szCs w:val="24"/>
          <w:lang w:bidi="ar"/>
          <w14:textFill>
            <w14:solidFill>
              <w14:schemeClr w14:val="tx1"/>
            </w14:solidFill>
          </w14:textFill>
        </w:rPr>
        <w:t>类比项目废水监测结果表</w:t>
      </w:r>
      <w:bookmarkEnd w:id="145"/>
      <w:bookmarkEnd w:id="146"/>
    </w:p>
    <w:tbl>
      <w:tblPr>
        <w:tblStyle w:val="41"/>
        <w:tblW w:w="4997" w:type="pct"/>
        <w:jc w:val="center"/>
        <w:tblBorders>
          <w:top w:val="single" w:color="000000" w:sz="2" w:space="0"/>
          <w:left w:val="none" w:color="auto" w:sz="0" w:space="0"/>
          <w:bottom w:val="single" w:color="000000" w:sz="2" w:space="0"/>
          <w:right w:val="none" w:color="auto" w:sz="0" w:space="0"/>
          <w:insideH w:val="single" w:color="000000" w:sz="4" w:space="0"/>
          <w:insideV w:val="single" w:color="000000" w:sz="2" w:space="0"/>
        </w:tblBorders>
        <w:tblLayout w:type="autofit"/>
        <w:tblCellMar>
          <w:top w:w="0" w:type="dxa"/>
          <w:left w:w="0" w:type="dxa"/>
          <w:bottom w:w="0" w:type="dxa"/>
          <w:right w:w="0" w:type="dxa"/>
        </w:tblCellMar>
      </w:tblPr>
      <w:tblGrid>
        <w:gridCol w:w="1012"/>
        <w:gridCol w:w="1257"/>
        <w:gridCol w:w="1208"/>
        <w:gridCol w:w="1127"/>
        <w:gridCol w:w="900"/>
        <w:gridCol w:w="887"/>
        <w:gridCol w:w="1113"/>
        <w:gridCol w:w="1563"/>
      </w:tblGrid>
      <w:tr w14:paraId="18F3AECF">
        <w:tblPrEx>
          <w:tblBorders>
            <w:top w:val="single" w:color="000000" w:sz="2" w:space="0"/>
            <w:left w:val="none" w:color="auto" w:sz="0" w:space="0"/>
            <w:bottom w:val="single" w:color="000000" w:sz="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97" w:hRule="atLeast"/>
          <w:jc w:val="center"/>
        </w:trPr>
        <w:tc>
          <w:tcPr>
            <w:tcW w:w="558" w:type="pct"/>
            <w:tcBorders>
              <w:tl2br w:val="nil"/>
              <w:tr2bl w:val="nil"/>
            </w:tcBorders>
            <w:vAlign w:val="center"/>
          </w:tcPr>
          <w:p w14:paraId="02252E5C">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监测位置</w:t>
            </w:r>
          </w:p>
        </w:tc>
        <w:tc>
          <w:tcPr>
            <w:tcW w:w="693" w:type="pct"/>
            <w:tcBorders>
              <w:tl2br w:val="nil"/>
              <w:tr2bl w:val="nil"/>
            </w:tcBorders>
            <w:vAlign w:val="center"/>
          </w:tcPr>
          <w:p w14:paraId="384959DA">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检测日期</w:t>
            </w:r>
          </w:p>
        </w:tc>
        <w:tc>
          <w:tcPr>
            <w:tcW w:w="666" w:type="pct"/>
            <w:tcBorders>
              <w:tl2br w:val="nil"/>
              <w:tr2bl w:val="nil"/>
            </w:tcBorders>
            <w:vAlign w:val="center"/>
          </w:tcPr>
          <w:p w14:paraId="041DE0EF">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监测频次</w:t>
            </w:r>
          </w:p>
        </w:tc>
        <w:tc>
          <w:tcPr>
            <w:tcW w:w="621" w:type="pct"/>
            <w:tcBorders>
              <w:tl2br w:val="nil"/>
              <w:tr2bl w:val="nil"/>
            </w:tcBorders>
            <w:vAlign w:val="center"/>
          </w:tcPr>
          <w:p w14:paraId="542DC8A1">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COD</w:t>
            </w:r>
          </w:p>
          <w:p w14:paraId="3B65D86E">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（mg/L）</w:t>
            </w:r>
          </w:p>
        </w:tc>
        <w:tc>
          <w:tcPr>
            <w:tcW w:w="496" w:type="pct"/>
            <w:tcBorders>
              <w:tl2br w:val="nil"/>
              <w:tr2bl w:val="nil"/>
            </w:tcBorders>
            <w:vAlign w:val="center"/>
          </w:tcPr>
          <w:p w14:paraId="4CD2EB47">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SS</w:t>
            </w:r>
          </w:p>
          <w:p w14:paraId="2F566E2B">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（mg/L）</w:t>
            </w:r>
          </w:p>
        </w:tc>
        <w:tc>
          <w:tcPr>
            <w:tcW w:w="489" w:type="pct"/>
            <w:tcBorders>
              <w:tl2br w:val="nil"/>
              <w:tr2bl w:val="nil"/>
            </w:tcBorders>
            <w:vAlign w:val="center"/>
          </w:tcPr>
          <w:p w14:paraId="727A8018">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TP</w:t>
            </w:r>
          </w:p>
          <w:p w14:paraId="7F5C4BCF">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（mg/L）</w:t>
            </w:r>
          </w:p>
        </w:tc>
        <w:tc>
          <w:tcPr>
            <w:tcW w:w="613" w:type="pct"/>
            <w:tcBorders>
              <w:tl2br w:val="nil"/>
              <w:tr2bl w:val="nil"/>
            </w:tcBorders>
            <w:vAlign w:val="center"/>
          </w:tcPr>
          <w:p w14:paraId="79333F50">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vertAlign w:val="subscript"/>
              </w:rPr>
            </w:pPr>
            <w:r>
              <w:rPr>
                <w:rFonts w:ascii="Times New Roman" w:hAnsi="Times New Roman" w:eastAsia="宋体" w:cs="Times New Roman"/>
                <w:sz w:val="21"/>
                <w:szCs w:val="21"/>
              </w:rPr>
              <w:t>BOD</w:t>
            </w:r>
            <w:r>
              <w:rPr>
                <w:rFonts w:ascii="Times New Roman" w:hAnsi="Times New Roman" w:eastAsia="宋体" w:cs="Times New Roman"/>
                <w:sz w:val="21"/>
                <w:szCs w:val="21"/>
                <w:vertAlign w:val="subscript"/>
              </w:rPr>
              <w:t>5</w:t>
            </w:r>
          </w:p>
          <w:p w14:paraId="3F402570">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（mg/L）</w:t>
            </w:r>
          </w:p>
        </w:tc>
        <w:tc>
          <w:tcPr>
            <w:tcW w:w="861" w:type="pct"/>
            <w:tcBorders>
              <w:tl2br w:val="nil"/>
              <w:tr2bl w:val="nil"/>
            </w:tcBorders>
            <w:vAlign w:val="center"/>
          </w:tcPr>
          <w:p w14:paraId="4851C6C9">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粪大肠菌群</w:t>
            </w:r>
          </w:p>
          <w:p w14:paraId="224F98C6">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w:t>
            </w:r>
            <w:r>
              <w:rPr>
                <w:rFonts w:ascii="Times New Roman" w:hAnsi="Times New Roman" w:eastAsia="宋体" w:cs="Times New Roman"/>
                <w:color w:val="000000"/>
                <w:kern w:val="0"/>
                <w:sz w:val="21"/>
                <w:szCs w:val="21"/>
                <w:lang w:bidi="ar"/>
              </w:rPr>
              <w:t>MPN/L</w:t>
            </w:r>
            <w:r>
              <w:rPr>
                <w:rFonts w:ascii="Times New Roman" w:hAnsi="Times New Roman" w:eastAsia="宋体" w:cs="Times New Roman"/>
                <w:sz w:val="21"/>
                <w:szCs w:val="21"/>
              </w:rPr>
              <w:t>）</w:t>
            </w:r>
          </w:p>
        </w:tc>
      </w:tr>
      <w:tr w14:paraId="6FF80507">
        <w:tblPrEx>
          <w:tblBorders>
            <w:top w:val="single" w:color="000000" w:sz="2" w:space="0"/>
            <w:left w:val="none" w:color="auto" w:sz="0" w:space="0"/>
            <w:bottom w:val="single" w:color="000000" w:sz="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97" w:hRule="atLeast"/>
          <w:jc w:val="center"/>
        </w:trPr>
        <w:tc>
          <w:tcPr>
            <w:tcW w:w="558" w:type="pct"/>
            <w:vMerge w:val="restart"/>
            <w:tcBorders>
              <w:tl2br w:val="nil"/>
              <w:tr2bl w:val="nil"/>
            </w:tcBorders>
            <w:vAlign w:val="center"/>
          </w:tcPr>
          <w:p w14:paraId="686C568F">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污水处理站出口</w:t>
            </w:r>
          </w:p>
        </w:tc>
        <w:tc>
          <w:tcPr>
            <w:tcW w:w="693" w:type="pct"/>
            <w:vMerge w:val="restart"/>
            <w:tcBorders>
              <w:tl2br w:val="nil"/>
              <w:tr2bl w:val="nil"/>
            </w:tcBorders>
            <w:vAlign w:val="center"/>
          </w:tcPr>
          <w:p w14:paraId="4D1DDCBB">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2021.02.21</w:t>
            </w:r>
          </w:p>
        </w:tc>
        <w:tc>
          <w:tcPr>
            <w:tcW w:w="666" w:type="pct"/>
            <w:tcBorders>
              <w:tl2br w:val="nil"/>
              <w:tr2bl w:val="nil"/>
            </w:tcBorders>
            <w:vAlign w:val="center"/>
          </w:tcPr>
          <w:p w14:paraId="0ED81CF8">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第一次</w:t>
            </w:r>
          </w:p>
        </w:tc>
        <w:tc>
          <w:tcPr>
            <w:tcW w:w="621" w:type="pct"/>
            <w:tcBorders>
              <w:tl2br w:val="nil"/>
              <w:tr2bl w:val="nil"/>
            </w:tcBorders>
            <w:vAlign w:val="center"/>
          </w:tcPr>
          <w:p w14:paraId="4BE6D892">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117</w:t>
            </w:r>
          </w:p>
        </w:tc>
        <w:tc>
          <w:tcPr>
            <w:tcW w:w="496" w:type="pct"/>
            <w:tcBorders>
              <w:tl2br w:val="nil"/>
              <w:tr2bl w:val="nil"/>
            </w:tcBorders>
            <w:vAlign w:val="center"/>
          </w:tcPr>
          <w:p w14:paraId="08E85012">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21</w:t>
            </w:r>
          </w:p>
        </w:tc>
        <w:tc>
          <w:tcPr>
            <w:tcW w:w="489" w:type="pct"/>
            <w:tcBorders>
              <w:tl2br w:val="nil"/>
              <w:tr2bl w:val="nil"/>
            </w:tcBorders>
            <w:vAlign w:val="center"/>
          </w:tcPr>
          <w:p w14:paraId="2A8750A3">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0.521</w:t>
            </w:r>
          </w:p>
        </w:tc>
        <w:tc>
          <w:tcPr>
            <w:tcW w:w="613" w:type="pct"/>
            <w:tcBorders>
              <w:tl2br w:val="nil"/>
              <w:tr2bl w:val="nil"/>
            </w:tcBorders>
            <w:vAlign w:val="center"/>
          </w:tcPr>
          <w:p w14:paraId="41911FA3">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41</w:t>
            </w:r>
          </w:p>
        </w:tc>
        <w:tc>
          <w:tcPr>
            <w:tcW w:w="861" w:type="pct"/>
            <w:tcBorders>
              <w:tl2br w:val="nil"/>
              <w:tr2bl w:val="nil"/>
            </w:tcBorders>
            <w:vAlign w:val="center"/>
          </w:tcPr>
          <w:p w14:paraId="5BAB5D9D">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1375</w:t>
            </w:r>
          </w:p>
        </w:tc>
      </w:tr>
      <w:tr w14:paraId="09D8AE34">
        <w:tblPrEx>
          <w:tblBorders>
            <w:top w:val="single" w:color="000000" w:sz="2" w:space="0"/>
            <w:left w:val="none" w:color="auto" w:sz="0" w:space="0"/>
            <w:bottom w:val="single" w:color="000000" w:sz="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97" w:hRule="atLeast"/>
          <w:jc w:val="center"/>
        </w:trPr>
        <w:tc>
          <w:tcPr>
            <w:tcW w:w="558" w:type="pct"/>
            <w:vMerge w:val="continue"/>
            <w:tcBorders>
              <w:tl2br w:val="nil"/>
              <w:tr2bl w:val="nil"/>
            </w:tcBorders>
            <w:vAlign w:val="center"/>
          </w:tcPr>
          <w:p w14:paraId="73CB52F0">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p>
        </w:tc>
        <w:tc>
          <w:tcPr>
            <w:tcW w:w="693" w:type="pct"/>
            <w:vMerge w:val="continue"/>
            <w:tcBorders>
              <w:tl2br w:val="nil"/>
              <w:tr2bl w:val="nil"/>
            </w:tcBorders>
            <w:vAlign w:val="center"/>
          </w:tcPr>
          <w:p w14:paraId="75B91ED4">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p>
        </w:tc>
        <w:tc>
          <w:tcPr>
            <w:tcW w:w="666" w:type="pct"/>
            <w:tcBorders>
              <w:tl2br w:val="nil"/>
              <w:tr2bl w:val="nil"/>
            </w:tcBorders>
            <w:vAlign w:val="center"/>
          </w:tcPr>
          <w:p w14:paraId="3D38532C">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第二次</w:t>
            </w:r>
          </w:p>
        </w:tc>
        <w:tc>
          <w:tcPr>
            <w:tcW w:w="621" w:type="pct"/>
            <w:tcBorders>
              <w:tl2br w:val="nil"/>
              <w:tr2bl w:val="nil"/>
            </w:tcBorders>
            <w:vAlign w:val="center"/>
          </w:tcPr>
          <w:p w14:paraId="771E7594">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124</w:t>
            </w:r>
          </w:p>
        </w:tc>
        <w:tc>
          <w:tcPr>
            <w:tcW w:w="496" w:type="pct"/>
            <w:tcBorders>
              <w:tl2br w:val="nil"/>
              <w:tr2bl w:val="nil"/>
            </w:tcBorders>
            <w:vAlign w:val="center"/>
          </w:tcPr>
          <w:p w14:paraId="3A38D97F">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29</w:t>
            </w:r>
          </w:p>
        </w:tc>
        <w:tc>
          <w:tcPr>
            <w:tcW w:w="489" w:type="pct"/>
            <w:tcBorders>
              <w:tl2br w:val="nil"/>
              <w:tr2bl w:val="nil"/>
            </w:tcBorders>
            <w:vAlign w:val="center"/>
          </w:tcPr>
          <w:p w14:paraId="5702C788">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0.485</w:t>
            </w:r>
          </w:p>
        </w:tc>
        <w:tc>
          <w:tcPr>
            <w:tcW w:w="613" w:type="pct"/>
            <w:tcBorders>
              <w:tl2br w:val="nil"/>
              <w:tr2bl w:val="nil"/>
            </w:tcBorders>
            <w:vAlign w:val="center"/>
          </w:tcPr>
          <w:p w14:paraId="2DADA51F">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42</w:t>
            </w:r>
          </w:p>
        </w:tc>
        <w:tc>
          <w:tcPr>
            <w:tcW w:w="861" w:type="pct"/>
            <w:tcBorders>
              <w:tl2br w:val="nil"/>
              <w:tr2bl w:val="nil"/>
            </w:tcBorders>
            <w:vAlign w:val="center"/>
          </w:tcPr>
          <w:p w14:paraId="0B96B2A4">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1441</w:t>
            </w:r>
          </w:p>
        </w:tc>
      </w:tr>
      <w:tr w14:paraId="0BDEF9BF">
        <w:tblPrEx>
          <w:tblBorders>
            <w:top w:val="single" w:color="000000" w:sz="2" w:space="0"/>
            <w:left w:val="none" w:color="auto" w:sz="0" w:space="0"/>
            <w:bottom w:val="single" w:color="000000" w:sz="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97" w:hRule="atLeast"/>
          <w:jc w:val="center"/>
        </w:trPr>
        <w:tc>
          <w:tcPr>
            <w:tcW w:w="558" w:type="pct"/>
            <w:vMerge w:val="continue"/>
            <w:tcBorders>
              <w:tl2br w:val="nil"/>
              <w:tr2bl w:val="nil"/>
            </w:tcBorders>
            <w:vAlign w:val="center"/>
          </w:tcPr>
          <w:p w14:paraId="0BE44E37">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p>
        </w:tc>
        <w:tc>
          <w:tcPr>
            <w:tcW w:w="693" w:type="pct"/>
            <w:vMerge w:val="continue"/>
            <w:tcBorders>
              <w:tl2br w:val="nil"/>
              <w:tr2bl w:val="nil"/>
            </w:tcBorders>
            <w:vAlign w:val="center"/>
          </w:tcPr>
          <w:p w14:paraId="25ECE101">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p>
        </w:tc>
        <w:tc>
          <w:tcPr>
            <w:tcW w:w="666" w:type="pct"/>
            <w:tcBorders>
              <w:tl2br w:val="nil"/>
              <w:tr2bl w:val="nil"/>
            </w:tcBorders>
            <w:vAlign w:val="center"/>
          </w:tcPr>
          <w:p w14:paraId="13938DB6">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第三次</w:t>
            </w:r>
          </w:p>
        </w:tc>
        <w:tc>
          <w:tcPr>
            <w:tcW w:w="621" w:type="pct"/>
            <w:tcBorders>
              <w:tl2br w:val="nil"/>
              <w:tr2bl w:val="nil"/>
            </w:tcBorders>
            <w:vAlign w:val="center"/>
          </w:tcPr>
          <w:p w14:paraId="33EB78B4">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121</w:t>
            </w:r>
          </w:p>
        </w:tc>
        <w:tc>
          <w:tcPr>
            <w:tcW w:w="496" w:type="pct"/>
            <w:tcBorders>
              <w:tl2br w:val="nil"/>
              <w:tr2bl w:val="nil"/>
            </w:tcBorders>
            <w:vAlign w:val="center"/>
          </w:tcPr>
          <w:p w14:paraId="6E4F77C6">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31</w:t>
            </w:r>
          </w:p>
        </w:tc>
        <w:tc>
          <w:tcPr>
            <w:tcW w:w="489" w:type="pct"/>
            <w:tcBorders>
              <w:tl2br w:val="nil"/>
              <w:tr2bl w:val="nil"/>
            </w:tcBorders>
            <w:vAlign w:val="center"/>
          </w:tcPr>
          <w:p w14:paraId="47C922BD">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0.501</w:t>
            </w:r>
          </w:p>
        </w:tc>
        <w:tc>
          <w:tcPr>
            <w:tcW w:w="613" w:type="pct"/>
            <w:tcBorders>
              <w:tl2br w:val="nil"/>
              <w:tr2bl w:val="nil"/>
            </w:tcBorders>
            <w:vAlign w:val="center"/>
          </w:tcPr>
          <w:p w14:paraId="47A48BFA">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49</w:t>
            </w:r>
          </w:p>
        </w:tc>
        <w:tc>
          <w:tcPr>
            <w:tcW w:w="861" w:type="pct"/>
            <w:tcBorders>
              <w:tl2br w:val="nil"/>
              <w:tr2bl w:val="nil"/>
            </w:tcBorders>
            <w:vAlign w:val="center"/>
          </w:tcPr>
          <w:p w14:paraId="274CC6CE">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982</w:t>
            </w:r>
          </w:p>
        </w:tc>
      </w:tr>
      <w:tr w14:paraId="4F090ADD">
        <w:tblPrEx>
          <w:tblBorders>
            <w:top w:val="single" w:color="000000" w:sz="2" w:space="0"/>
            <w:left w:val="none" w:color="auto" w:sz="0" w:space="0"/>
            <w:bottom w:val="single" w:color="000000" w:sz="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97" w:hRule="atLeast"/>
          <w:jc w:val="center"/>
        </w:trPr>
        <w:tc>
          <w:tcPr>
            <w:tcW w:w="558" w:type="pct"/>
            <w:vMerge w:val="continue"/>
            <w:tcBorders>
              <w:tl2br w:val="nil"/>
              <w:tr2bl w:val="nil"/>
            </w:tcBorders>
            <w:vAlign w:val="center"/>
          </w:tcPr>
          <w:p w14:paraId="5A306D12">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p>
        </w:tc>
        <w:tc>
          <w:tcPr>
            <w:tcW w:w="693" w:type="pct"/>
            <w:vMerge w:val="continue"/>
            <w:tcBorders>
              <w:tl2br w:val="nil"/>
              <w:tr2bl w:val="nil"/>
            </w:tcBorders>
            <w:vAlign w:val="center"/>
          </w:tcPr>
          <w:p w14:paraId="0BCF3E4A">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p>
        </w:tc>
        <w:tc>
          <w:tcPr>
            <w:tcW w:w="666" w:type="pct"/>
            <w:tcBorders>
              <w:tl2br w:val="nil"/>
              <w:tr2bl w:val="nil"/>
            </w:tcBorders>
            <w:vAlign w:val="center"/>
          </w:tcPr>
          <w:p w14:paraId="540EC892">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第四次</w:t>
            </w:r>
          </w:p>
        </w:tc>
        <w:tc>
          <w:tcPr>
            <w:tcW w:w="621" w:type="pct"/>
            <w:tcBorders>
              <w:tl2br w:val="nil"/>
              <w:tr2bl w:val="nil"/>
            </w:tcBorders>
            <w:vAlign w:val="center"/>
          </w:tcPr>
          <w:p w14:paraId="37878209">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119</w:t>
            </w:r>
          </w:p>
        </w:tc>
        <w:tc>
          <w:tcPr>
            <w:tcW w:w="496" w:type="pct"/>
            <w:tcBorders>
              <w:tl2br w:val="nil"/>
              <w:tr2bl w:val="nil"/>
            </w:tcBorders>
            <w:vAlign w:val="center"/>
          </w:tcPr>
          <w:p w14:paraId="1B4F586D">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29</w:t>
            </w:r>
          </w:p>
        </w:tc>
        <w:tc>
          <w:tcPr>
            <w:tcW w:w="489" w:type="pct"/>
            <w:tcBorders>
              <w:tl2br w:val="nil"/>
              <w:tr2bl w:val="nil"/>
            </w:tcBorders>
            <w:vAlign w:val="center"/>
          </w:tcPr>
          <w:p w14:paraId="264C26A8">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0.479</w:t>
            </w:r>
          </w:p>
        </w:tc>
        <w:tc>
          <w:tcPr>
            <w:tcW w:w="613" w:type="pct"/>
            <w:tcBorders>
              <w:tl2br w:val="nil"/>
              <w:tr2bl w:val="nil"/>
            </w:tcBorders>
            <w:vAlign w:val="center"/>
          </w:tcPr>
          <w:p w14:paraId="25717470">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44</w:t>
            </w:r>
          </w:p>
        </w:tc>
        <w:tc>
          <w:tcPr>
            <w:tcW w:w="861" w:type="pct"/>
            <w:tcBorders>
              <w:tl2br w:val="nil"/>
              <w:tr2bl w:val="nil"/>
            </w:tcBorders>
            <w:vAlign w:val="center"/>
          </w:tcPr>
          <w:p w14:paraId="6FC25BCB">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1058</w:t>
            </w:r>
          </w:p>
        </w:tc>
      </w:tr>
      <w:tr w14:paraId="4B96671B">
        <w:tblPrEx>
          <w:tblBorders>
            <w:top w:val="single" w:color="000000" w:sz="2" w:space="0"/>
            <w:left w:val="none" w:color="auto" w:sz="0" w:space="0"/>
            <w:bottom w:val="single" w:color="000000" w:sz="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97" w:hRule="atLeast"/>
          <w:jc w:val="center"/>
        </w:trPr>
        <w:tc>
          <w:tcPr>
            <w:tcW w:w="558" w:type="pct"/>
            <w:vMerge w:val="continue"/>
            <w:tcBorders>
              <w:tl2br w:val="nil"/>
              <w:tr2bl w:val="nil"/>
            </w:tcBorders>
            <w:vAlign w:val="center"/>
          </w:tcPr>
          <w:p w14:paraId="1D9238F5">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p>
        </w:tc>
        <w:tc>
          <w:tcPr>
            <w:tcW w:w="693" w:type="pct"/>
            <w:vMerge w:val="continue"/>
            <w:tcBorders>
              <w:tl2br w:val="nil"/>
              <w:tr2bl w:val="nil"/>
            </w:tcBorders>
            <w:vAlign w:val="center"/>
          </w:tcPr>
          <w:p w14:paraId="2AE7C87C">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p>
        </w:tc>
        <w:tc>
          <w:tcPr>
            <w:tcW w:w="666" w:type="pct"/>
            <w:tcBorders>
              <w:tl2br w:val="nil"/>
              <w:tr2bl w:val="nil"/>
            </w:tcBorders>
            <w:vAlign w:val="center"/>
          </w:tcPr>
          <w:p w14:paraId="4966A60C">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均值</w:t>
            </w:r>
          </w:p>
        </w:tc>
        <w:tc>
          <w:tcPr>
            <w:tcW w:w="621" w:type="pct"/>
            <w:tcBorders>
              <w:tl2br w:val="nil"/>
              <w:tr2bl w:val="nil"/>
            </w:tcBorders>
            <w:vAlign w:val="center"/>
          </w:tcPr>
          <w:p w14:paraId="2403E524">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120</w:t>
            </w:r>
          </w:p>
        </w:tc>
        <w:tc>
          <w:tcPr>
            <w:tcW w:w="496" w:type="pct"/>
            <w:tcBorders>
              <w:tl2br w:val="nil"/>
              <w:tr2bl w:val="nil"/>
            </w:tcBorders>
            <w:vAlign w:val="center"/>
          </w:tcPr>
          <w:p w14:paraId="77D1A240">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28</w:t>
            </w:r>
          </w:p>
        </w:tc>
        <w:tc>
          <w:tcPr>
            <w:tcW w:w="489" w:type="pct"/>
            <w:tcBorders>
              <w:tl2br w:val="nil"/>
              <w:tr2bl w:val="nil"/>
            </w:tcBorders>
            <w:vAlign w:val="center"/>
          </w:tcPr>
          <w:p w14:paraId="3ACF79C6">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0.497</w:t>
            </w:r>
          </w:p>
        </w:tc>
        <w:tc>
          <w:tcPr>
            <w:tcW w:w="613" w:type="pct"/>
            <w:tcBorders>
              <w:tl2br w:val="nil"/>
              <w:tr2bl w:val="nil"/>
            </w:tcBorders>
            <w:vAlign w:val="center"/>
          </w:tcPr>
          <w:p w14:paraId="686E830A">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44</w:t>
            </w:r>
          </w:p>
        </w:tc>
        <w:tc>
          <w:tcPr>
            <w:tcW w:w="861" w:type="pct"/>
            <w:tcBorders>
              <w:tl2br w:val="nil"/>
              <w:tr2bl w:val="nil"/>
            </w:tcBorders>
            <w:vAlign w:val="center"/>
          </w:tcPr>
          <w:p w14:paraId="0F10161C">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1214</w:t>
            </w:r>
          </w:p>
        </w:tc>
      </w:tr>
      <w:tr w14:paraId="229A0423">
        <w:tblPrEx>
          <w:tblBorders>
            <w:top w:val="single" w:color="000000" w:sz="2" w:space="0"/>
            <w:left w:val="none" w:color="auto" w:sz="0" w:space="0"/>
            <w:bottom w:val="single" w:color="000000" w:sz="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97" w:hRule="atLeast"/>
          <w:jc w:val="center"/>
        </w:trPr>
        <w:tc>
          <w:tcPr>
            <w:tcW w:w="558" w:type="pct"/>
            <w:vMerge w:val="continue"/>
            <w:tcBorders>
              <w:tl2br w:val="nil"/>
              <w:tr2bl w:val="nil"/>
            </w:tcBorders>
            <w:vAlign w:val="center"/>
          </w:tcPr>
          <w:p w14:paraId="75625D02">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p>
        </w:tc>
        <w:tc>
          <w:tcPr>
            <w:tcW w:w="1359" w:type="pct"/>
            <w:gridSpan w:val="2"/>
            <w:tcBorders>
              <w:tl2br w:val="nil"/>
              <w:tr2bl w:val="nil"/>
            </w:tcBorders>
            <w:vAlign w:val="center"/>
          </w:tcPr>
          <w:p w14:paraId="0A9587EA">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执行标准</w:t>
            </w:r>
          </w:p>
        </w:tc>
        <w:tc>
          <w:tcPr>
            <w:tcW w:w="621" w:type="pct"/>
            <w:tcBorders>
              <w:tl2br w:val="nil"/>
              <w:tr2bl w:val="nil"/>
            </w:tcBorders>
            <w:vAlign w:val="center"/>
          </w:tcPr>
          <w:p w14:paraId="7FF008B1">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150</w:t>
            </w:r>
          </w:p>
        </w:tc>
        <w:tc>
          <w:tcPr>
            <w:tcW w:w="496" w:type="pct"/>
            <w:tcBorders>
              <w:tl2br w:val="nil"/>
              <w:tr2bl w:val="nil"/>
            </w:tcBorders>
            <w:vAlign w:val="center"/>
          </w:tcPr>
          <w:p w14:paraId="10C70598">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80</w:t>
            </w:r>
          </w:p>
        </w:tc>
        <w:tc>
          <w:tcPr>
            <w:tcW w:w="489" w:type="pct"/>
            <w:tcBorders>
              <w:tl2br w:val="nil"/>
              <w:tr2bl w:val="nil"/>
            </w:tcBorders>
            <w:vAlign w:val="center"/>
          </w:tcPr>
          <w:p w14:paraId="26C4148A">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613" w:type="pct"/>
            <w:tcBorders>
              <w:tl2br w:val="nil"/>
              <w:tr2bl w:val="nil"/>
            </w:tcBorders>
            <w:vAlign w:val="center"/>
          </w:tcPr>
          <w:p w14:paraId="26C461FA">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60</w:t>
            </w:r>
          </w:p>
        </w:tc>
        <w:tc>
          <w:tcPr>
            <w:tcW w:w="861" w:type="pct"/>
            <w:tcBorders>
              <w:tl2br w:val="nil"/>
              <w:tr2bl w:val="nil"/>
            </w:tcBorders>
            <w:vAlign w:val="center"/>
          </w:tcPr>
          <w:p w14:paraId="02F67C63">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40000</w:t>
            </w:r>
          </w:p>
        </w:tc>
      </w:tr>
      <w:tr w14:paraId="5401E387">
        <w:tblPrEx>
          <w:tblBorders>
            <w:top w:val="single" w:color="000000" w:sz="2" w:space="0"/>
            <w:left w:val="none" w:color="auto" w:sz="0" w:space="0"/>
            <w:bottom w:val="single" w:color="000000" w:sz="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97" w:hRule="atLeast"/>
          <w:jc w:val="center"/>
        </w:trPr>
        <w:tc>
          <w:tcPr>
            <w:tcW w:w="558" w:type="pct"/>
            <w:vMerge w:val="continue"/>
            <w:tcBorders>
              <w:tl2br w:val="nil"/>
              <w:tr2bl w:val="nil"/>
            </w:tcBorders>
            <w:vAlign w:val="center"/>
          </w:tcPr>
          <w:p w14:paraId="29DBB263">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p>
        </w:tc>
        <w:tc>
          <w:tcPr>
            <w:tcW w:w="1359" w:type="pct"/>
            <w:gridSpan w:val="2"/>
            <w:tcBorders>
              <w:tl2br w:val="nil"/>
              <w:tr2bl w:val="nil"/>
            </w:tcBorders>
            <w:vAlign w:val="center"/>
          </w:tcPr>
          <w:p w14:paraId="63EBAF02">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达标情况</w:t>
            </w:r>
          </w:p>
        </w:tc>
        <w:tc>
          <w:tcPr>
            <w:tcW w:w="621" w:type="pct"/>
            <w:tcBorders>
              <w:tl2br w:val="nil"/>
              <w:tr2bl w:val="nil"/>
            </w:tcBorders>
            <w:vAlign w:val="center"/>
          </w:tcPr>
          <w:p w14:paraId="4589AE18">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达标</w:t>
            </w:r>
          </w:p>
        </w:tc>
        <w:tc>
          <w:tcPr>
            <w:tcW w:w="496" w:type="pct"/>
            <w:tcBorders>
              <w:tl2br w:val="nil"/>
              <w:tr2bl w:val="nil"/>
            </w:tcBorders>
            <w:vAlign w:val="center"/>
          </w:tcPr>
          <w:p w14:paraId="17C7D0A7">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达标</w:t>
            </w:r>
          </w:p>
        </w:tc>
        <w:tc>
          <w:tcPr>
            <w:tcW w:w="489" w:type="pct"/>
            <w:tcBorders>
              <w:tl2br w:val="nil"/>
              <w:tr2bl w:val="nil"/>
            </w:tcBorders>
            <w:vAlign w:val="center"/>
          </w:tcPr>
          <w:p w14:paraId="2AB89B29">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达标</w:t>
            </w:r>
          </w:p>
        </w:tc>
        <w:tc>
          <w:tcPr>
            <w:tcW w:w="613" w:type="pct"/>
            <w:tcBorders>
              <w:tl2br w:val="nil"/>
              <w:tr2bl w:val="nil"/>
            </w:tcBorders>
            <w:vAlign w:val="center"/>
          </w:tcPr>
          <w:p w14:paraId="3620F00F">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达标</w:t>
            </w:r>
          </w:p>
        </w:tc>
        <w:tc>
          <w:tcPr>
            <w:tcW w:w="861" w:type="pct"/>
            <w:tcBorders>
              <w:tl2br w:val="nil"/>
              <w:tr2bl w:val="nil"/>
            </w:tcBorders>
            <w:vAlign w:val="center"/>
          </w:tcPr>
          <w:p w14:paraId="65821D56">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达标</w:t>
            </w:r>
          </w:p>
        </w:tc>
      </w:tr>
      <w:tr w14:paraId="01B1F2C1">
        <w:tblPrEx>
          <w:tblBorders>
            <w:top w:val="single" w:color="000000" w:sz="2" w:space="0"/>
            <w:left w:val="none" w:color="auto" w:sz="0" w:space="0"/>
            <w:bottom w:val="single" w:color="000000" w:sz="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97" w:hRule="atLeast"/>
          <w:jc w:val="center"/>
        </w:trPr>
        <w:tc>
          <w:tcPr>
            <w:tcW w:w="558" w:type="pct"/>
            <w:vMerge w:val="continue"/>
            <w:tcBorders>
              <w:tl2br w:val="nil"/>
              <w:tr2bl w:val="nil"/>
            </w:tcBorders>
            <w:vAlign w:val="center"/>
          </w:tcPr>
          <w:p w14:paraId="14B2F61F">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p>
        </w:tc>
        <w:tc>
          <w:tcPr>
            <w:tcW w:w="693" w:type="pct"/>
            <w:vMerge w:val="restart"/>
            <w:tcBorders>
              <w:tl2br w:val="nil"/>
              <w:tr2bl w:val="nil"/>
            </w:tcBorders>
            <w:vAlign w:val="center"/>
          </w:tcPr>
          <w:p w14:paraId="64E11D28">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2021.02.22</w:t>
            </w:r>
          </w:p>
        </w:tc>
        <w:tc>
          <w:tcPr>
            <w:tcW w:w="666" w:type="pct"/>
            <w:tcBorders>
              <w:tl2br w:val="nil"/>
              <w:tr2bl w:val="nil"/>
            </w:tcBorders>
            <w:vAlign w:val="center"/>
          </w:tcPr>
          <w:p w14:paraId="6F16A87E">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第一次</w:t>
            </w:r>
          </w:p>
        </w:tc>
        <w:tc>
          <w:tcPr>
            <w:tcW w:w="621" w:type="pct"/>
            <w:tcBorders>
              <w:tl2br w:val="nil"/>
              <w:tr2bl w:val="nil"/>
            </w:tcBorders>
            <w:vAlign w:val="center"/>
          </w:tcPr>
          <w:p w14:paraId="00B8EB4E">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108</w:t>
            </w:r>
          </w:p>
        </w:tc>
        <w:tc>
          <w:tcPr>
            <w:tcW w:w="496" w:type="pct"/>
            <w:tcBorders>
              <w:tl2br w:val="nil"/>
              <w:tr2bl w:val="nil"/>
            </w:tcBorders>
            <w:vAlign w:val="center"/>
          </w:tcPr>
          <w:p w14:paraId="77399FF5">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36</w:t>
            </w:r>
          </w:p>
        </w:tc>
        <w:tc>
          <w:tcPr>
            <w:tcW w:w="489" w:type="pct"/>
            <w:tcBorders>
              <w:tl2br w:val="nil"/>
              <w:tr2bl w:val="nil"/>
            </w:tcBorders>
            <w:vAlign w:val="center"/>
          </w:tcPr>
          <w:p w14:paraId="3E9E30DB">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0.436</w:t>
            </w:r>
          </w:p>
        </w:tc>
        <w:tc>
          <w:tcPr>
            <w:tcW w:w="613" w:type="pct"/>
            <w:tcBorders>
              <w:tl2br w:val="nil"/>
              <w:tr2bl w:val="nil"/>
            </w:tcBorders>
            <w:vAlign w:val="center"/>
          </w:tcPr>
          <w:p w14:paraId="07C7875E">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36</w:t>
            </w:r>
          </w:p>
        </w:tc>
        <w:tc>
          <w:tcPr>
            <w:tcW w:w="861" w:type="pct"/>
            <w:tcBorders>
              <w:tl2br w:val="nil"/>
              <w:tr2bl w:val="nil"/>
            </w:tcBorders>
            <w:vAlign w:val="center"/>
          </w:tcPr>
          <w:p w14:paraId="26A8E26A">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1292</w:t>
            </w:r>
          </w:p>
        </w:tc>
      </w:tr>
      <w:tr w14:paraId="370A10E8">
        <w:tblPrEx>
          <w:tblBorders>
            <w:top w:val="single" w:color="000000" w:sz="2" w:space="0"/>
            <w:left w:val="none" w:color="auto" w:sz="0" w:space="0"/>
            <w:bottom w:val="single" w:color="000000" w:sz="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97" w:hRule="atLeast"/>
          <w:jc w:val="center"/>
        </w:trPr>
        <w:tc>
          <w:tcPr>
            <w:tcW w:w="558" w:type="pct"/>
            <w:vMerge w:val="continue"/>
            <w:tcBorders>
              <w:tl2br w:val="nil"/>
              <w:tr2bl w:val="nil"/>
            </w:tcBorders>
            <w:vAlign w:val="center"/>
          </w:tcPr>
          <w:p w14:paraId="377BFEB2">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p>
        </w:tc>
        <w:tc>
          <w:tcPr>
            <w:tcW w:w="693" w:type="pct"/>
            <w:vMerge w:val="continue"/>
            <w:tcBorders>
              <w:tl2br w:val="nil"/>
              <w:tr2bl w:val="nil"/>
            </w:tcBorders>
            <w:vAlign w:val="center"/>
          </w:tcPr>
          <w:p w14:paraId="00A4E6C8">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p>
        </w:tc>
        <w:tc>
          <w:tcPr>
            <w:tcW w:w="666" w:type="pct"/>
            <w:tcBorders>
              <w:tl2br w:val="nil"/>
              <w:tr2bl w:val="nil"/>
            </w:tcBorders>
            <w:vAlign w:val="center"/>
          </w:tcPr>
          <w:p w14:paraId="24395D5F">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第二次</w:t>
            </w:r>
          </w:p>
        </w:tc>
        <w:tc>
          <w:tcPr>
            <w:tcW w:w="621" w:type="pct"/>
            <w:tcBorders>
              <w:tl2br w:val="nil"/>
              <w:tr2bl w:val="nil"/>
            </w:tcBorders>
            <w:vAlign w:val="center"/>
          </w:tcPr>
          <w:p w14:paraId="014B983C">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116</w:t>
            </w:r>
          </w:p>
        </w:tc>
        <w:tc>
          <w:tcPr>
            <w:tcW w:w="496" w:type="pct"/>
            <w:tcBorders>
              <w:tl2br w:val="nil"/>
              <w:tr2bl w:val="nil"/>
            </w:tcBorders>
            <w:vAlign w:val="center"/>
          </w:tcPr>
          <w:p w14:paraId="7909865F">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38</w:t>
            </w:r>
          </w:p>
        </w:tc>
        <w:tc>
          <w:tcPr>
            <w:tcW w:w="489" w:type="pct"/>
            <w:tcBorders>
              <w:tl2br w:val="nil"/>
              <w:tr2bl w:val="nil"/>
            </w:tcBorders>
            <w:vAlign w:val="center"/>
          </w:tcPr>
          <w:p w14:paraId="03A04715">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0.482</w:t>
            </w:r>
          </w:p>
        </w:tc>
        <w:tc>
          <w:tcPr>
            <w:tcW w:w="613" w:type="pct"/>
            <w:tcBorders>
              <w:tl2br w:val="nil"/>
              <w:tr2bl w:val="nil"/>
            </w:tcBorders>
            <w:vAlign w:val="center"/>
          </w:tcPr>
          <w:p w14:paraId="2F6C5103">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38</w:t>
            </w:r>
          </w:p>
        </w:tc>
        <w:tc>
          <w:tcPr>
            <w:tcW w:w="861" w:type="pct"/>
            <w:tcBorders>
              <w:tl2br w:val="nil"/>
              <w:tr2bl w:val="nil"/>
            </w:tcBorders>
            <w:vAlign w:val="center"/>
          </w:tcPr>
          <w:p w14:paraId="5C4BC823">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1046</w:t>
            </w:r>
          </w:p>
        </w:tc>
      </w:tr>
      <w:tr w14:paraId="0D8BC567">
        <w:tblPrEx>
          <w:tblBorders>
            <w:top w:val="single" w:color="000000" w:sz="2" w:space="0"/>
            <w:left w:val="none" w:color="auto" w:sz="0" w:space="0"/>
            <w:bottom w:val="single" w:color="000000" w:sz="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97" w:hRule="atLeast"/>
          <w:jc w:val="center"/>
        </w:trPr>
        <w:tc>
          <w:tcPr>
            <w:tcW w:w="558" w:type="pct"/>
            <w:vMerge w:val="continue"/>
            <w:tcBorders>
              <w:tl2br w:val="nil"/>
              <w:tr2bl w:val="nil"/>
            </w:tcBorders>
            <w:vAlign w:val="center"/>
          </w:tcPr>
          <w:p w14:paraId="71B72C51">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p>
        </w:tc>
        <w:tc>
          <w:tcPr>
            <w:tcW w:w="693" w:type="pct"/>
            <w:vMerge w:val="continue"/>
            <w:tcBorders>
              <w:tl2br w:val="nil"/>
              <w:tr2bl w:val="nil"/>
            </w:tcBorders>
            <w:vAlign w:val="center"/>
          </w:tcPr>
          <w:p w14:paraId="59483716">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p>
        </w:tc>
        <w:tc>
          <w:tcPr>
            <w:tcW w:w="666" w:type="pct"/>
            <w:tcBorders>
              <w:tl2br w:val="nil"/>
              <w:tr2bl w:val="nil"/>
            </w:tcBorders>
            <w:vAlign w:val="center"/>
          </w:tcPr>
          <w:p w14:paraId="779A0411">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第三次</w:t>
            </w:r>
          </w:p>
        </w:tc>
        <w:tc>
          <w:tcPr>
            <w:tcW w:w="621" w:type="pct"/>
            <w:tcBorders>
              <w:tl2br w:val="nil"/>
              <w:tr2bl w:val="nil"/>
            </w:tcBorders>
            <w:vAlign w:val="center"/>
          </w:tcPr>
          <w:p w14:paraId="0FF53199">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104</w:t>
            </w:r>
          </w:p>
        </w:tc>
        <w:tc>
          <w:tcPr>
            <w:tcW w:w="496" w:type="pct"/>
            <w:tcBorders>
              <w:tl2br w:val="nil"/>
              <w:tr2bl w:val="nil"/>
            </w:tcBorders>
            <w:vAlign w:val="center"/>
          </w:tcPr>
          <w:p w14:paraId="67C4E7C0">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41</w:t>
            </w:r>
          </w:p>
        </w:tc>
        <w:tc>
          <w:tcPr>
            <w:tcW w:w="489" w:type="pct"/>
            <w:tcBorders>
              <w:tl2br w:val="nil"/>
              <w:tr2bl w:val="nil"/>
            </w:tcBorders>
            <w:vAlign w:val="center"/>
          </w:tcPr>
          <w:p w14:paraId="684CA7B0">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0 507</w:t>
            </w:r>
          </w:p>
        </w:tc>
        <w:tc>
          <w:tcPr>
            <w:tcW w:w="613" w:type="pct"/>
            <w:tcBorders>
              <w:tl2br w:val="nil"/>
              <w:tr2bl w:val="nil"/>
            </w:tcBorders>
            <w:vAlign w:val="center"/>
          </w:tcPr>
          <w:p w14:paraId="61138AFE">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41</w:t>
            </w:r>
          </w:p>
        </w:tc>
        <w:tc>
          <w:tcPr>
            <w:tcW w:w="861" w:type="pct"/>
            <w:tcBorders>
              <w:tl2br w:val="nil"/>
              <w:tr2bl w:val="nil"/>
            </w:tcBorders>
            <w:vAlign w:val="center"/>
          </w:tcPr>
          <w:p w14:paraId="216FA927">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1177</w:t>
            </w:r>
          </w:p>
        </w:tc>
      </w:tr>
      <w:tr w14:paraId="3267B82D">
        <w:tblPrEx>
          <w:tblBorders>
            <w:top w:val="single" w:color="000000" w:sz="2" w:space="0"/>
            <w:left w:val="none" w:color="auto" w:sz="0" w:space="0"/>
            <w:bottom w:val="single" w:color="000000" w:sz="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97" w:hRule="atLeast"/>
          <w:jc w:val="center"/>
        </w:trPr>
        <w:tc>
          <w:tcPr>
            <w:tcW w:w="558" w:type="pct"/>
            <w:vMerge w:val="continue"/>
            <w:tcBorders>
              <w:tl2br w:val="nil"/>
              <w:tr2bl w:val="nil"/>
            </w:tcBorders>
            <w:vAlign w:val="center"/>
          </w:tcPr>
          <w:p w14:paraId="78036485">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p>
        </w:tc>
        <w:tc>
          <w:tcPr>
            <w:tcW w:w="693" w:type="pct"/>
            <w:vMerge w:val="continue"/>
            <w:tcBorders>
              <w:tl2br w:val="nil"/>
              <w:tr2bl w:val="nil"/>
            </w:tcBorders>
            <w:vAlign w:val="center"/>
          </w:tcPr>
          <w:p w14:paraId="319B268C">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p>
        </w:tc>
        <w:tc>
          <w:tcPr>
            <w:tcW w:w="666" w:type="pct"/>
            <w:tcBorders>
              <w:tl2br w:val="nil"/>
              <w:tr2bl w:val="nil"/>
            </w:tcBorders>
            <w:vAlign w:val="center"/>
          </w:tcPr>
          <w:p w14:paraId="023AF624">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第四次</w:t>
            </w:r>
          </w:p>
        </w:tc>
        <w:tc>
          <w:tcPr>
            <w:tcW w:w="621" w:type="pct"/>
            <w:tcBorders>
              <w:tl2br w:val="nil"/>
              <w:tr2bl w:val="nil"/>
            </w:tcBorders>
            <w:vAlign w:val="center"/>
          </w:tcPr>
          <w:p w14:paraId="3451423D">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107</w:t>
            </w:r>
          </w:p>
        </w:tc>
        <w:tc>
          <w:tcPr>
            <w:tcW w:w="496" w:type="pct"/>
            <w:tcBorders>
              <w:tl2br w:val="nil"/>
              <w:tr2bl w:val="nil"/>
            </w:tcBorders>
            <w:vAlign w:val="center"/>
          </w:tcPr>
          <w:p w14:paraId="7B897BA4">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40</w:t>
            </w:r>
          </w:p>
        </w:tc>
        <w:tc>
          <w:tcPr>
            <w:tcW w:w="489" w:type="pct"/>
            <w:tcBorders>
              <w:tl2br w:val="nil"/>
              <w:tr2bl w:val="nil"/>
            </w:tcBorders>
            <w:vAlign w:val="center"/>
          </w:tcPr>
          <w:p w14:paraId="1BCBF8F6">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0.491</w:t>
            </w:r>
          </w:p>
        </w:tc>
        <w:tc>
          <w:tcPr>
            <w:tcW w:w="613" w:type="pct"/>
            <w:tcBorders>
              <w:tl2br w:val="nil"/>
              <w:tr2bl w:val="nil"/>
            </w:tcBorders>
            <w:vAlign w:val="center"/>
          </w:tcPr>
          <w:p w14:paraId="72D068A5">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40</w:t>
            </w:r>
          </w:p>
        </w:tc>
        <w:tc>
          <w:tcPr>
            <w:tcW w:w="861" w:type="pct"/>
            <w:tcBorders>
              <w:tl2br w:val="nil"/>
              <w:tr2bl w:val="nil"/>
            </w:tcBorders>
            <w:vAlign w:val="center"/>
          </w:tcPr>
          <w:p w14:paraId="2B2B95B3">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1305</w:t>
            </w:r>
          </w:p>
        </w:tc>
      </w:tr>
      <w:tr w14:paraId="43509E2F">
        <w:tblPrEx>
          <w:tblBorders>
            <w:top w:val="single" w:color="000000" w:sz="2" w:space="0"/>
            <w:left w:val="none" w:color="auto" w:sz="0" w:space="0"/>
            <w:bottom w:val="single" w:color="000000" w:sz="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97" w:hRule="atLeast"/>
          <w:jc w:val="center"/>
        </w:trPr>
        <w:tc>
          <w:tcPr>
            <w:tcW w:w="558" w:type="pct"/>
            <w:vMerge w:val="continue"/>
            <w:tcBorders>
              <w:tl2br w:val="nil"/>
              <w:tr2bl w:val="nil"/>
            </w:tcBorders>
            <w:vAlign w:val="center"/>
          </w:tcPr>
          <w:p w14:paraId="42353BFF">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p>
        </w:tc>
        <w:tc>
          <w:tcPr>
            <w:tcW w:w="693" w:type="pct"/>
            <w:vMerge w:val="continue"/>
            <w:tcBorders>
              <w:tl2br w:val="nil"/>
              <w:tr2bl w:val="nil"/>
            </w:tcBorders>
            <w:vAlign w:val="center"/>
          </w:tcPr>
          <w:p w14:paraId="09300D8E">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p>
        </w:tc>
        <w:tc>
          <w:tcPr>
            <w:tcW w:w="666" w:type="pct"/>
            <w:tcBorders>
              <w:tl2br w:val="nil"/>
              <w:tr2bl w:val="nil"/>
            </w:tcBorders>
            <w:vAlign w:val="center"/>
          </w:tcPr>
          <w:p w14:paraId="0DCE090B">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均值</w:t>
            </w:r>
          </w:p>
        </w:tc>
        <w:tc>
          <w:tcPr>
            <w:tcW w:w="621" w:type="pct"/>
            <w:tcBorders>
              <w:tl2br w:val="nil"/>
              <w:tr2bl w:val="nil"/>
            </w:tcBorders>
            <w:vAlign w:val="center"/>
          </w:tcPr>
          <w:p w14:paraId="1005903C">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109</w:t>
            </w:r>
          </w:p>
        </w:tc>
        <w:tc>
          <w:tcPr>
            <w:tcW w:w="496" w:type="pct"/>
            <w:tcBorders>
              <w:tl2br w:val="nil"/>
              <w:tr2bl w:val="nil"/>
            </w:tcBorders>
            <w:vAlign w:val="center"/>
          </w:tcPr>
          <w:p w14:paraId="120AE4B9">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39</w:t>
            </w:r>
          </w:p>
        </w:tc>
        <w:tc>
          <w:tcPr>
            <w:tcW w:w="489" w:type="pct"/>
            <w:tcBorders>
              <w:tl2br w:val="nil"/>
              <w:tr2bl w:val="nil"/>
            </w:tcBorders>
            <w:vAlign w:val="center"/>
          </w:tcPr>
          <w:p w14:paraId="330566DD">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0.479</w:t>
            </w:r>
          </w:p>
        </w:tc>
        <w:tc>
          <w:tcPr>
            <w:tcW w:w="613" w:type="pct"/>
            <w:tcBorders>
              <w:tl2br w:val="nil"/>
              <w:tr2bl w:val="nil"/>
            </w:tcBorders>
            <w:vAlign w:val="center"/>
          </w:tcPr>
          <w:p w14:paraId="7CFA8959">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39</w:t>
            </w:r>
          </w:p>
        </w:tc>
        <w:tc>
          <w:tcPr>
            <w:tcW w:w="861" w:type="pct"/>
            <w:tcBorders>
              <w:tl2br w:val="nil"/>
              <w:tr2bl w:val="nil"/>
            </w:tcBorders>
            <w:vAlign w:val="center"/>
          </w:tcPr>
          <w:p w14:paraId="1AC547C4">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1205</w:t>
            </w:r>
          </w:p>
        </w:tc>
      </w:tr>
      <w:tr w14:paraId="412153A6">
        <w:tblPrEx>
          <w:tblBorders>
            <w:top w:val="single" w:color="000000" w:sz="2" w:space="0"/>
            <w:left w:val="none" w:color="auto" w:sz="0" w:space="0"/>
            <w:bottom w:val="single" w:color="000000" w:sz="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97" w:hRule="atLeast"/>
          <w:jc w:val="center"/>
        </w:trPr>
        <w:tc>
          <w:tcPr>
            <w:tcW w:w="558" w:type="pct"/>
            <w:vMerge w:val="continue"/>
            <w:tcBorders>
              <w:tl2br w:val="nil"/>
              <w:tr2bl w:val="nil"/>
            </w:tcBorders>
            <w:vAlign w:val="center"/>
          </w:tcPr>
          <w:p w14:paraId="16754867">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p>
        </w:tc>
        <w:tc>
          <w:tcPr>
            <w:tcW w:w="1359" w:type="pct"/>
            <w:gridSpan w:val="2"/>
            <w:tcBorders>
              <w:tl2br w:val="nil"/>
              <w:tr2bl w:val="nil"/>
            </w:tcBorders>
            <w:vAlign w:val="center"/>
          </w:tcPr>
          <w:p w14:paraId="5FF2BFE8">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执行标准</w:t>
            </w:r>
          </w:p>
        </w:tc>
        <w:tc>
          <w:tcPr>
            <w:tcW w:w="621" w:type="pct"/>
            <w:tcBorders>
              <w:tl2br w:val="nil"/>
              <w:tr2bl w:val="nil"/>
            </w:tcBorders>
            <w:vAlign w:val="center"/>
          </w:tcPr>
          <w:p w14:paraId="1BD669D2">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150</w:t>
            </w:r>
          </w:p>
        </w:tc>
        <w:tc>
          <w:tcPr>
            <w:tcW w:w="496" w:type="pct"/>
            <w:tcBorders>
              <w:tl2br w:val="nil"/>
              <w:tr2bl w:val="nil"/>
            </w:tcBorders>
            <w:vAlign w:val="center"/>
          </w:tcPr>
          <w:p w14:paraId="029D987E">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80</w:t>
            </w:r>
          </w:p>
        </w:tc>
        <w:tc>
          <w:tcPr>
            <w:tcW w:w="489" w:type="pct"/>
            <w:tcBorders>
              <w:tl2br w:val="nil"/>
              <w:tr2bl w:val="nil"/>
            </w:tcBorders>
            <w:vAlign w:val="center"/>
          </w:tcPr>
          <w:p w14:paraId="6EAC1A0B">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613" w:type="pct"/>
            <w:tcBorders>
              <w:tl2br w:val="nil"/>
              <w:tr2bl w:val="nil"/>
            </w:tcBorders>
            <w:vAlign w:val="center"/>
          </w:tcPr>
          <w:p w14:paraId="41B60970">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60</w:t>
            </w:r>
          </w:p>
        </w:tc>
        <w:tc>
          <w:tcPr>
            <w:tcW w:w="861" w:type="pct"/>
            <w:tcBorders>
              <w:tl2br w:val="nil"/>
              <w:tr2bl w:val="nil"/>
            </w:tcBorders>
            <w:vAlign w:val="center"/>
          </w:tcPr>
          <w:p w14:paraId="0C454933">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40000</w:t>
            </w:r>
          </w:p>
        </w:tc>
      </w:tr>
      <w:tr w14:paraId="3EEC648E">
        <w:tblPrEx>
          <w:tblBorders>
            <w:top w:val="single" w:color="000000" w:sz="2" w:space="0"/>
            <w:left w:val="none" w:color="auto" w:sz="0" w:space="0"/>
            <w:bottom w:val="single" w:color="000000" w:sz="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397" w:hRule="atLeast"/>
          <w:jc w:val="center"/>
        </w:trPr>
        <w:tc>
          <w:tcPr>
            <w:tcW w:w="558" w:type="pct"/>
            <w:vMerge w:val="continue"/>
            <w:tcBorders>
              <w:tl2br w:val="nil"/>
              <w:tr2bl w:val="nil"/>
            </w:tcBorders>
            <w:vAlign w:val="center"/>
          </w:tcPr>
          <w:p w14:paraId="085F041E">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p>
        </w:tc>
        <w:tc>
          <w:tcPr>
            <w:tcW w:w="1359" w:type="pct"/>
            <w:gridSpan w:val="2"/>
            <w:tcBorders>
              <w:tl2br w:val="nil"/>
              <w:tr2bl w:val="nil"/>
            </w:tcBorders>
            <w:vAlign w:val="center"/>
          </w:tcPr>
          <w:p w14:paraId="49858E4E">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达标情况</w:t>
            </w:r>
          </w:p>
        </w:tc>
        <w:tc>
          <w:tcPr>
            <w:tcW w:w="621" w:type="pct"/>
            <w:tcBorders>
              <w:tl2br w:val="nil"/>
              <w:tr2bl w:val="nil"/>
            </w:tcBorders>
            <w:vAlign w:val="center"/>
          </w:tcPr>
          <w:p w14:paraId="31BC45C3">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达标</w:t>
            </w:r>
          </w:p>
        </w:tc>
        <w:tc>
          <w:tcPr>
            <w:tcW w:w="496" w:type="pct"/>
            <w:tcBorders>
              <w:tl2br w:val="nil"/>
              <w:tr2bl w:val="nil"/>
            </w:tcBorders>
            <w:vAlign w:val="center"/>
          </w:tcPr>
          <w:p w14:paraId="427FE23A">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达标</w:t>
            </w:r>
          </w:p>
        </w:tc>
        <w:tc>
          <w:tcPr>
            <w:tcW w:w="489" w:type="pct"/>
            <w:tcBorders>
              <w:tl2br w:val="nil"/>
              <w:tr2bl w:val="nil"/>
            </w:tcBorders>
            <w:vAlign w:val="center"/>
          </w:tcPr>
          <w:p w14:paraId="78B701B7">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达标</w:t>
            </w:r>
          </w:p>
        </w:tc>
        <w:tc>
          <w:tcPr>
            <w:tcW w:w="613" w:type="pct"/>
            <w:tcBorders>
              <w:tl2br w:val="nil"/>
              <w:tr2bl w:val="nil"/>
            </w:tcBorders>
            <w:vAlign w:val="center"/>
          </w:tcPr>
          <w:p w14:paraId="3B14D85B">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达标</w:t>
            </w:r>
          </w:p>
        </w:tc>
        <w:tc>
          <w:tcPr>
            <w:tcW w:w="861" w:type="pct"/>
            <w:tcBorders>
              <w:tl2br w:val="nil"/>
              <w:tr2bl w:val="nil"/>
            </w:tcBorders>
            <w:vAlign w:val="center"/>
          </w:tcPr>
          <w:p w14:paraId="11641E20">
            <w:pPr>
              <w:widowControl/>
              <w:kinsoku w:val="0"/>
              <w:autoSpaceDE w:val="0"/>
              <w:autoSpaceDN w:val="0"/>
              <w:adjustRightInd w:val="0"/>
              <w:snapToGrid w:val="0"/>
              <w:spacing w:line="240" w:lineRule="auto"/>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达标</w:t>
            </w:r>
          </w:p>
        </w:tc>
      </w:tr>
    </w:tbl>
    <w:p w14:paraId="27E26F9B">
      <w:pPr>
        <w:pStyle w:val="49"/>
        <w:spacing w:line="500" w:lineRule="exact"/>
        <w:ind w:firstLine="480"/>
        <w:outlineLvl w:val="1"/>
        <w:rPr>
          <w:b/>
          <w:bCs/>
        </w:rPr>
      </w:pPr>
      <w:bookmarkStart w:id="147" w:name="_Toc3385"/>
      <w:bookmarkStart w:id="148" w:name="_Toc19949"/>
      <w:r>
        <w:rPr>
          <w:rFonts w:eastAsia="宋体" w:cs="Times New Roman"/>
          <w:kern w:val="2"/>
          <w:szCs w:val="24"/>
        </w:rPr>
        <w:t>根据</w:t>
      </w:r>
      <w:r>
        <w:rPr>
          <w:rFonts w:eastAsia="宋体" w:cs="Times New Roman"/>
          <w:color w:val="000000" w:themeColor="text1"/>
          <w:kern w:val="2"/>
          <w:szCs w:val="24"/>
          <w14:textFill>
            <w14:solidFill>
              <w14:schemeClr w14:val="tx1"/>
            </w14:solidFill>
          </w14:textFill>
        </w:rPr>
        <w:t>表</w:t>
      </w:r>
      <w:r>
        <w:rPr>
          <w:rFonts w:hint="eastAsia" w:eastAsia="宋体" w:cs="Times New Roman"/>
          <w:color w:val="000000" w:themeColor="text1"/>
          <w:kern w:val="2"/>
          <w:szCs w:val="24"/>
          <w14:textFill>
            <w14:solidFill>
              <w14:schemeClr w14:val="tx1"/>
            </w14:solidFill>
          </w14:textFill>
        </w:rPr>
        <w:t>6.2-</w:t>
      </w:r>
      <w:r>
        <w:rPr>
          <w:rFonts w:hint="eastAsia" w:eastAsia="宋体" w:cs="Times New Roman"/>
          <w:color w:val="000000" w:themeColor="text1"/>
          <w:kern w:val="2"/>
          <w:szCs w:val="24"/>
          <w:lang w:val="en-US" w:eastAsia="zh-CN"/>
          <w14:textFill>
            <w14:solidFill>
              <w14:schemeClr w14:val="tx1"/>
            </w14:solidFill>
          </w14:textFill>
        </w:rPr>
        <w:t>6</w:t>
      </w:r>
      <w:r>
        <w:rPr>
          <w:rFonts w:hint="eastAsia" w:eastAsia="宋体" w:cs="Times New Roman"/>
          <w:color w:val="000000" w:themeColor="text1"/>
          <w:kern w:val="2"/>
          <w:szCs w:val="24"/>
          <w14:textFill>
            <w14:solidFill>
              <w14:schemeClr w14:val="tx1"/>
            </w14:solidFill>
          </w14:textFill>
        </w:rPr>
        <w:t>的验</w:t>
      </w:r>
      <w:r>
        <w:rPr>
          <w:rFonts w:hint="eastAsia" w:eastAsia="宋体" w:cs="Times New Roman"/>
          <w:kern w:val="2"/>
          <w:szCs w:val="24"/>
        </w:rPr>
        <w:t>收监测数据</w:t>
      </w:r>
      <w:r>
        <w:rPr>
          <w:rFonts w:eastAsia="宋体" w:cs="Times New Roman"/>
          <w:kern w:val="2"/>
          <w:szCs w:val="24"/>
        </w:rPr>
        <w:t>可知</w:t>
      </w:r>
      <w:r>
        <w:rPr>
          <w:rFonts w:hint="eastAsia" w:eastAsia="宋体" w:cs="Times New Roman"/>
          <w:color w:val="000000"/>
          <w:szCs w:val="24"/>
          <w:lang w:bidi="ar"/>
        </w:rPr>
        <w:t>平邑县金举养殖场年出栏450万只肉鸡养殖项目养殖废水经“格栅+调节池+厌氧池+好氧池+消毒”工艺处理后满足《农田灌溉水质标准》</w:t>
      </w:r>
      <w:r>
        <w:rPr>
          <w:rFonts w:hint="eastAsia"/>
        </w:rPr>
        <w:t>（GB 5084-2021）</w:t>
      </w:r>
      <w:r>
        <w:rPr>
          <w:rFonts w:hint="eastAsia" w:eastAsia="宋体" w:cs="Times New Roman"/>
          <w:szCs w:val="24"/>
        </w:rPr>
        <w:t>表1</w:t>
      </w:r>
      <w:r>
        <w:rPr>
          <w:rFonts w:eastAsia="宋体" w:cs="Times New Roman"/>
          <w:szCs w:val="24"/>
        </w:rPr>
        <w:t>中</w:t>
      </w:r>
      <w:r>
        <w:rPr>
          <w:rFonts w:hint="eastAsia" w:eastAsia="宋体" w:cs="Times New Roman"/>
          <w:szCs w:val="24"/>
        </w:rPr>
        <w:t>“</w:t>
      </w:r>
      <w:r>
        <w:rPr>
          <w:rFonts w:eastAsia="宋体" w:cs="Times New Roman"/>
          <w:szCs w:val="24"/>
        </w:rPr>
        <w:t>水作标准</w:t>
      </w:r>
      <w:r>
        <w:rPr>
          <w:rFonts w:hint="eastAsia" w:eastAsia="宋体" w:cs="Times New Roman"/>
          <w:szCs w:val="24"/>
        </w:rPr>
        <w:t>”</w:t>
      </w:r>
      <w:r>
        <w:rPr>
          <w:rFonts w:hint="eastAsia" w:eastAsia="宋体" w:cs="Times New Roman"/>
          <w:color w:val="000000"/>
          <w:szCs w:val="24"/>
          <w:lang w:bidi="ar"/>
        </w:rPr>
        <w:t>，本项目养殖废水处理工艺与平邑县金举养殖场年出栏450万只肉鸡养殖项目养殖废水处理工艺基本相同，因此本</w:t>
      </w:r>
      <w:r>
        <w:rPr>
          <w:rFonts w:eastAsia="宋体" w:cs="Times New Roman"/>
          <w:color w:val="000000"/>
          <w:szCs w:val="24"/>
          <w:lang w:bidi="ar"/>
        </w:rPr>
        <w:t>废水经污水处理站处理后</w:t>
      </w:r>
      <w:r>
        <w:rPr>
          <w:rFonts w:hint="eastAsia" w:eastAsia="宋体" w:cs="Times New Roman"/>
          <w:color w:val="000000"/>
          <w:szCs w:val="24"/>
          <w:lang w:bidi="ar"/>
        </w:rPr>
        <w:t>可稳定达标，用于农田灌溉具有可行性。</w:t>
      </w:r>
      <w:bookmarkEnd w:id="147"/>
      <w:bookmarkEnd w:id="148"/>
    </w:p>
    <w:p w14:paraId="56F40EBA">
      <w:pPr>
        <w:pStyle w:val="8"/>
        <w:pageBreakBefore w:val="0"/>
        <w:widowControl w:val="0"/>
        <w:kinsoku/>
        <w:wordWrap/>
        <w:overflowPunct/>
        <w:topLinePunct w:val="0"/>
        <w:autoSpaceDE/>
        <w:autoSpaceDN/>
        <w:bidi w:val="0"/>
        <w:adjustRightInd/>
        <w:snapToGrid/>
        <w:spacing w:line="4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.2.2.</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废水消纳可行性分析</w:t>
      </w:r>
    </w:p>
    <w:p w14:paraId="2C68DE34">
      <w:pPr>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宋体" w:cs="Times New Roman"/>
        </w:rPr>
      </w:pPr>
      <w:r>
        <w:rPr>
          <w:rFonts w:ascii="Times New Roman" w:hAnsi="Times New Roman" w:eastAsia="宋体" w:cs="Times New Roman"/>
          <w:szCs w:val="24"/>
        </w:rPr>
        <w:t>本项目废水经处理达标后废水量为1</w:t>
      </w:r>
      <w:r>
        <w:rPr>
          <w:rFonts w:hint="eastAsia" w:ascii="Times New Roman" w:hAnsi="Times New Roman" w:eastAsia="宋体" w:cs="Times New Roman"/>
          <w:szCs w:val="24"/>
        </w:rPr>
        <w:t>361.4</w:t>
      </w:r>
      <w:r>
        <w:rPr>
          <w:rFonts w:ascii="Times New Roman" w:hAnsi="Times New Roman" w:eastAsia="宋体" w:cs="Times New Roman"/>
          <w:szCs w:val="24"/>
        </w:rPr>
        <w:t>m</w:t>
      </w:r>
      <w:r>
        <w:rPr>
          <w:rFonts w:ascii="Times New Roman" w:hAnsi="Times New Roman" w:eastAsia="宋体" w:cs="Times New Roman"/>
          <w:szCs w:val="24"/>
          <w:vertAlign w:val="superscript"/>
        </w:rPr>
        <w:t>3</w:t>
      </w:r>
      <w:r>
        <w:rPr>
          <w:rFonts w:ascii="Times New Roman" w:hAnsi="Times New Roman" w:eastAsia="宋体" w:cs="Times New Roman"/>
          <w:szCs w:val="24"/>
        </w:rPr>
        <w:t>/a</w:t>
      </w:r>
      <w:r>
        <w:rPr>
          <w:rFonts w:hint="eastAsia" w:ascii="Times New Roman" w:hAnsi="Times New Roman" w:eastAsia="宋体" w:cs="Times New Roman"/>
          <w:szCs w:val="24"/>
          <w:lang w:eastAsia="zh-CN"/>
        </w:rPr>
        <w:t>，</w:t>
      </w:r>
      <w:r>
        <w:rPr>
          <w:rFonts w:ascii="Times New Roman" w:hAnsi="Times New Roman" w:eastAsia="宋体" w:cs="Times New Roman"/>
          <w:szCs w:val="24"/>
        </w:rPr>
        <w:t>全部用于</w:t>
      </w:r>
      <w:r>
        <w:rPr>
          <w:rFonts w:hint="eastAsia" w:ascii="Times New Roman" w:hAnsi="Times New Roman" w:eastAsia="宋体" w:cs="Times New Roman"/>
          <w:szCs w:val="24"/>
        </w:rPr>
        <w:t>项目</w:t>
      </w:r>
      <w:r>
        <w:rPr>
          <w:rFonts w:ascii="Times New Roman" w:hAnsi="Times New Roman" w:eastAsia="宋体" w:cs="Times New Roman"/>
          <w:szCs w:val="24"/>
        </w:rPr>
        <w:t>周边农田灌溉。</w:t>
      </w:r>
      <w:bookmarkStart w:id="149" w:name="_Toc3572"/>
      <w:r>
        <w:rPr>
          <w:rFonts w:ascii="Times New Roman" w:hAnsi="Times New Roman" w:eastAsia="宋体" w:cs="Times New Roman"/>
          <w:szCs w:val="24"/>
        </w:rPr>
        <w:t>养殖废水经处理后，仍含有氮、磷、钾以及氨基酸、维生素、蛋白质、赤霉素、生长素、糖类、核酸等营养元素，是作物的生长发育的“生理活性物质”，钙、磷、铁、锌、钼等元素能促进作物发芽和生长，本项目配套可供灌溉的农田面积为</w:t>
      </w:r>
      <w:r>
        <w:rPr>
          <w:rFonts w:hint="eastAsia" w:ascii="Times New Roman" w:hAnsi="Times New Roman" w:eastAsia="宋体" w:cs="Times New Roman"/>
          <w:color w:val="000000" w:themeColor="text1"/>
          <w:szCs w:val="24"/>
          <w:lang w:val="en-US" w:eastAsia="zh-CN"/>
          <w14:textFill>
            <w14:solidFill>
              <w14:schemeClr w14:val="tx1"/>
            </w14:solidFill>
          </w14:textFill>
        </w:rPr>
        <w:t>35</w:t>
      </w:r>
      <w:r>
        <w:rPr>
          <w:rFonts w:ascii="Times New Roman" w:hAnsi="Times New Roman" w:eastAsia="宋体" w:cs="Times New Roman"/>
          <w:color w:val="000000" w:themeColor="text1"/>
          <w:szCs w:val="24"/>
          <w14:textFill>
            <w14:solidFill>
              <w14:schemeClr w14:val="tx1"/>
            </w14:solidFill>
          </w14:textFill>
        </w:rPr>
        <w:t>亩，</w:t>
      </w:r>
      <w:r>
        <w:rPr>
          <w:rFonts w:ascii="Times New Roman" w:hAnsi="Times New Roman" w:eastAsia="宋体" w:cs="Times New Roman"/>
          <w:szCs w:val="24"/>
        </w:rPr>
        <w:t>可灌溉农田内种植作物较为繁杂，主要为水稻种植为主，根据《江苏省农业灌溉用水定额（2019）》内容可知，</w:t>
      </w:r>
      <w:r>
        <w:rPr>
          <w:rFonts w:hint="eastAsia" w:ascii="Times New Roman" w:hAnsi="Times New Roman" w:eastAsia="宋体" w:cs="Times New Roman"/>
          <w:szCs w:val="24"/>
        </w:rPr>
        <w:t>泗阳县</w:t>
      </w:r>
      <w:r>
        <w:rPr>
          <w:rFonts w:ascii="Times New Roman" w:hAnsi="Times New Roman" w:eastAsia="宋体" w:cs="Times New Roman"/>
          <w:szCs w:val="24"/>
        </w:rPr>
        <w:t>水稻灌溉水量</w:t>
      </w:r>
      <w:r>
        <w:rPr>
          <w:rFonts w:hint="eastAsia" w:ascii="Times New Roman" w:hAnsi="Times New Roman" w:eastAsia="宋体" w:cs="Times New Roman"/>
          <w:szCs w:val="24"/>
        </w:rPr>
        <w:t>按</w:t>
      </w:r>
      <w:r>
        <w:rPr>
          <w:rFonts w:ascii="Times New Roman" w:hAnsi="Times New Roman" w:eastAsia="宋体" w:cs="Times New Roman"/>
          <w:szCs w:val="24"/>
        </w:rPr>
        <w:t>350m</w:t>
      </w:r>
      <w:r>
        <w:rPr>
          <w:rFonts w:hint="eastAsia" w:ascii="Times New Roman" w:hAnsi="Times New Roman" w:eastAsia="宋体" w:cs="Times New Roman"/>
          <w:szCs w:val="24"/>
          <w:vertAlign w:val="superscript"/>
        </w:rPr>
        <w:t>3</w:t>
      </w:r>
      <w:r>
        <w:rPr>
          <w:rFonts w:ascii="Times New Roman" w:hAnsi="Times New Roman" w:eastAsia="宋体" w:cs="Times New Roman"/>
          <w:szCs w:val="24"/>
        </w:rPr>
        <w:t>/亩·年，本项目可供灌溉的农田至少可消纳废水</w:t>
      </w:r>
      <w:r>
        <w:rPr>
          <w:rFonts w:hint="eastAsia" w:ascii="Times New Roman" w:hAnsi="Times New Roman" w:eastAsia="宋体" w:cs="Times New Roman"/>
          <w:szCs w:val="24"/>
          <w:lang w:val="en-US" w:eastAsia="zh-CN"/>
        </w:rPr>
        <w:t>12250</w:t>
      </w:r>
      <w:r>
        <w:rPr>
          <w:rFonts w:ascii="Times New Roman" w:hAnsi="Times New Roman" w:eastAsia="宋体" w:cs="Times New Roman"/>
          <w:szCs w:val="24"/>
        </w:rPr>
        <w:t>m</w:t>
      </w:r>
      <w:r>
        <w:rPr>
          <w:rFonts w:ascii="Times New Roman" w:hAnsi="Times New Roman" w:eastAsia="宋体" w:cs="Times New Roman"/>
          <w:szCs w:val="24"/>
          <w:vertAlign w:val="superscript"/>
        </w:rPr>
        <w:t>3</w:t>
      </w:r>
      <w:r>
        <w:rPr>
          <w:rFonts w:ascii="Times New Roman" w:hAnsi="Times New Roman" w:eastAsia="宋体" w:cs="Times New Roman"/>
          <w:szCs w:val="24"/>
        </w:rPr>
        <w:t>/a，本项目用于灌溉的废水量1</w:t>
      </w:r>
      <w:r>
        <w:rPr>
          <w:rFonts w:hint="eastAsia" w:ascii="Times New Roman" w:hAnsi="Times New Roman" w:eastAsia="宋体" w:cs="Times New Roman"/>
          <w:szCs w:val="24"/>
        </w:rPr>
        <w:t>361.4</w:t>
      </w:r>
      <w:r>
        <w:rPr>
          <w:rFonts w:ascii="Times New Roman" w:hAnsi="Times New Roman" w:eastAsia="宋体" w:cs="Times New Roman"/>
          <w:szCs w:val="24"/>
        </w:rPr>
        <w:t>m</w:t>
      </w:r>
      <w:r>
        <w:rPr>
          <w:rFonts w:ascii="Times New Roman" w:hAnsi="Times New Roman" w:eastAsia="宋体" w:cs="Times New Roman"/>
          <w:szCs w:val="24"/>
          <w:vertAlign w:val="superscript"/>
        </w:rPr>
        <w:t>3</w:t>
      </w:r>
      <w:r>
        <w:rPr>
          <w:rFonts w:ascii="Times New Roman" w:hAnsi="Times New Roman" w:eastAsia="宋体" w:cs="Times New Roman"/>
          <w:szCs w:val="24"/>
        </w:rPr>
        <w:t>/a，占所需水量的</w:t>
      </w:r>
      <w:r>
        <w:rPr>
          <w:rFonts w:hint="eastAsia" w:ascii="Times New Roman" w:hAnsi="Times New Roman" w:eastAsia="宋体" w:cs="Times New Roman"/>
          <w:szCs w:val="24"/>
        </w:rPr>
        <w:t>1</w:t>
      </w:r>
      <w:r>
        <w:rPr>
          <w:rFonts w:hint="eastAsia" w:ascii="Times New Roman" w:hAnsi="Times New Roman" w:eastAsia="宋体" w:cs="Times New Roman"/>
          <w:szCs w:val="24"/>
          <w:lang w:val="en-US" w:eastAsia="zh-CN"/>
        </w:rPr>
        <w:t>1.1</w:t>
      </w:r>
      <w:r>
        <w:rPr>
          <w:rFonts w:ascii="Times New Roman" w:hAnsi="Times New Roman" w:eastAsia="宋体" w:cs="Times New Roman"/>
          <w:szCs w:val="24"/>
        </w:rPr>
        <w:t>%，可以实现项目污水的产纳平衡。</w:t>
      </w:r>
    </w:p>
    <w:p w14:paraId="526C62D0">
      <w:pPr>
        <w:pageBreakBefore w:val="0"/>
        <w:widowControl w:val="0"/>
        <w:kinsoku/>
        <w:wordWrap/>
        <w:overflowPunct/>
        <w:topLinePunct w:val="0"/>
        <w:autoSpaceDE/>
        <w:autoSpaceDN/>
        <w:bidi w:val="0"/>
        <w:spacing w:line="460" w:lineRule="exact"/>
        <w:ind w:firstLine="480" w:firstLineChars="200"/>
        <w:textAlignment w:val="auto"/>
        <w:rPr>
          <w:rFonts w:ascii="Times New Roman" w:hAnsi="Times New Roman" w:eastAsia="宋体" w:cs="Times New Roman"/>
          <w:szCs w:val="24"/>
        </w:rPr>
      </w:pPr>
      <w:r>
        <w:rPr>
          <w:rFonts w:ascii="Times New Roman" w:hAnsi="Times New Roman" w:eastAsia="宋体" w:cs="Times New Roman"/>
          <w:szCs w:val="24"/>
        </w:rPr>
        <w:t>建设单位拟在场区内设1座总容量</w:t>
      </w:r>
      <w:r>
        <w:rPr>
          <w:rFonts w:ascii="Times New Roman" w:hAnsi="Times New Roman" w:eastAsia="宋体" w:cs="Times New Roman"/>
          <w:color w:val="000000" w:themeColor="text1"/>
          <w:szCs w:val="24"/>
          <w14:textFill>
            <w14:solidFill>
              <w14:schemeClr w14:val="tx1"/>
            </w14:solidFill>
          </w14:textFill>
        </w:rPr>
        <w:t>为</w:t>
      </w:r>
      <w:r>
        <w:rPr>
          <w:rFonts w:hint="eastAsia" w:ascii="Times New Roman" w:hAnsi="Times New Roman" w:eastAsia="宋体" w:cs="Times New Roman"/>
          <w:color w:val="000000" w:themeColor="text1"/>
          <w:szCs w:val="24"/>
          <w14:textFill>
            <w14:solidFill>
              <w14:schemeClr w14:val="tx1"/>
            </w14:solidFill>
          </w14:textFill>
        </w:rPr>
        <w:t>75</w:t>
      </w:r>
      <w:r>
        <w:rPr>
          <w:rFonts w:ascii="Times New Roman" w:hAnsi="Times New Roman" w:eastAsia="宋体" w:cs="Times New Roman"/>
          <w:color w:val="000000" w:themeColor="text1"/>
          <w:szCs w:val="24"/>
          <w14:textFill>
            <w14:solidFill>
              <w14:schemeClr w14:val="tx1"/>
            </w14:solidFill>
          </w14:textFill>
        </w:rPr>
        <w:t>0立方</w:t>
      </w:r>
      <w:r>
        <w:rPr>
          <w:rFonts w:ascii="Times New Roman" w:hAnsi="Times New Roman" w:eastAsia="宋体" w:cs="Times New Roman"/>
          <w:szCs w:val="24"/>
        </w:rPr>
        <w:t>米的尾水</w:t>
      </w:r>
      <w:r>
        <w:rPr>
          <w:rFonts w:hint="eastAsia" w:ascii="Times New Roman" w:hAnsi="Times New Roman" w:eastAsia="宋体" w:cs="Times New Roman"/>
          <w:szCs w:val="24"/>
          <w:lang w:val="en-US" w:eastAsia="zh-CN"/>
        </w:rPr>
        <w:t>暂存</w:t>
      </w:r>
      <w:r>
        <w:rPr>
          <w:rFonts w:ascii="Times New Roman" w:hAnsi="Times New Roman" w:eastAsia="宋体" w:cs="Times New Roman"/>
          <w:szCs w:val="24"/>
        </w:rPr>
        <w:t>池，用于存放场区处理后的尾水，尾水池可容纳项目场区半年废水量，非灌溉期</w:t>
      </w:r>
      <w:r>
        <w:rPr>
          <w:rFonts w:hint="eastAsia" w:ascii="Times New Roman" w:hAnsi="Times New Roman" w:eastAsia="宋体" w:cs="Times New Roman"/>
          <w:szCs w:val="24"/>
          <w:lang w:eastAsia="zh-CN"/>
        </w:rPr>
        <w:t>，</w:t>
      </w:r>
      <w:r>
        <w:rPr>
          <w:rFonts w:hint="eastAsia" w:ascii="Times New Roman" w:hAnsi="Times New Roman" w:eastAsia="宋体" w:cs="Times New Roman"/>
          <w:szCs w:val="24"/>
          <w:lang w:val="en-US" w:eastAsia="zh-CN"/>
        </w:rPr>
        <w:t>经</w:t>
      </w:r>
      <w:r>
        <w:rPr>
          <w:rFonts w:ascii="Times New Roman" w:hAnsi="Times New Roman" w:eastAsia="宋体" w:cs="Times New Roman"/>
          <w:szCs w:val="24"/>
        </w:rPr>
        <w:t>污水站</w:t>
      </w:r>
      <w:r>
        <w:rPr>
          <w:rFonts w:hint="eastAsia" w:ascii="Times New Roman" w:hAnsi="Times New Roman" w:eastAsia="宋体" w:cs="Times New Roman"/>
          <w:szCs w:val="24"/>
          <w:lang w:val="en-US" w:eastAsia="zh-CN"/>
        </w:rPr>
        <w:t>处理后的尾水</w:t>
      </w:r>
      <w:r>
        <w:rPr>
          <w:rFonts w:ascii="Times New Roman" w:hAnsi="Times New Roman" w:eastAsia="宋体" w:cs="Times New Roman"/>
          <w:szCs w:val="24"/>
        </w:rPr>
        <w:t>全部贮存于尾水</w:t>
      </w:r>
      <w:r>
        <w:rPr>
          <w:rFonts w:hint="eastAsia" w:ascii="Times New Roman" w:hAnsi="Times New Roman" w:eastAsia="宋体" w:cs="Times New Roman"/>
          <w:szCs w:val="24"/>
          <w:lang w:val="en-US" w:eastAsia="zh-CN"/>
        </w:rPr>
        <w:t>暂存</w:t>
      </w:r>
      <w:r>
        <w:rPr>
          <w:rFonts w:ascii="Times New Roman" w:hAnsi="Times New Roman" w:eastAsia="宋体" w:cs="Times New Roman"/>
          <w:szCs w:val="24"/>
        </w:rPr>
        <w:t>池，不会外排至周边地表水体，具有可行性和可操作性。</w:t>
      </w:r>
    </w:p>
    <w:p w14:paraId="7FB336F3">
      <w:pPr>
        <w:pageBreakBefore w:val="0"/>
        <w:widowControl w:val="0"/>
        <w:kinsoku/>
        <w:wordWrap/>
        <w:overflowPunct/>
        <w:topLinePunct w:val="0"/>
        <w:autoSpaceDE/>
        <w:autoSpaceDN/>
        <w:bidi w:val="0"/>
        <w:spacing w:line="460" w:lineRule="exact"/>
        <w:ind w:firstLine="480" w:firstLineChars="200"/>
        <w:textAlignment w:val="auto"/>
        <w:rPr>
          <w:rFonts w:ascii="Times New Roman" w:hAnsi="Times New Roman" w:eastAsia="宋体" w:cs="Times New Roman"/>
        </w:rPr>
      </w:pPr>
      <w:bookmarkStart w:id="150" w:name="_Toc19374"/>
      <w:r>
        <w:rPr>
          <w:rFonts w:ascii="Times New Roman" w:hAnsi="Times New Roman" w:eastAsia="宋体" w:cs="Times New Roman"/>
          <w:szCs w:val="24"/>
        </w:rPr>
        <w:t>因此，本项目产生的废水，经过自建污水处理</w:t>
      </w:r>
      <w:r>
        <w:rPr>
          <w:rFonts w:hint="eastAsia" w:ascii="Times New Roman" w:hAnsi="Times New Roman" w:eastAsia="宋体" w:cs="Times New Roman"/>
          <w:szCs w:val="24"/>
        </w:rPr>
        <w:t>站</w:t>
      </w:r>
      <w:r>
        <w:rPr>
          <w:rFonts w:ascii="Times New Roman" w:hAnsi="Times New Roman" w:eastAsia="宋体" w:cs="Times New Roman"/>
          <w:szCs w:val="24"/>
        </w:rPr>
        <w:t>处理后，用于</w:t>
      </w:r>
      <w:r>
        <w:rPr>
          <w:rFonts w:hint="eastAsia" w:ascii="Times New Roman" w:hAnsi="Times New Roman" w:eastAsia="宋体" w:cs="Times New Roman"/>
          <w:szCs w:val="24"/>
        </w:rPr>
        <w:t>项目</w:t>
      </w:r>
      <w:r>
        <w:rPr>
          <w:rFonts w:ascii="Times New Roman" w:hAnsi="Times New Roman" w:eastAsia="宋体" w:cs="Times New Roman"/>
          <w:szCs w:val="24"/>
        </w:rPr>
        <w:t>周边农田灌溉用水，不直接排入地表水体，对周围水环境不会产生明显影响。项目所在地周边有足够的水田接纳</w:t>
      </w:r>
      <w:r>
        <w:rPr>
          <w:rFonts w:hint="eastAsia" w:ascii="Times New Roman" w:hAnsi="Times New Roman" w:eastAsia="宋体" w:cs="Times New Roman"/>
          <w:szCs w:val="24"/>
        </w:rPr>
        <w:t>本项目处理达标后用于</w:t>
      </w:r>
      <w:r>
        <w:rPr>
          <w:rFonts w:ascii="Times New Roman" w:hAnsi="Times New Roman" w:eastAsia="宋体" w:cs="Times New Roman"/>
          <w:szCs w:val="24"/>
        </w:rPr>
        <w:t>灌溉</w:t>
      </w:r>
      <w:r>
        <w:rPr>
          <w:rFonts w:hint="eastAsia" w:ascii="Times New Roman" w:hAnsi="Times New Roman" w:eastAsia="宋体" w:cs="Times New Roman"/>
          <w:szCs w:val="24"/>
        </w:rPr>
        <w:t>的尾水</w:t>
      </w:r>
      <w:r>
        <w:rPr>
          <w:rFonts w:ascii="Times New Roman" w:hAnsi="Times New Roman" w:eastAsia="宋体" w:cs="Times New Roman"/>
          <w:szCs w:val="24"/>
        </w:rPr>
        <w:t>，灌溉方案在技术上具有可行性。</w:t>
      </w:r>
      <w:bookmarkEnd w:id="149"/>
      <w:bookmarkEnd w:id="150"/>
    </w:p>
    <w:p w14:paraId="3AF9CC15">
      <w:pPr>
        <w:pStyle w:val="8"/>
        <w:pageBreakBefore w:val="0"/>
        <w:widowControl w:val="0"/>
        <w:kinsoku/>
        <w:wordWrap/>
        <w:overflowPunct/>
        <w:topLinePunct w:val="0"/>
        <w:autoSpaceDE/>
        <w:autoSpaceDN/>
        <w:bidi w:val="0"/>
        <w:spacing w:line="46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.2.2.</w:t>
      </w:r>
      <w:r>
        <w:rPr>
          <w:rFonts w:hint="eastAsia"/>
          <w:color w:val="000000" w:themeColor="text1"/>
          <w14:textFill>
            <w14:solidFill>
              <w14:schemeClr w14:val="tx1"/>
            </w14:solidFill>
          </w14:textFill>
        </w:rPr>
        <w:t>4 项目尾水采用</w:t>
      </w:r>
      <w:r>
        <w:rPr>
          <w:rFonts w:hint="eastAsia"/>
          <w:color w:val="000000" w:themeColor="text1"/>
          <w:lang w:val="en-US" w:eastAsia="zh-CN"/>
          <w14:textFill>
            <w14:solidFill>
              <w14:schemeClr w14:val="tx1"/>
            </w14:solidFill>
          </w14:textFill>
        </w:rPr>
        <w:t>管道输送</w:t>
      </w:r>
      <w:r>
        <w:rPr>
          <w:rFonts w:hint="eastAsia"/>
          <w:color w:val="000000" w:themeColor="text1"/>
          <w14:textFill>
            <w14:solidFill>
              <w14:schemeClr w14:val="tx1"/>
            </w14:solidFill>
          </w14:textFill>
        </w:rPr>
        <w:t>可行性分析</w:t>
      </w:r>
    </w:p>
    <w:p w14:paraId="202C6D56">
      <w:pPr>
        <w:pageBreakBefore w:val="0"/>
        <w:widowControl w:val="0"/>
        <w:kinsoku/>
        <w:wordWrap/>
        <w:overflowPunct/>
        <w:topLinePunct w:val="0"/>
        <w:autoSpaceDE/>
        <w:autoSpaceDN/>
        <w:bidi w:val="0"/>
        <w:adjustRightInd w:val="0"/>
        <w:snapToGrid w:val="0"/>
        <w:spacing w:line="460" w:lineRule="exact"/>
        <w:ind w:firstLine="480" w:firstLineChars="200"/>
        <w:contextualSpacing/>
        <w:textAlignment w:val="auto"/>
        <w:rPr>
          <w:color w:val="000000" w:themeColor="text1"/>
          <w14:textFill>
            <w14:solidFill>
              <w14:schemeClr w14:val="tx1"/>
            </w14:solidFill>
          </w14:textFill>
        </w:rPr>
      </w:pPr>
      <w:r>
        <w:rPr>
          <w:rFonts w:hint="eastAsia" w:hAnsi="宋体"/>
          <w:color w:val="000000"/>
        </w:rPr>
        <w:t>本项目处理达标后的尾水</w:t>
      </w:r>
      <w:r>
        <w:rPr>
          <w:rFonts w:hint="eastAsia" w:hAnsi="宋体"/>
          <w:color w:val="000000"/>
          <w:lang w:val="en-US" w:eastAsia="zh-CN"/>
        </w:rPr>
        <w:t>在厂区暂存池暂存，暂存池建设了</w:t>
      </w:r>
      <w:r>
        <w:rPr>
          <w:rFonts w:hint="eastAsia" w:hAnsi="宋体"/>
          <w:color w:val="000000" w:themeColor="text1"/>
          <w:kern w:val="0"/>
          <w:szCs w:val="24"/>
          <w:lang w:val="en-US" w:eastAsia="zh-CN"/>
          <w14:textFill>
            <w14:solidFill>
              <w14:schemeClr w14:val="tx1"/>
            </w14:solidFill>
          </w14:textFill>
        </w:rPr>
        <w:t>输送管线及输送泵，</w:t>
      </w:r>
      <w:r>
        <w:rPr>
          <w:rFonts w:hint="eastAsia" w:hAnsi="宋体"/>
          <w:color w:val="000000"/>
          <w:szCs w:val="24"/>
        </w:rPr>
        <w:t>由于消纳土地距离项目污水站较近，</w:t>
      </w:r>
      <w:r>
        <w:rPr>
          <w:rFonts w:hint="eastAsia" w:hAnsi="宋体"/>
          <w:color w:val="000000" w:themeColor="text1"/>
          <w:kern w:val="0"/>
          <w:szCs w:val="24"/>
          <w:lang w:val="en-US" w:eastAsia="zh-CN"/>
          <w14:textFill>
            <w14:solidFill>
              <w14:schemeClr w14:val="tx1"/>
            </w14:solidFill>
          </w14:textFill>
        </w:rPr>
        <w:t>农田灌溉期，</w:t>
      </w:r>
      <w:r>
        <w:rPr>
          <w:rFonts w:hint="eastAsia" w:hAnsi="宋体"/>
          <w:color w:val="000000"/>
          <w:szCs w:val="24"/>
        </w:rPr>
        <w:t>通过</w:t>
      </w:r>
      <w:r>
        <w:rPr>
          <w:rFonts w:hint="eastAsia" w:hAnsi="宋体"/>
          <w:color w:val="000000"/>
          <w:szCs w:val="24"/>
          <w:lang w:val="en-US" w:eastAsia="zh-CN"/>
        </w:rPr>
        <w:t>暂存池配套建设的管道及输送泵直接输送</w:t>
      </w:r>
      <w:r>
        <w:rPr>
          <w:rFonts w:hint="eastAsia" w:hAnsi="宋体"/>
          <w:color w:val="000000"/>
          <w:szCs w:val="24"/>
        </w:rPr>
        <w:t>至项目</w:t>
      </w:r>
      <w:r>
        <w:rPr>
          <w:rFonts w:hAnsi="宋体"/>
          <w:color w:val="000000"/>
          <w:szCs w:val="24"/>
        </w:rPr>
        <w:t>配套农田</w:t>
      </w:r>
      <w:r>
        <w:rPr>
          <w:rFonts w:hint="eastAsia" w:hAnsi="宋体"/>
          <w:color w:val="000000"/>
          <w:szCs w:val="24"/>
        </w:rPr>
        <w:t>作为</w:t>
      </w:r>
      <w:r>
        <w:rPr>
          <w:rFonts w:hAnsi="宋体"/>
          <w:color w:val="000000"/>
          <w:szCs w:val="24"/>
        </w:rPr>
        <w:t>灌溉</w:t>
      </w:r>
      <w:r>
        <w:rPr>
          <w:rFonts w:hint="eastAsia" w:hAnsi="宋体"/>
          <w:color w:val="000000"/>
          <w:szCs w:val="24"/>
        </w:rPr>
        <w:t>用水</w:t>
      </w:r>
      <w:r>
        <w:rPr>
          <w:rFonts w:ascii="Times New Roman" w:hAnsi="Times New Roman" w:cs="Times New Roman"/>
          <w:color w:val="000000" w:themeColor="text1"/>
          <w:szCs w:val="24"/>
          <w14:textFill>
            <w14:solidFill>
              <w14:schemeClr w14:val="tx1"/>
            </w14:solidFill>
          </w14:textFill>
        </w:rPr>
        <w:t>，</w:t>
      </w:r>
      <w:r>
        <w:rPr>
          <w:rFonts w:hint="eastAsia" w:hAnsi="宋体"/>
          <w:color w:val="000000" w:themeColor="text1"/>
          <w:kern w:val="0"/>
          <w:szCs w:val="24"/>
          <w:lang w:val="en-US" w:eastAsia="zh-CN"/>
          <w14:textFill>
            <w14:solidFill>
              <w14:schemeClr w14:val="tx1"/>
            </w14:solidFill>
          </w14:textFill>
        </w:rPr>
        <w:t>项目</w:t>
      </w:r>
      <w:r>
        <w:rPr>
          <w:rFonts w:hint="eastAsia" w:hAnsi="宋体"/>
          <w:color w:val="000000" w:themeColor="text1"/>
          <w:kern w:val="0"/>
          <w:szCs w:val="24"/>
          <w14:textFill>
            <w14:solidFill>
              <w14:schemeClr w14:val="tx1"/>
            </w14:solidFill>
          </w14:textFill>
        </w:rPr>
        <w:t>灌溉农田时使用管道滴灌，不得漫灌，也不得形成地表径流排入周边水</w:t>
      </w:r>
      <w:r>
        <w:rPr>
          <w:rFonts w:hint="eastAsia" w:hAnsi="宋体"/>
          <w:color w:val="000000" w:themeColor="text1"/>
          <w:kern w:val="0"/>
          <w:szCs w:val="24"/>
          <w:lang w:eastAsia="zh-CN"/>
          <w14:textFill>
            <w14:solidFill>
              <w14:schemeClr w14:val="tx1"/>
            </w14:solidFill>
          </w14:textFill>
        </w:rPr>
        <w:t>。</w:t>
      </w:r>
      <w:r>
        <w:rPr>
          <w:rFonts w:hint="eastAsia" w:hAnsi="宋体"/>
          <w:color w:val="000000" w:themeColor="text1"/>
          <w:kern w:val="0"/>
          <w:szCs w:val="24"/>
          <w:lang w:val="en-US" w:eastAsia="zh-CN"/>
          <w14:textFill>
            <w14:solidFill>
              <w14:schemeClr w14:val="tx1"/>
            </w14:solidFill>
          </w14:textFill>
        </w:rPr>
        <w:t>同时，建设单位定期对输送管线进行检查</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避免管线发生跑、冒、滴、漏现象，</w:t>
      </w:r>
      <w:r>
        <w:rPr>
          <w:rFonts w:hint="eastAsia"/>
          <w:color w:val="000000" w:themeColor="text1"/>
          <w14:textFill>
            <w14:solidFill>
              <w14:schemeClr w14:val="tx1"/>
            </w14:solidFill>
          </w14:textFill>
        </w:rPr>
        <w:t>确保项目尾水能够全部用于消纳土地的灌溉。</w:t>
      </w:r>
    </w:p>
    <w:p w14:paraId="1CB6CDAB">
      <w:pPr>
        <w:pStyle w:val="8"/>
        <w:pageBreakBefore w:val="0"/>
        <w:widowControl w:val="0"/>
        <w:kinsoku/>
        <w:wordWrap/>
        <w:overflowPunct/>
        <w:topLinePunct w:val="0"/>
        <w:autoSpaceDE/>
        <w:autoSpaceDN/>
        <w:bidi w:val="0"/>
        <w:spacing w:line="46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.2.2.</w:t>
      </w:r>
      <w:r>
        <w:rPr>
          <w:rFonts w:hint="eastAsia"/>
          <w:color w:val="000000" w:themeColor="text1"/>
          <w14:textFill>
            <w14:solidFill>
              <w14:schemeClr w14:val="tx1"/>
            </w14:solidFill>
          </w14:textFill>
        </w:rPr>
        <w:t>5 废水治理经济可行性分析</w:t>
      </w:r>
    </w:p>
    <w:p w14:paraId="3B2ABC5C">
      <w:pPr>
        <w:pageBreakBefore w:val="0"/>
        <w:widowControl w:val="0"/>
        <w:kinsoku/>
        <w:wordWrap/>
        <w:overflowPunct/>
        <w:topLinePunct w:val="0"/>
        <w:autoSpaceDE/>
        <w:autoSpaceDN/>
        <w:bidi w:val="0"/>
        <w:adjustRightInd w:val="0"/>
        <w:snapToGrid w:val="0"/>
        <w:spacing w:line="460" w:lineRule="exact"/>
        <w:ind w:firstLine="480"/>
        <w:textAlignment w:val="auto"/>
        <w:rPr>
          <w:rFonts w:ascii="Times New Roman"/>
          <w:color w:val="000000"/>
          <w:szCs w:val="24"/>
        </w:rPr>
      </w:pPr>
      <w:r>
        <w:rPr>
          <w:rFonts w:ascii="Times New Roman"/>
          <w:color w:val="000000"/>
          <w:szCs w:val="24"/>
        </w:rPr>
        <w:t>项目废水治理运行费用具体见</w:t>
      </w:r>
      <w:r>
        <w:rPr>
          <w:rFonts w:ascii="Times New Roman"/>
          <w:color w:val="000000" w:themeColor="text1"/>
          <w:szCs w:val="24"/>
          <w14:textFill>
            <w14:solidFill>
              <w14:schemeClr w14:val="tx1"/>
            </w14:solidFill>
          </w14:textFill>
        </w:rPr>
        <w:t>表6.2-</w:t>
      </w:r>
      <w:r>
        <w:rPr>
          <w:rFonts w:hint="eastAsia" w:ascii="Times New Roman"/>
          <w:color w:val="000000" w:themeColor="text1"/>
          <w:szCs w:val="24"/>
          <w:lang w:val="en-US" w:eastAsia="zh-CN"/>
          <w14:textFill>
            <w14:solidFill>
              <w14:schemeClr w14:val="tx1"/>
            </w14:solidFill>
          </w14:textFill>
        </w:rPr>
        <w:t>7</w:t>
      </w:r>
      <w:r>
        <w:rPr>
          <w:rFonts w:ascii="Times New Roman"/>
          <w:color w:val="000000" w:themeColor="text1"/>
          <w:szCs w:val="24"/>
          <w14:textFill>
            <w14:solidFill>
              <w14:schemeClr w14:val="tx1"/>
            </w14:solidFill>
          </w14:textFill>
        </w:rPr>
        <w:t>。</w:t>
      </w:r>
    </w:p>
    <w:p w14:paraId="4545D125">
      <w:pPr>
        <w:pageBreakBefore w:val="0"/>
        <w:widowControl w:val="0"/>
        <w:kinsoku/>
        <w:wordWrap/>
        <w:overflowPunct/>
        <w:topLinePunct w:val="0"/>
        <w:autoSpaceDE/>
        <w:autoSpaceDN/>
        <w:bidi w:val="0"/>
        <w:adjustRightInd w:val="0"/>
        <w:snapToGrid w:val="0"/>
        <w:spacing w:line="460" w:lineRule="exact"/>
        <w:ind w:firstLine="482"/>
        <w:jc w:val="center"/>
        <w:textAlignment w:val="auto"/>
        <w:rPr>
          <w:rFonts w:ascii="Times New Roman"/>
          <w:b/>
          <w:color w:val="000000"/>
          <w:szCs w:val="24"/>
        </w:rPr>
      </w:pPr>
      <w:r>
        <w:rPr>
          <w:rFonts w:ascii="Times New Roman"/>
          <w:b/>
          <w:color w:val="000000" w:themeColor="text1"/>
          <w:szCs w:val="24"/>
          <w14:textFill>
            <w14:solidFill>
              <w14:schemeClr w14:val="tx1"/>
            </w14:solidFill>
          </w14:textFill>
        </w:rPr>
        <w:t>表6.2-</w:t>
      </w:r>
      <w:r>
        <w:rPr>
          <w:rFonts w:hint="eastAsia" w:ascii="Times New Roman"/>
          <w:b/>
          <w:color w:val="000000" w:themeColor="text1"/>
          <w:szCs w:val="24"/>
          <w:lang w:val="en-US" w:eastAsia="zh-CN"/>
          <w14:textFill>
            <w14:solidFill>
              <w14:schemeClr w14:val="tx1"/>
            </w14:solidFill>
          </w14:textFill>
        </w:rPr>
        <w:t>7</w:t>
      </w:r>
      <w:r>
        <w:rPr>
          <w:rFonts w:ascii="Times New Roman"/>
          <w:b/>
          <w:color w:val="000000" w:themeColor="text1"/>
          <w:szCs w:val="24"/>
          <w14:textFill>
            <w14:solidFill>
              <w14:schemeClr w14:val="tx1"/>
            </w14:solidFill>
          </w14:textFill>
        </w:rPr>
        <w:t>项目</w:t>
      </w:r>
      <w:r>
        <w:rPr>
          <w:rFonts w:ascii="Times New Roman"/>
          <w:b/>
          <w:color w:val="000000"/>
          <w:szCs w:val="24"/>
        </w:rPr>
        <w:t>废水治理运行费用一览表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5"/>
        <w:gridCol w:w="2030"/>
        <w:gridCol w:w="1880"/>
        <w:gridCol w:w="2213"/>
        <w:gridCol w:w="2213"/>
      </w:tblGrid>
      <w:tr w14:paraId="24CA8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715" w:type="dxa"/>
            <w:gridSpan w:val="2"/>
            <w:vAlign w:val="center"/>
          </w:tcPr>
          <w:p w14:paraId="36AA73E7">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类别</w:t>
            </w:r>
          </w:p>
        </w:tc>
        <w:tc>
          <w:tcPr>
            <w:tcW w:w="1880" w:type="dxa"/>
            <w:vAlign w:val="center"/>
          </w:tcPr>
          <w:p w14:paraId="6B844B70">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消耗量</w:t>
            </w:r>
          </w:p>
        </w:tc>
        <w:tc>
          <w:tcPr>
            <w:tcW w:w="2213" w:type="dxa"/>
            <w:vAlign w:val="center"/>
          </w:tcPr>
          <w:p w14:paraId="1C897F9F">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单价</w:t>
            </w:r>
          </w:p>
        </w:tc>
        <w:tc>
          <w:tcPr>
            <w:tcW w:w="2213" w:type="dxa"/>
            <w:vAlign w:val="center"/>
          </w:tcPr>
          <w:p w14:paraId="1FFEF73A">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费用</w:t>
            </w:r>
          </w:p>
        </w:tc>
      </w:tr>
      <w:tr w14:paraId="5EF456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85" w:type="dxa"/>
            <w:vMerge w:val="restart"/>
            <w:vAlign w:val="center"/>
          </w:tcPr>
          <w:p w14:paraId="73E7786C">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污水处理</w:t>
            </w:r>
          </w:p>
        </w:tc>
        <w:tc>
          <w:tcPr>
            <w:tcW w:w="2030" w:type="dxa"/>
            <w:vAlign w:val="center"/>
          </w:tcPr>
          <w:p w14:paraId="2D417167">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电费</w:t>
            </w:r>
          </w:p>
        </w:tc>
        <w:tc>
          <w:tcPr>
            <w:tcW w:w="1880" w:type="dxa"/>
            <w:vAlign w:val="center"/>
          </w:tcPr>
          <w:p w14:paraId="02A33660">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1.5 kW h/吨水</w:t>
            </w:r>
          </w:p>
        </w:tc>
        <w:tc>
          <w:tcPr>
            <w:tcW w:w="2213" w:type="dxa"/>
            <w:vAlign w:val="center"/>
          </w:tcPr>
          <w:p w14:paraId="3E56F1E2">
            <w:pPr>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0.75</w:t>
            </w:r>
            <w:r>
              <w:rPr>
                <w:rFonts w:ascii="Times New Roman" w:eastAsia="宋体"/>
                <w:color w:val="000000"/>
                <w:sz w:val="21"/>
                <w:szCs w:val="21"/>
              </w:rPr>
              <w:t>元/kWh</w:t>
            </w:r>
          </w:p>
        </w:tc>
        <w:tc>
          <w:tcPr>
            <w:tcW w:w="2213" w:type="dxa"/>
            <w:vAlign w:val="center"/>
          </w:tcPr>
          <w:p w14:paraId="7E047AB5">
            <w:pPr>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1.125</w:t>
            </w:r>
            <w:r>
              <w:rPr>
                <w:rFonts w:ascii="Times New Roman" w:eastAsia="宋体"/>
                <w:color w:val="000000"/>
                <w:sz w:val="21"/>
                <w:szCs w:val="21"/>
              </w:rPr>
              <w:t>元/吨水</w:t>
            </w:r>
          </w:p>
        </w:tc>
      </w:tr>
      <w:tr w14:paraId="0873D3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85" w:type="dxa"/>
            <w:vMerge w:val="continue"/>
            <w:vAlign w:val="center"/>
          </w:tcPr>
          <w:p w14:paraId="362D1060">
            <w:pPr>
              <w:adjustRightInd w:val="0"/>
              <w:snapToGrid w:val="0"/>
              <w:spacing w:line="300" w:lineRule="exact"/>
              <w:jc w:val="center"/>
              <w:rPr>
                <w:rFonts w:ascii="Times New Roman" w:eastAsia="宋体"/>
                <w:color w:val="000000"/>
                <w:sz w:val="21"/>
                <w:szCs w:val="21"/>
              </w:rPr>
            </w:pPr>
          </w:p>
        </w:tc>
        <w:tc>
          <w:tcPr>
            <w:tcW w:w="2030" w:type="dxa"/>
            <w:vAlign w:val="center"/>
          </w:tcPr>
          <w:p w14:paraId="2202C1FF">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人员费（</w:t>
            </w:r>
            <w:r>
              <w:rPr>
                <w:rFonts w:hint="eastAsia" w:ascii="Times New Roman" w:eastAsia="宋体"/>
                <w:color w:val="000000"/>
                <w:sz w:val="21"/>
                <w:szCs w:val="21"/>
              </w:rPr>
              <w:t>3</w:t>
            </w:r>
            <w:r>
              <w:rPr>
                <w:rFonts w:ascii="Times New Roman" w:eastAsia="宋体"/>
                <w:color w:val="000000"/>
                <w:sz w:val="21"/>
                <w:szCs w:val="21"/>
              </w:rPr>
              <w:t>人</w:t>
            </w:r>
            <w:r>
              <w:rPr>
                <w:rFonts w:hint="eastAsia" w:ascii="Times New Roman" w:eastAsia="宋体"/>
                <w:color w:val="000000"/>
                <w:sz w:val="21"/>
                <w:szCs w:val="21"/>
              </w:rPr>
              <w:t>，养殖人员兼职</w:t>
            </w:r>
            <w:r>
              <w:rPr>
                <w:rFonts w:ascii="Times New Roman" w:eastAsia="宋体"/>
                <w:color w:val="000000"/>
                <w:sz w:val="21"/>
                <w:szCs w:val="21"/>
              </w:rPr>
              <w:t>）</w:t>
            </w:r>
          </w:p>
        </w:tc>
        <w:tc>
          <w:tcPr>
            <w:tcW w:w="1880" w:type="dxa"/>
            <w:vAlign w:val="center"/>
          </w:tcPr>
          <w:p w14:paraId="5B33ECAD">
            <w:pPr>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w:t>
            </w:r>
          </w:p>
        </w:tc>
        <w:tc>
          <w:tcPr>
            <w:tcW w:w="2213" w:type="dxa"/>
            <w:vAlign w:val="center"/>
          </w:tcPr>
          <w:p w14:paraId="470ACF8F">
            <w:pPr>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w:t>
            </w:r>
          </w:p>
        </w:tc>
        <w:tc>
          <w:tcPr>
            <w:tcW w:w="2213" w:type="dxa"/>
            <w:vAlign w:val="center"/>
          </w:tcPr>
          <w:p w14:paraId="40FBF81C">
            <w:pPr>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w:t>
            </w:r>
          </w:p>
        </w:tc>
      </w:tr>
      <w:tr w14:paraId="42F00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85" w:type="dxa"/>
            <w:vMerge w:val="continue"/>
            <w:vAlign w:val="center"/>
          </w:tcPr>
          <w:p w14:paraId="5B976EEA">
            <w:pPr>
              <w:adjustRightInd w:val="0"/>
              <w:snapToGrid w:val="0"/>
              <w:spacing w:line="300" w:lineRule="exact"/>
              <w:jc w:val="center"/>
              <w:rPr>
                <w:rFonts w:ascii="Times New Roman" w:eastAsia="宋体"/>
                <w:color w:val="000000"/>
                <w:sz w:val="21"/>
                <w:szCs w:val="21"/>
              </w:rPr>
            </w:pPr>
          </w:p>
        </w:tc>
        <w:tc>
          <w:tcPr>
            <w:tcW w:w="2030" w:type="dxa"/>
            <w:vAlign w:val="center"/>
          </w:tcPr>
          <w:p w14:paraId="45F44D43">
            <w:pPr>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日常维护</w:t>
            </w:r>
          </w:p>
        </w:tc>
        <w:tc>
          <w:tcPr>
            <w:tcW w:w="1880" w:type="dxa"/>
            <w:vAlign w:val="center"/>
          </w:tcPr>
          <w:p w14:paraId="5D147701">
            <w:pPr>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w:t>
            </w:r>
          </w:p>
        </w:tc>
        <w:tc>
          <w:tcPr>
            <w:tcW w:w="2213" w:type="dxa"/>
            <w:vAlign w:val="center"/>
          </w:tcPr>
          <w:p w14:paraId="3E97E978">
            <w:pPr>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w:t>
            </w:r>
          </w:p>
        </w:tc>
        <w:tc>
          <w:tcPr>
            <w:tcW w:w="2213" w:type="dxa"/>
            <w:vAlign w:val="center"/>
          </w:tcPr>
          <w:p w14:paraId="45BABFDE">
            <w:pPr>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1.5</w:t>
            </w:r>
            <w:r>
              <w:rPr>
                <w:rFonts w:ascii="Times New Roman" w:eastAsia="宋体"/>
                <w:color w:val="000000"/>
                <w:sz w:val="21"/>
                <w:szCs w:val="21"/>
              </w:rPr>
              <w:t>元/吨水</w:t>
            </w:r>
          </w:p>
        </w:tc>
      </w:tr>
      <w:tr w14:paraId="0ECD9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85" w:type="dxa"/>
            <w:vMerge w:val="continue"/>
            <w:vAlign w:val="center"/>
          </w:tcPr>
          <w:p w14:paraId="1CCCB524">
            <w:pPr>
              <w:adjustRightInd w:val="0"/>
              <w:snapToGrid w:val="0"/>
              <w:spacing w:line="300" w:lineRule="exact"/>
              <w:jc w:val="center"/>
              <w:rPr>
                <w:rFonts w:ascii="Times New Roman" w:eastAsia="宋体"/>
                <w:color w:val="000000"/>
                <w:sz w:val="21"/>
                <w:szCs w:val="21"/>
              </w:rPr>
            </w:pPr>
          </w:p>
        </w:tc>
        <w:tc>
          <w:tcPr>
            <w:tcW w:w="2030" w:type="dxa"/>
            <w:vAlign w:val="center"/>
          </w:tcPr>
          <w:p w14:paraId="07571FC8">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药剂费、材料费</w:t>
            </w:r>
          </w:p>
        </w:tc>
        <w:tc>
          <w:tcPr>
            <w:tcW w:w="1880" w:type="dxa"/>
            <w:vAlign w:val="center"/>
          </w:tcPr>
          <w:p w14:paraId="3655580F">
            <w:pPr>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w:t>
            </w:r>
          </w:p>
        </w:tc>
        <w:tc>
          <w:tcPr>
            <w:tcW w:w="2213" w:type="dxa"/>
            <w:vAlign w:val="center"/>
          </w:tcPr>
          <w:p w14:paraId="5BACBC92">
            <w:pPr>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w:t>
            </w:r>
          </w:p>
        </w:tc>
        <w:tc>
          <w:tcPr>
            <w:tcW w:w="2213" w:type="dxa"/>
            <w:vAlign w:val="center"/>
          </w:tcPr>
          <w:p w14:paraId="2FDF9771">
            <w:pPr>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8.0</w:t>
            </w:r>
            <w:r>
              <w:rPr>
                <w:rFonts w:ascii="Times New Roman" w:eastAsia="宋体"/>
                <w:color w:val="000000"/>
                <w:sz w:val="21"/>
                <w:szCs w:val="21"/>
              </w:rPr>
              <w:t>元/吨水</w:t>
            </w:r>
          </w:p>
        </w:tc>
      </w:tr>
      <w:tr w14:paraId="54509C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715" w:type="dxa"/>
            <w:gridSpan w:val="2"/>
            <w:vAlign w:val="center"/>
          </w:tcPr>
          <w:p w14:paraId="7982698B">
            <w:pPr>
              <w:adjustRightInd w:val="0"/>
              <w:snapToGrid w:val="0"/>
              <w:spacing w:line="300" w:lineRule="exact"/>
              <w:jc w:val="center"/>
              <w:rPr>
                <w:rFonts w:ascii="Times New Roman" w:eastAsia="宋体"/>
                <w:color w:val="000000"/>
                <w:sz w:val="21"/>
                <w:szCs w:val="21"/>
              </w:rPr>
            </w:pPr>
            <w:r>
              <w:rPr>
                <w:rFonts w:ascii="Times New Roman" w:eastAsia="宋体"/>
                <w:color w:val="000000"/>
                <w:sz w:val="21"/>
                <w:szCs w:val="21"/>
              </w:rPr>
              <w:t>合计</w:t>
            </w:r>
          </w:p>
        </w:tc>
        <w:tc>
          <w:tcPr>
            <w:tcW w:w="1880" w:type="dxa"/>
            <w:vAlign w:val="center"/>
          </w:tcPr>
          <w:p w14:paraId="46DBE9E8">
            <w:pPr>
              <w:adjustRightInd w:val="0"/>
              <w:snapToGrid w:val="0"/>
              <w:spacing w:line="300" w:lineRule="exact"/>
              <w:jc w:val="center"/>
              <w:rPr>
                <w:rFonts w:ascii="Times New Roman" w:eastAsia="宋体"/>
                <w:color w:val="000000"/>
                <w:sz w:val="21"/>
                <w:szCs w:val="21"/>
              </w:rPr>
            </w:pPr>
          </w:p>
        </w:tc>
        <w:tc>
          <w:tcPr>
            <w:tcW w:w="2213" w:type="dxa"/>
            <w:vAlign w:val="center"/>
          </w:tcPr>
          <w:p w14:paraId="13E0AFF7">
            <w:pPr>
              <w:adjustRightInd w:val="0"/>
              <w:snapToGrid w:val="0"/>
              <w:spacing w:line="300" w:lineRule="exact"/>
              <w:jc w:val="center"/>
              <w:rPr>
                <w:rFonts w:ascii="Times New Roman" w:eastAsia="宋体"/>
                <w:color w:val="000000"/>
                <w:sz w:val="21"/>
                <w:szCs w:val="21"/>
              </w:rPr>
            </w:pPr>
          </w:p>
        </w:tc>
        <w:tc>
          <w:tcPr>
            <w:tcW w:w="2213" w:type="dxa"/>
            <w:vAlign w:val="center"/>
          </w:tcPr>
          <w:p w14:paraId="34105458">
            <w:pPr>
              <w:adjustRightInd w:val="0"/>
              <w:snapToGrid w:val="0"/>
              <w:spacing w:line="300" w:lineRule="exact"/>
              <w:jc w:val="center"/>
              <w:rPr>
                <w:rFonts w:ascii="Times New Roman" w:eastAsia="宋体"/>
                <w:color w:val="000000"/>
                <w:sz w:val="21"/>
                <w:szCs w:val="21"/>
              </w:rPr>
            </w:pPr>
            <w:r>
              <w:rPr>
                <w:rFonts w:hint="eastAsia" w:ascii="Times New Roman" w:eastAsia="宋体"/>
                <w:color w:val="000000"/>
                <w:sz w:val="21"/>
                <w:szCs w:val="21"/>
              </w:rPr>
              <w:t>10.625</w:t>
            </w:r>
            <w:r>
              <w:rPr>
                <w:rFonts w:ascii="Times New Roman" w:eastAsia="宋体"/>
                <w:color w:val="000000"/>
                <w:sz w:val="21"/>
                <w:szCs w:val="21"/>
              </w:rPr>
              <w:t>元/吨水</w:t>
            </w:r>
          </w:p>
        </w:tc>
      </w:tr>
    </w:tbl>
    <w:p w14:paraId="25747CF9">
      <w:pPr>
        <w:adjustRightInd w:val="0"/>
        <w:snapToGrid w:val="0"/>
        <w:spacing w:line="460" w:lineRule="atLeast"/>
        <w:ind w:firstLine="482"/>
        <w:rPr>
          <w:rFonts w:ascii="Times New Roman"/>
          <w:color w:val="000000"/>
          <w:szCs w:val="24"/>
        </w:rPr>
      </w:pPr>
      <w:r>
        <w:rPr>
          <w:rFonts w:ascii="Times New Roman"/>
          <w:color w:val="000000"/>
          <w:szCs w:val="24"/>
        </w:rPr>
        <w:t>由上表可知，本项目废水治理措施运行费用共约</w:t>
      </w:r>
      <w:r>
        <w:rPr>
          <w:rFonts w:hint="eastAsia" w:ascii="Times New Roman"/>
          <w:color w:val="000000"/>
          <w:szCs w:val="24"/>
        </w:rPr>
        <w:t>10.625</w:t>
      </w:r>
      <w:r>
        <w:rPr>
          <w:rFonts w:ascii="Times New Roman"/>
          <w:color w:val="000000"/>
          <w:szCs w:val="24"/>
        </w:rPr>
        <w:t>元/吨水，该费用所占比例不大，可认为本</w:t>
      </w:r>
      <w:r>
        <w:rPr>
          <w:rFonts w:hint="eastAsia" w:ascii="Times New Roman"/>
          <w:color w:val="000000"/>
          <w:szCs w:val="24"/>
        </w:rPr>
        <w:t>项目</w:t>
      </w:r>
      <w:r>
        <w:rPr>
          <w:rFonts w:ascii="Times New Roman"/>
          <w:color w:val="000000"/>
          <w:szCs w:val="24"/>
        </w:rPr>
        <w:t>废水处理工艺从经济上是合理的</w:t>
      </w:r>
      <w:r>
        <w:rPr>
          <w:rFonts w:hint="eastAsia" w:ascii="Times New Roman"/>
          <w:color w:val="000000"/>
          <w:szCs w:val="24"/>
        </w:rPr>
        <w:t>，</w:t>
      </w:r>
      <w:r>
        <w:rPr>
          <w:rFonts w:ascii="Times New Roman"/>
          <w:color w:val="000000"/>
          <w:szCs w:val="24"/>
        </w:rPr>
        <w:t>并可保证稳定运行。</w:t>
      </w:r>
    </w:p>
    <w:p w14:paraId="11FA2F0A">
      <w:pPr>
        <w:adjustRightInd w:val="0"/>
        <w:spacing w:line="460" w:lineRule="atLeast"/>
        <w:ind w:firstLine="482"/>
        <w:rPr>
          <w:rFonts w:ascii="Times New Roman"/>
          <w:color w:val="000000"/>
          <w:szCs w:val="24"/>
        </w:rPr>
      </w:pPr>
      <w:r>
        <w:rPr>
          <w:rFonts w:ascii="Times New Roman"/>
          <w:color w:val="000000"/>
          <w:szCs w:val="24"/>
        </w:rPr>
        <w:t>本项目废水污染防治措施见</w:t>
      </w:r>
      <w:r>
        <w:rPr>
          <w:rFonts w:ascii="Times New Roman"/>
          <w:color w:val="000000" w:themeColor="text1"/>
          <w:szCs w:val="24"/>
          <w14:textFill>
            <w14:solidFill>
              <w14:schemeClr w14:val="tx1"/>
            </w14:solidFill>
          </w14:textFill>
        </w:rPr>
        <w:t>表6.</w:t>
      </w:r>
      <w:r>
        <w:rPr>
          <w:rFonts w:hint="eastAsia" w:ascii="Times New Roman"/>
          <w:color w:val="000000" w:themeColor="text1"/>
          <w:szCs w:val="24"/>
          <w14:textFill>
            <w14:solidFill>
              <w14:schemeClr w14:val="tx1"/>
            </w14:solidFill>
          </w14:textFill>
        </w:rPr>
        <w:t>3</w:t>
      </w:r>
      <w:r>
        <w:rPr>
          <w:rFonts w:ascii="Times New Roman"/>
          <w:color w:val="000000" w:themeColor="text1"/>
          <w:szCs w:val="24"/>
          <w14:textFill>
            <w14:solidFill>
              <w14:schemeClr w14:val="tx1"/>
            </w14:solidFill>
          </w14:textFill>
        </w:rPr>
        <w:t>-1，主要的投资为环保设施的一次性投资，约</w:t>
      </w:r>
      <w:r>
        <w:rPr>
          <w:rFonts w:hint="eastAsia" w:ascii="Times New Roman"/>
          <w:color w:val="000000" w:themeColor="text1"/>
          <w:szCs w:val="24"/>
          <w:lang w:val="en-US" w:eastAsia="zh-CN"/>
          <w14:textFill>
            <w14:solidFill>
              <w14:schemeClr w14:val="tx1"/>
            </w14:solidFill>
          </w14:textFill>
        </w:rPr>
        <w:t>7</w:t>
      </w:r>
      <w:r>
        <w:rPr>
          <w:rFonts w:hint="eastAsia" w:ascii="Times New Roman"/>
          <w:color w:val="000000" w:themeColor="text1"/>
          <w:szCs w:val="24"/>
          <w14:textFill>
            <w14:solidFill>
              <w14:schemeClr w14:val="tx1"/>
            </w14:solidFill>
          </w14:textFill>
        </w:rPr>
        <w:t>0</w:t>
      </w:r>
      <w:r>
        <w:rPr>
          <w:rFonts w:ascii="Times New Roman"/>
          <w:color w:val="000000" w:themeColor="text1"/>
          <w:szCs w:val="24"/>
          <w14:textFill>
            <w14:solidFill>
              <w14:schemeClr w14:val="tx1"/>
            </w14:solidFill>
          </w14:textFill>
        </w:rPr>
        <w:t>万元，占项目总投资的</w:t>
      </w:r>
      <w:r>
        <w:rPr>
          <w:rFonts w:hint="eastAsia" w:ascii="Times New Roman"/>
          <w:color w:val="000000" w:themeColor="text1"/>
          <w:szCs w:val="24"/>
          <w14:textFill>
            <w14:solidFill>
              <w14:schemeClr w14:val="tx1"/>
            </w14:solidFill>
          </w14:textFill>
        </w:rPr>
        <w:t>4.</w:t>
      </w:r>
      <w:r>
        <w:rPr>
          <w:rFonts w:hint="eastAsia" w:ascii="Times New Roman"/>
          <w:color w:val="000000" w:themeColor="text1"/>
          <w:szCs w:val="24"/>
          <w:lang w:val="en-US" w:eastAsia="zh-CN"/>
          <w14:textFill>
            <w14:solidFill>
              <w14:schemeClr w14:val="tx1"/>
            </w14:solidFill>
          </w14:textFill>
        </w:rPr>
        <w:t>7</w:t>
      </w:r>
      <w:r>
        <w:rPr>
          <w:rFonts w:ascii="Times New Roman"/>
          <w:color w:val="000000" w:themeColor="text1"/>
          <w:szCs w:val="24"/>
          <w14:textFill>
            <w14:solidFill>
              <w14:schemeClr w14:val="tx1"/>
            </w14:solidFill>
          </w14:textFill>
        </w:rPr>
        <w:t>%，同时</w:t>
      </w:r>
      <w:r>
        <w:rPr>
          <w:rFonts w:ascii="Times New Roman"/>
          <w:color w:val="000000"/>
          <w:szCs w:val="24"/>
        </w:rPr>
        <w:t>污水站运行过程中要严格按规范进行操作，并注意加强对污水处理设施的管理与维修保养，定期更换用料，保证污水处理设施的正常运转，减少不必要的浪费。</w:t>
      </w:r>
    </w:p>
    <w:p w14:paraId="4FA56FA8">
      <w:pPr>
        <w:pageBreakBefore w:val="0"/>
        <w:widowControl w:val="0"/>
        <w:kinsoku/>
        <w:wordWrap/>
        <w:overflowPunct/>
        <w:topLinePunct w:val="0"/>
        <w:autoSpaceDE/>
        <w:autoSpaceDN/>
        <w:bidi w:val="0"/>
        <w:adjustRightInd w:val="0"/>
        <w:snapToGrid/>
        <w:spacing w:line="500" w:lineRule="exact"/>
        <w:ind w:firstLine="482"/>
        <w:textAlignment w:val="auto"/>
        <w:rPr>
          <w:rFonts w:ascii="Times New Roman"/>
          <w:color w:val="000000"/>
          <w:szCs w:val="24"/>
        </w:rPr>
      </w:pPr>
      <w:r>
        <w:rPr>
          <w:rFonts w:ascii="Times New Roman"/>
          <w:color w:val="000000"/>
          <w:szCs w:val="24"/>
        </w:rPr>
        <w:t>根据以上章节分析可知，从技术、经济角度上来看，建设项目各项废水治理设施能够保证稳定运行，不会造成区域地表水环境质量超标现象。</w:t>
      </w:r>
    </w:p>
    <w:p w14:paraId="175BB648">
      <w:pPr>
        <w:pStyle w:val="7"/>
        <w:pageBreakBefore w:val="0"/>
        <w:widowControl w:val="0"/>
        <w:kinsoku/>
        <w:wordWrap/>
        <w:overflowPunct/>
        <w:topLinePunct w:val="0"/>
        <w:autoSpaceDE/>
        <w:autoSpaceDN/>
        <w:bidi w:val="0"/>
        <w:snapToGrid/>
        <w:spacing w:line="500" w:lineRule="exact"/>
        <w:textAlignment w:val="auto"/>
      </w:pPr>
      <w:r>
        <w:rPr>
          <w:rFonts w:hint="eastAsia"/>
        </w:rPr>
        <w:t>6</w:t>
      </w:r>
      <w:r>
        <w:t xml:space="preserve">.2.3 </w:t>
      </w:r>
      <w:r>
        <w:rPr>
          <w:rFonts w:hint="eastAsia"/>
        </w:rPr>
        <w:t>噪声污染防治措施评述</w:t>
      </w:r>
    </w:p>
    <w:p w14:paraId="59E7E86D">
      <w:pPr>
        <w:pageBreakBefore w:val="0"/>
        <w:widowControl w:val="0"/>
        <w:kinsoku/>
        <w:wordWrap/>
        <w:overflowPunct/>
        <w:topLinePunct w:val="0"/>
        <w:autoSpaceDE/>
        <w:autoSpaceDN/>
        <w:bidi w:val="0"/>
        <w:snapToGrid/>
        <w:spacing w:line="500" w:lineRule="exact"/>
        <w:ind w:firstLine="480" w:firstLineChars="200"/>
        <w:textAlignment w:val="auto"/>
        <w:rPr>
          <w:rFonts w:ascii="Times New Roman" w:hAnsi="Times New Roman" w:cs="Times New Roman"/>
        </w:rPr>
      </w:pPr>
      <w:r>
        <w:rPr>
          <w:rFonts w:ascii="Times New Roman" w:hAnsi="Times New Roman" w:cs="Times New Roman"/>
        </w:rPr>
        <w:t>本项目噪声主要来源于</w:t>
      </w:r>
      <w:r>
        <w:rPr>
          <w:rFonts w:hint="eastAsia" w:ascii="Times New Roman" w:hAnsi="Times New Roman" w:cs="Times New Roman"/>
          <w:lang w:val="en-US" w:eastAsia="zh-CN"/>
        </w:rPr>
        <w:t>电热水锅炉</w:t>
      </w:r>
      <w:r>
        <w:rPr>
          <w:rFonts w:ascii="Times New Roman" w:hAnsi="Times New Roman" w:cs="Times New Roman"/>
        </w:rPr>
        <w:t>、水泵、各类风机等设备运转产生的噪声及鸡叫声等，为保证厂界噪声达标，项目采取以下降噪措施：</w:t>
      </w:r>
    </w:p>
    <w:p w14:paraId="11AFED8A">
      <w:pPr>
        <w:pStyle w:val="49"/>
        <w:pageBreakBefore w:val="0"/>
        <w:widowControl w:val="0"/>
        <w:kinsoku/>
        <w:wordWrap/>
        <w:overflowPunct/>
        <w:topLinePunct w:val="0"/>
        <w:autoSpaceDE/>
        <w:autoSpaceDN/>
        <w:bidi w:val="0"/>
        <w:adjustRightInd/>
        <w:snapToGrid/>
        <w:spacing w:line="500" w:lineRule="exact"/>
        <w:ind w:firstLine="480"/>
        <w:textAlignment w:val="auto"/>
        <w:rPr>
          <w:rFonts w:cs="Times New Roman"/>
        </w:rPr>
      </w:pPr>
      <w:r>
        <w:rPr>
          <w:rFonts w:cs="Times New Roman"/>
        </w:rPr>
        <w:t>（1）厂区总</w:t>
      </w:r>
      <w:r>
        <w:rPr>
          <w:rFonts w:cs="Times New Roman"/>
          <w:szCs w:val="24"/>
        </w:rPr>
        <w:t>平面布置</w:t>
      </w:r>
      <w:r>
        <w:rPr>
          <w:rFonts w:cs="Times New Roman"/>
        </w:rPr>
        <w:t>时，按照闹静分开的原则，项目所有生产设备均布置在生产车间内，将高噪声设备尽可能布置在远离厂界和办公区的地方。</w:t>
      </w:r>
    </w:p>
    <w:p w14:paraId="4214CD30">
      <w:pPr>
        <w:pStyle w:val="49"/>
        <w:pageBreakBefore w:val="0"/>
        <w:widowControl w:val="0"/>
        <w:kinsoku/>
        <w:wordWrap/>
        <w:overflowPunct/>
        <w:topLinePunct w:val="0"/>
        <w:autoSpaceDE/>
        <w:autoSpaceDN/>
        <w:bidi w:val="0"/>
        <w:adjustRightInd/>
        <w:snapToGrid/>
        <w:spacing w:line="500" w:lineRule="exact"/>
        <w:ind w:firstLine="480"/>
        <w:textAlignment w:val="auto"/>
        <w:rPr>
          <w:rFonts w:cs="Times New Roman"/>
        </w:rPr>
      </w:pPr>
      <w:r>
        <w:rPr>
          <w:rFonts w:cs="Times New Roman"/>
        </w:rPr>
        <w:t>（2）优先</w:t>
      </w:r>
      <w:r>
        <w:rPr>
          <w:rFonts w:cs="Times New Roman"/>
          <w:szCs w:val="24"/>
        </w:rPr>
        <w:t>选用</w:t>
      </w:r>
      <w:r>
        <w:rPr>
          <w:rFonts w:cs="Times New Roman"/>
        </w:rPr>
        <w:t>性能好、噪声发生源强小和生产效率高的设备，控制噪声源强。</w:t>
      </w:r>
    </w:p>
    <w:p w14:paraId="11AA7490">
      <w:pPr>
        <w:pStyle w:val="49"/>
        <w:pageBreakBefore w:val="0"/>
        <w:widowControl w:val="0"/>
        <w:kinsoku/>
        <w:wordWrap/>
        <w:overflowPunct/>
        <w:topLinePunct w:val="0"/>
        <w:autoSpaceDE/>
        <w:autoSpaceDN/>
        <w:bidi w:val="0"/>
        <w:adjustRightInd/>
        <w:snapToGrid/>
        <w:spacing w:line="500" w:lineRule="exact"/>
        <w:ind w:firstLine="480"/>
        <w:textAlignment w:val="auto"/>
        <w:rPr>
          <w:rFonts w:cs="Times New Roman"/>
        </w:rPr>
      </w:pPr>
      <w:r>
        <w:rPr>
          <w:rFonts w:cs="Times New Roman"/>
        </w:rPr>
        <w:t>（3）车间</w:t>
      </w:r>
      <w:r>
        <w:rPr>
          <w:rFonts w:cs="Times New Roman"/>
          <w:szCs w:val="24"/>
        </w:rPr>
        <w:t>门窗</w:t>
      </w:r>
      <w:r>
        <w:rPr>
          <w:rFonts w:cs="Times New Roman"/>
        </w:rPr>
        <w:t>应设置隔声措施，肉鸡养殖过程时应尽可能的关闭门窗。对于室外高噪声设备，在采取隔声罩的基础上通过周围其他建筑物隔声减少对厂界的噪声影响。</w:t>
      </w:r>
    </w:p>
    <w:p w14:paraId="14587615">
      <w:pPr>
        <w:pStyle w:val="49"/>
        <w:pageBreakBefore w:val="0"/>
        <w:widowControl w:val="0"/>
        <w:kinsoku/>
        <w:wordWrap/>
        <w:overflowPunct/>
        <w:topLinePunct w:val="0"/>
        <w:autoSpaceDE/>
        <w:autoSpaceDN/>
        <w:bidi w:val="0"/>
        <w:adjustRightInd/>
        <w:snapToGrid/>
        <w:spacing w:line="500" w:lineRule="exact"/>
        <w:ind w:firstLine="480"/>
        <w:textAlignment w:val="auto"/>
        <w:rPr>
          <w:rFonts w:cs="Times New Roman"/>
        </w:rPr>
      </w:pPr>
      <w:r>
        <w:rPr>
          <w:rFonts w:cs="Times New Roman"/>
        </w:rPr>
        <w:t>（4）主</w:t>
      </w:r>
      <w:r>
        <w:rPr>
          <w:rFonts w:cs="Times New Roman"/>
          <w:szCs w:val="24"/>
        </w:rPr>
        <w:t>要噪声</w:t>
      </w:r>
      <w:r>
        <w:rPr>
          <w:rFonts w:cs="Times New Roman"/>
        </w:rPr>
        <w:t>设备应采取隔声、减振、消声等降噪措施。动力设备采用钢砼隔振基础，管道、阀门接口等采取缓动及减振的挠性接头。</w:t>
      </w:r>
    </w:p>
    <w:p w14:paraId="74CCF7C7">
      <w:pPr>
        <w:pStyle w:val="49"/>
        <w:pageBreakBefore w:val="0"/>
        <w:widowControl w:val="0"/>
        <w:kinsoku/>
        <w:wordWrap/>
        <w:overflowPunct/>
        <w:topLinePunct w:val="0"/>
        <w:autoSpaceDE/>
        <w:autoSpaceDN/>
        <w:bidi w:val="0"/>
        <w:adjustRightInd/>
        <w:snapToGrid/>
        <w:spacing w:line="500" w:lineRule="exact"/>
        <w:ind w:firstLine="480"/>
        <w:textAlignment w:val="auto"/>
        <w:outlineLvl w:val="1"/>
        <w:rPr>
          <w:rFonts w:eastAsia="宋体" w:cs="Times New Roman"/>
          <w:szCs w:val="24"/>
        </w:rPr>
      </w:pPr>
      <w:bookmarkStart w:id="151" w:name="_Toc15285"/>
      <w:bookmarkStart w:id="152" w:name="_Toc548"/>
      <w:bookmarkStart w:id="153" w:name="_Toc10788"/>
      <w:bookmarkStart w:id="154" w:name="_Toc19402"/>
      <w:r>
        <w:rPr>
          <w:rFonts w:cs="Times New Roman"/>
          <w:szCs w:val="24"/>
        </w:rPr>
        <w:t>（5）饲养过程中</w:t>
      </w:r>
      <w:r>
        <w:rPr>
          <w:rFonts w:eastAsia="宋体" w:cs="Times New Roman"/>
          <w:color w:val="000000"/>
          <w:szCs w:val="24"/>
          <w:lang w:bidi="ar"/>
        </w:rPr>
        <w:t>喂足肉鸡饲料和水，避免因饥渴产生的突发性噪声</w:t>
      </w:r>
      <w:bookmarkEnd w:id="151"/>
      <w:bookmarkEnd w:id="152"/>
      <w:bookmarkEnd w:id="153"/>
      <w:bookmarkEnd w:id="154"/>
    </w:p>
    <w:p w14:paraId="3EF7E55B">
      <w:pPr>
        <w:pStyle w:val="49"/>
        <w:pageBreakBefore w:val="0"/>
        <w:widowControl w:val="0"/>
        <w:kinsoku/>
        <w:wordWrap/>
        <w:overflowPunct/>
        <w:topLinePunct w:val="0"/>
        <w:autoSpaceDE/>
        <w:autoSpaceDN/>
        <w:bidi w:val="0"/>
        <w:adjustRightInd/>
        <w:snapToGrid/>
        <w:spacing w:line="500" w:lineRule="exact"/>
        <w:ind w:firstLine="480"/>
        <w:textAlignment w:val="auto"/>
        <w:rPr>
          <w:rFonts w:eastAsia="宋体" w:cs="Times New Roman"/>
        </w:rPr>
      </w:pPr>
      <w:r>
        <w:rPr>
          <w:rFonts w:cs="Times New Roman"/>
        </w:rPr>
        <w:t>（6）运输</w:t>
      </w:r>
      <w:r>
        <w:rPr>
          <w:rFonts w:eastAsia="宋体" w:cs="Times New Roman"/>
          <w:szCs w:val="24"/>
        </w:rPr>
        <w:t>车辆出入厂区应尽量远离敏感点，车辆保持低速行驶，禁止禁鸣。</w:t>
      </w:r>
    </w:p>
    <w:p w14:paraId="52037216">
      <w:pPr>
        <w:pStyle w:val="49"/>
        <w:pageBreakBefore w:val="0"/>
        <w:widowControl w:val="0"/>
        <w:kinsoku/>
        <w:wordWrap/>
        <w:overflowPunct/>
        <w:topLinePunct w:val="0"/>
        <w:autoSpaceDE/>
        <w:autoSpaceDN/>
        <w:bidi w:val="0"/>
        <w:adjustRightInd/>
        <w:snapToGrid/>
        <w:spacing w:line="500" w:lineRule="exact"/>
        <w:ind w:firstLine="480"/>
        <w:textAlignment w:val="auto"/>
        <w:rPr>
          <w:rFonts w:cs="Times New Roman"/>
          <w:szCs w:val="24"/>
        </w:rPr>
      </w:pPr>
      <w:r>
        <w:rPr>
          <w:rFonts w:cs="Times New Roman"/>
          <w:szCs w:val="24"/>
        </w:rPr>
        <w:t>通过采取上述治理措施后，再通过距离衰减、厂区绿化降噪等可确保厂界噪声达到《工业企业厂界环境噪声排放标准》（GB12348-2008）1类标准要求</w:t>
      </w:r>
      <w:r>
        <w:rPr>
          <w:rFonts w:hint="eastAsia" w:cs="Times New Roman"/>
          <w:szCs w:val="24"/>
        </w:rPr>
        <w:t>，</w:t>
      </w:r>
      <w:r>
        <w:rPr>
          <w:rFonts w:hint="eastAsia"/>
          <w:szCs w:val="24"/>
        </w:rPr>
        <w:t>周边敏感点噪声</w:t>
      </w:r>
      <w:r>
        <w:rPr>
          <w:color w:val="000000"/>
          <w:szCs w:val="24"/>
        </w:rPr>
        <w:t>达到《声环境质量标准》（GB3096-2008）中</w:t>
      </w:r>
      <w:r>
        <w:rPr>
          <w:rFonts w:hint="eastAsia"/>
          <w:color w:val="000000"/>
          <w:szCs w:val="24"/>
        </w:rPr>
        <w:t>1</w:t>
      </w:r>
      <w:r>
        <w:rPr>
          <w:color w:val="000000"/>
          <w:szCs w:val="24"/>
        </w:rPr>
        <w:t>类标准要求</w:t>
      </w:r>
      <w:r>
        <w:rPr>
          <w:rFonts w:hint="eastAsia"/>
          <w:color w:val="000000"/>
          <w:szCs w:val="24"/>
        </w:rPr>
        <w:t>，</w:t>
      </w:r>
      <w:r>
        <w:rPr>
          <w:rFonts w:cs="Times New Roman"/>
          <w:szCs w:val="24"/>
        </w:rPr>
        <w:t>本项目噪声污染控制措施可行。</w:t>
      </w:r>
    </w:p>
    <w:p w14:paraId="5B5DDD6A">
      <w:pPr>
        <w:pStyle w:val="7"/>
        <w:pageBreakBefore w:val="0"/>
        <w:widowControl w:val="0"/>
        <w:kinsoku/>
        <w:wordWrap/>
        <w:overflowPunct/>
        <w:topLinePunct w:val="0"/>
        <w:autoSpaceDE/>
        <w:autoSpaceDN/>
        <w:bidi w:val="0"/>
        <w:snapToGrid/>
        <w:spacing w:line="50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.2.4 </w:t>
      </w:r>
      <w:r>
        <w:rPr>
          <w:rFonts w:hint="eastAsia"/>
          <w:color w:val="000000" w:themeColor="text1"/>
          <w14:textFill>
            <w14:solidFill>
              <w14:schemeClr w14:val="tx1"/>
            </w14:solidFill>
          </w14:textFill>
        </w:rPr>
        <w:t>固体废物污染防治措施评述</w:t>
      </w:r>
    </w:p>
    <w:p w14:paraId="098A28D9">
      <w:pPr>
        <w:pStyle w:val="8"/>
        <w:pageBreakBefore w:val="0"/>
        <w:widowControl w:val="0"/>
        <w:kinsoku/>
        <w:wordWrap/>
        <w:overflowPunct/>
        <w:topLinePunct w:val="0"/>
        <w:autoSpaceDE/>
        <w:autoSpaceDN/>
        <w:bidi w:val="0"/>
        <w:snapToGrid/>
        <w:spacing w:line="50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4.1固体废物处置方式</w:t>
      </w:r>
    </w:p>
    <w:p w14:paraId="4C65AE38">
      <w:pPr>
        <w:pageBreakBefore w:val="0"/>
        <w:widowControl w:val="0"/>
        <w:kinsoku/>
        <w:wordWrap/>
        <w:overflowPunct/>
        <w:topLinePunct w:val="0"/>
        <w:autoSpaceDE/>
        <w:autoSpaceDN/>
        <w:bidi w:val="0"/>
        <w:snapToGrid/>
        <w:spacing w:line="500" w:lineRule="exact"/>
        <w:ind w:firstLine="480"/>
        <w:textAlignment w:val="auto"/>
        <w:rPr>
          <w:rFonts w:ascii="Times New Roman" w:hAnsi="Times New Roman" w:eastAsia="宋体" w:cs="Times New Roman"/>
          <w:szCs w:val="24"/>
        </w:rPr>
      </w:pPr>
      <w:r>
        <w:rPr>
          <w:rFonts w:ascii="Times New Roman" w:hAnsi="Times New Roman" w:cs="Times New Roman"/>
          <w:szCs w:val="24"/>
        </w:rPr>
        <w:t>本项目</w:t>
      </w:r>
      <w:r>
        <w:rPr>
          <w:rFonts w:hint="eastAsia" w:ascii="Times New Roman" w:hAnsi="Times New Roman" w:cs="Times New Roman"/>
          <w:szCs w:val="24"/>
        </w:rPr>
        <w:t>投产后，产生的</w:t>
      </w:r>
      <w:r>
        <w:rPr>
          <w:rFonts w:ascii="Times New Roman" w:hAnsi="Times New Roman" w:cs="Times New Roman"/>
          <w:szCs w:val="24"/>
        </w:rPr>
        <w:t>主要</w:t>
      </w:r>
      <w:r>
        <w:rPr>
          <w:rFonts w:hint="eastAsia" w:ascii="Times New Roman" w:hAnsi="Times New Roman" w:cs="Times New Roman"/>
          <w:szCs w:val="24"/>
        </w:rPr>
        <w:t>固体废物</w:t>
      </w:r>
      <w:r>
        <w:rPr>
          <w:rFonts w:ascii="Times New Roman" w:hAnsi="Times New Roman" w:cs="Times New Roman"/>
          <w:szCs w:val="24"/>
        </w:rPr>
        <w:t>包括：病死鸡、鸡粪、废包装、医疗废物、污泥、</w:t>
      </w:r>
      <w:r>
        <w:rPr>
          <w:rFonts w:ascii="Times New Roman" w:hAnsi="Times New Roman" w:cs="Times New Roman"/>
          <w:kern w:val="0"/>
          <w:szCs w:val="24"/>
        </w:rPr>
        <w:t>饲料残渣</w:t>
      </w:r>
      <w:r>
        <w:rPr>
          <w:rFonts w:hint="eastAsia" w:ascii="Times New Roman" w:hAnsi="Times New Roman" w:cs="Times New Roman"/>
          <w:kern w:val="0"/>
          <w:szCs w:val="24"/>
        </w:rPr>
        <w:t>及</w:t>
      </w:r>
      <w:r>
        <w:rPr>
          <w:rFonts w:ascii="Times New Roman" w:hAnsi="Times New Roman" w:cs="Times New Roman"/>
          <w:kern w:val="0"/>
          <w:szCs w:val="24"/>
        </w:rPr>
        <w:t>散落羽毛</w:t>
      </w:r>
      <w:r>
        <w:rPr>
          <w:rFonts w:hint="eastAsia" w:ascii="Times New Roman" w:hAnsi="Times New Roman" w:cs="Times New Roman"/>
          <w:kern w:val="0"/>
          <w:szCs w:val="24"/>
        </w:rPr>
        <w:t>、废树脂</w:t>
      </w:r>
      <w:r>
        <w:rPr>
          <w:rFonts w:ascii="Times New Roman" w:hAnsi="Times New Roman" w:cs="Times New Roman"/>
          <w:szCs w:val="24"/>
        </w:rPr>
        <w:t>和生活垃圾。</w:t>
      </w:r>
      <w:r>
        <w:rPr>
          <w:rFonts w:hint="eastAsia" w:ascii="Times New Roman" w:hAnsi="Times New Roman" w:cs="Times New Roman"/>
          <w:szCs w:val="24"/>
        </w:rPr>
        <w:t>项目</w:t>
      </w:r>
      <w:r>
        <w:rPr>
          <w:rFonts w:ascii="Times New Roman" w:hAnsi="Times New Roman" w:cs="Times New Roman"/>
          <w:szCs w:val="24"/>
        </w:rPr>
        <w:t>固体废弃物</w:t>
      </w:r>
      <w:r>
        <w:rPr>
          <w:rFonts w:hint="eastAsia" w:ascii="Times New Roman" w:hAnsi="Times New Roman" w:cs="Times New Roman"/>
          <w:szCs w:val="24"/>
        </w:rPr>
        <w:t>总产生量为</w:t>
      </w:r>
      <w:r>
        <w:rPr>
          <w:rFonts w:hint="eastAsia" w:ascii="Times New Roman" w:hAnsi="Times New Roman" w:cs="Times New Roman"/>
          <w:szCs w:val="24"/>
          <w:lang w:val="en-US" w:eastAsia="zh-CN"/>
        </w:rPr>
        <w:t>4993.6</w:t>
      </w:r>
      <w:r>
        <w:rPr>
          <w:rFonts w:hint="eastAsia" w:ascii="Times New Roman" w:hAnsi="Times New Roman" w:cs="Times New Roman"/>
          <w:szCs w:val="24"/>
        </w:rPr>
        <w:t>t/a，其中危险废物产生量0.</w:t>
      </w:r>
      <w:r>
        <w:rPr>
          <w:rFonts w:hint="eastAsia" w:ascii="Times New Roman" w:hAnsi="Times New Roman" w:cs="Times New Roman"/>
          <w:szCs w:val="24"/>
          <w:lang w:val="en-US" w:eastAsia="zh-CN"/>
        </w:rPr>
        <w:t>1</w:t>
      </w:r>
      <w:r>
        <w:rPr>
          <w:rFonts w:hint="eastAsia" w:ascii="Times New Roman" w:hAnsi="Times New Roman" w:cs="Times New Roman"/>
          <w:szCs w:val="24"/>
        </w:rPr>
        <w:t>t/a，</w:t>
      </w:r>
      <w:r>
        <w:rPr>
          <w:rFonts w:ascii="Times New Roman" w:hAnsi="Times New Roman" w:eastAsia="宋体" w:cs="Times New Roman"/>
          <w:color w:val="000000" w:themeColor="text1"/>
          <w:szCs w:val="24"/>
          <w14:textFill>
            <w14:solidFill>
              <w14:schemeClr w14:val="tx1"/>
            </w14:solidFill>
          </w14:textFill>
        </w:rPr>
        <w:t>一般工业固废产生量</w:t>
      </w:r>
      <w:r>
        <w:rPr>
          <w:rFonts w:hint="eastAsia" w:ascii="Times New Roman" w:hAnsi="Times New Roman" w:eastAsia="宋体" w:cs="Times New Roman"/>
          <w:color w:val="000000" w:themeColor="text1"/>
          <w:szCs w:val="24"/>
          <w:lang w:val="en-US" w:eastAsia="zh-CN"/>
          <w14:textFill>
            <w14:solidFill>
              <w14:schemeClr w14:val="tx1"/>
            </w14:solidFill>
          </w14:textFill>
        </w:rPr>
        <w:t>4990.5</w:t>
      </w:r>
      <w:r>
        <w:rPr>
          <w:rFonts w:ascii="Times New Roman" w:hAnsi="Times New Roman" w:eastAsia="宋体" w:cs="Times New Roman"/>
          <w:color w:val="000000" w:themeColor="text1"/>
          <w:szCs w:val="24"/>
          <w14:textFill>
            <w14:solidFill>
              <w14:schemeClr w14:val="tx1"/>
            </w14:solidFill>
          </w14:textFill>
        </w:rPr>
        <w:t>t/a，生活垃圾</w:t>
      </w:r>
      <w:r>
        <w:rPr>
          <w:rFonts w:hint="eastAsia" w:ascii="Times New Roman" w:hAnsi="Times New Roman" w:eastAsia="宋体" w:cs="Times New Roman"/>
          <w:color w:val="000000" w:themeColor="text1"/>
          <w:szCs w:val="24"/>
          <w14:textFill>
            <w14:solidFill>
              <w14:schemeClr w14:val="tx1"/>
            </w14:solidFill>
          </w14:textFill>
        </w:rPr>
        <w:t>3</w:t>
      </w:r>
      <w:r>
        <w:rPr>
          <w:rFonts w:ascii="Times New Roman" w:hAnsi="Times New Roman" w:eastAsia="宋体" w:cs="Times New Roman"/>
          <w:color w:val="000000" w:themeColor="text1"/>
          <w:szCs w:val="24"/>
          <w14:textFill>
            <w14:solidFill>
              <w14:schemeClr w14:val="tx1"/>
            </w14:solidFill>
          </w14:textFill>
        </w:rPr>
        <w:t>t/a</w:t>
      </w:r>
      <w:r>
        <w:rPr>
          <w:rFonts w:ascii="Times New Roman" w:hAnsi="Times New Roman" w:eastAsia="宋体" w:cs="Times New Roman"/>
          <w:szCs w:val="24"/>
        </w:rPr>
        <w:t>。本项目固体废物的处理处置遵循分类收集和安全处置的原则，具体处置方式如下：</w:t>
      </w:r>
    </w:p>
    <w:p w14:paraId="35FA229E">
      <w:pPr>
        <w:pageBreakBefore w:val="0"/>
        <w:widowControl w:val="0"/>
        <w:kinsoku/>
        <w:wordWrap/>
        <w:overflowPunct/>
        <w:topLinePunct w:val="0"/>
        <w:autoSpaceDE/>
        <w:autoSpaceDN/>
        <w:bidi w:val="0"/>
        <w:snapToGrid/>
        <w:spacing w:line="500" w:lineRule="exact"/>
        <w:ind w:firstLine="480"/>
        <w:textAlignment w:val="auto"/>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（1）危险固废</w:t>
      </w:r>
    </w:p>
    <w:p w14:paraId="098573AD">
      <w:pPr>
        <w:pageBreakBefore w:val="0"/>
        <w:widowControl w:val="0"/>
        <w:kinsoku/>
        <w:wordWrap/>
        <w:overflowPunct/>
        <w:topLinePunct w:val="0"/>
        <w:autoSpaceDE/>
        <w:autoSpaceDN/>
        <w:bidi w:val="0"/>
        <w:snapToGrid/>
        <w:spacing w:line="500" w:lineRule="exact"/>
        <w:ind w:firstLine="480"/>
        <w:textAlignment w:val="auto"/>
        <w:rPr>
          <w:rFonts w:ascii="Times New Roman" w:hAnsi="Times New Roman" w:eastAsia="宋体" w:cs="Times New Roman"/>
          <w:color w:val="FF0000"/>
          <w:szCs w:val="24"/>
        </w:rPr>
      </w:pPr>
      <w:r>
        <w:rPr>
          <w:rFonts w:ascii="Times New Roman" w:hAnsi="Times New Roman" w:eastAsia="宋体" w:cs="Times New Roman"/>
          <w:color w:val="000000" w:themeColor="text1"/>
          <w:szCs w:val="24"/>
          <w14:textFill>
            <w14:solidFill>
              <w14:schemeClr w14:val="tx1"/>
            </w14:solidFill>
          </w14:textFill>
        </w:rPr>
        <w:t>项目</w:t>
      </w:r>
      <w:r>
        <w:rPr>
          <w:rFonts w:hint="eastAsia" w:ascii="Times New Roman" w:hAnsi="Times New Roman" w:eastAsia="宋体" w:cs="Times New Roman"/>
          <w:color w:val="000000" w:themeColor="text1"/>
          <w:szCs w:val="24"/>
          <w:lang w:val="en-US" w:eastAsia="zh-CN"/>
          <w14:textFill>
            <w14:solidFill>
              <w14:schemeClr w14:val="tx1"/>
            </w14:solidFill>
          </w14:textFill>
        </w:rPr>
        <w:t>产生的</w:t>
      </w:r>
      <w:r>
        <w:rPr>
          <w:rFonts w:ascii="Times New Roman" w:hAnsi="Times New Roman" w:eastAsia="宋体" w:cs="Times New Roman"/>
          <w:color w:val="000000" w:themeColor="text1"/>
          <w:szCs w:val="24"/>
          <w14:textFill>
            <w14:solidFill>
              <w14:schemeClr w14:val="tx1"/>
            </w14:solidFill>
          </w14:textFill>
        </w:rPr>
        <w:t>危废</w:t>
      </w:r>
      <w:r>
        <w:rPr>
          <w:rFonts w:hint="eastAsia" w:ascii="Times New Roman" w:hAnsi="Times New Roman" w:eastAsia="宋体" w:cs="Times New Roman"/>
          <w:color w:val="000000" w:themeColor="text1"/>
          <w:szCs w:val="24"/>
          <w:lang w:val="en-US" w:eastAsia="zh-CN"/>
          <w14:textFill>
            <w14:solidFill>
              <w14:schemeClr w14:val="tx1"/>
            </w14:solidFill>
          </w14:textFill>
        </w:rPr>
        <w:t>为</w:t>
      </w:r>
      <w:r>
        <w:rPr>
          <w:rFonts w:hAnsi="宋体"/>
          <w:color w:val="000000"/>
          <w:szCs w:val="24"/>
        </w:rPr>
        <w:t>医疗废物</w:t>
      </w:r>
      <w:r>
        <w:rPr>
          <w:rFonts w:hint="eastAsia" w:hAnsi="宋体"/>
          <w:color w:val="000000"/>
          <w:szCs w:val="24"/>
          <w:lang w:eastAsia="zh-CN"/>
        </w:rPr>
        <w:t>，</w:t>
      </w:r>
      <w:r>
        <w:rPr>
          <w:rFonts w:ascii="Times New Roman" w:hAnsi="Times New Roman" w:eastAsia="宋体" w:cs="Times New Roman"/>
          <w:color w:val="000000" w:themeColor="text1"/>
          <w:szCs w:val="24"/>
          <w14:textFill>
            <w14:solidFill>
              <w14:schemeClr w14:val="tx1"/>
            </w14:solidFill>
          </w14:textFill>
        </w:rPr>
        <w:t>产生量为</w:t>
      </w:r>
      <w:r>
        <w:rPr>
          <w:rFonts w:hint="eastAsia" w:ascii="Times New Roman" w:hAnsi="Times New Roman" w:eastAsia="宋体" w:cs="Times New Roman"/>
          <w:color w:val="000000" w:themeColor="text1"/>
          <w:szCs w:val="24"/>
          <w14:textFill>
            <w14:solidFill>
              <w14:schemeClr w14:val="tx1"/>
            </w14:solidFill>
          </w14:textFill>
        </w:rPr>
        <w:t>0.</w:t>
      </w:r>
      <w:r>
        <w:rPr>
          <w:rFonts w:hint="eastAsia" w:ascii="Times New Roman" w:hAnsi="Times New Roman" w:eastAsia="宋体" w:cs="Times New Roman"/>
          <w:color w:val="000000" w:themeColor="text1"/>
          <w:szCs w:val="24"/>
          <w:lang w:val="en-US" w:eastAsia="zh-CN"/>
          <w14:textFill>
            <w14:solidFill>
              <w14:schemeClr w14:val="tx1"/>
            </w14:solidFill>
          </w14:textFill>
        </w:rPr>
        <w:t>1</w:t>
      </w:r>
      <w:r>
        <w:rPr>
          <w:rFonts w:ascii="Times New Roman" w:hAnsi="Times New Roman" w:eastAsia="宋体" w:cs="Times New Roman"/>
          <w:color w:val="000000" w:themeColor="text1"/>
          <w:szCs w:val="24"/>
          <w14:textFill>
            <w14:solidFill>
              <w14:schemeClr w14:val="tx1"/>
            </w14:solidFill>
          </w14:textFill>
        </w:rPr>
        <w:t>t/a，拟</w:t>
      </w:r>
      <w:r>
        <w:rPr>
          <w:rFonts w:hAnsi="宋体"/>
          <w:color w:val="000000"/>
          <w:szCs w:val="24"/>
        </w:rPr>
        <w:t>委托</w:t>
      </w:r>
      <w:r>
        <w:rPr>
          <w:rFonts w:hint="eastAsia" w:hAnsi="宋体"/>
          <w:color w:val="000000"/>
          <w:szCs w:val="24"/>
        </w:rPr>
        <w:t>宿迁中油优艺环保服务有限公司安全</w:t>
      </w:r>
      <w:r>
        <w:rPr>
          <w:rFonts w:hAnsi="宋体"/>
          <w:color w:val="000000"/>
          <w:szCs w:val="24"/>
        </w:rPr>
        <w:t>处置</w:t>
      </w:r>
      <w:r>
        <w:rPr>
          <w:rFonts w:ascii="Times New Roman" w:hAnsi="Times New Roman" w:eastAsia="宋体" w:cs="Times New Roman"/>
          <w:color w:val="000000" w:themeColor="text1"/>
          <w:szCs w:val="24"/>
          <w14:textFill>
            <w14:solidFill>
              <w14:schemeClr w14:val="tx1"/>
            </w14:solidFill>
          </w14:textFill>
        </w:rPr>
        <w:t>。</w:t>
      </w:r>
    </w:p>
    <w:p w14:paraId="4F1F37FD">
      <w:pPr>
        <w:pageBreakBefore w:val="0"/>
        <w:widowControl w:val="0"/>
        <w:kinsoku/>
        <w:wordWrap/>
        <w:overflowPunct/>
        <w:topLinePunct w:val="0"/>
        <w:autoSpaceDE/>
        <w:autoSpaceDN/>
        <w:bidi w:val="0"/>
        <w:snapToGrid/>
        <w:spacing w:line="500" w:lineRule="exact"/>
        <w:ind w:firstLine="480"/>
        <w:textAlignment w:val="auto"/>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（2）一般工业固废</w:t>
      </w:r>
    </w:p>
    <w:p w14:paraId="31AEFF4C">
      <w:pPr>
        <w:pageBreakBefore w:val="0"/>
        <w:widowControl w:val="0"/>
        <w:kinsoku/>
        <w:wordWrap/>
        <w:overflowPunct/>
        <w:topLinePunct w:val="0"/>
        <w:autoSpaceDE/>
        <w:autoSpaceDN/>
        <w:bidi w:val="0"/>
        <w:snapToGrid/>
        <w:spacing w:line="500" w:lineRule="exact"/>
        <w:ind w:firstLine="480"/>
        <w:textAlignment w:val="auto"/>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本项目一般固废产生</w:t>
      </w:r>
      <w:r>
        <w:rPr>
          <w:rFonts w:hint="eastAsia" w:ascii="Times New Roman" w:hAnsi="Times New Roman" w:eastAsia="宋体" w:cs="Times New Roman"/>
          <w:color w:val="000000" w:themeColor="text1"/>
          <w:szCs w:val="24"/>
          <w14:textFill>
            <w14:solidFill>
              <w14:schemeClr w14:val="tx1"/>
            </w14:solidFill>
          </w14:textFill>
        </w:rPr>
        <w:t>量为</w:t>
      </w:r>
      <w:r>
        <w:rPr>
          <w:rFonts w:hint="eastAsia" w:ascii="Times New Roman" w:hAnsi="Times New Roman" w:eastAsia="宋体" w:cs="Times New Roman"/>
          <w:color w:val="000000" w:themeColor="text1"/>
          <w:szCs w:val="24"/>
          <w:lang w:val="en-US" w:eastAsia="zh-CN"/>
          <w14:textFill>
            <w14:solidFill>
              <w14:schemeClr w14:val="tx1"/>
            </w14:solidFill>
          </w14:textFill>
        </w:rPr>
        <w:t>4990.5</w:t>
      </w:r>
      <w:r>
        <w:rPr>
          <w:rFonts w:ascii="Times New Roman" w:hAnsi="Times New Roman" w:eastAsia="宋体" w:cs="Times New Roman"/>
          <w:color w:val="000000" w:themeColor="text1"/>
          <w:szCs w:val="24"/>
          <w14:textFill>
            <w14:solidFill>
              <w14:schemeClr w14:val="tx1"/>
            </w14:solidFill>
          </w14:textFill>
        </w:rPr>
        <w:t>t/a，</w:t>
      </w:r>
      <w:r>
        <w:rPr>
          <w:rFonts w:hint="eastAsia" w:ascii="Times New Roman" w:hAnsi="Times New Roman" w:eastAsia="宋体" w:cs="Times New Roman"/>
          <w:color w:val="000000" w:themeColor="text1"/>
          <w:szCs w:val="24"/>
          <w14:textFill>
            <w14:solidFill>
              <w14:schemeClr w14:val="tx1"/>
            </w14:solidFill>
          </w14:textFill>
        </w:rPr>
        <w:t>其中</w:t>
      </w:r>
      <w:r>
        <w:rPr>
          <w:rFonts w:ascii="Times New Roman" w:hAnsi="Times New Roman" w:cs="Times New Roman"/>
          <w:szCs w:val="24"/>
        </w:rPr>
        <w:t>病死鸡</w:t>
      </w:r>
      <w:r>
        <w:rPr>
          <w:rFonts w:hint="eastAsia" w:ascii="Times New Roman" w:hAnsi="Times New Roman" w:cs="Times New Roman"/>
          <w:szCs w:val="24"/>
        </w:rPr>
        <w:t>25t/a，委托</w:t>
      </w:r>
      <w:r>
        <w:rPr>
          <w:rFonts w:hint="eastAsia" w:ascii="Times New Roman" w:hAnsi="Times New Roman" w:eastAsia="宋体" w:cs="Times New Roman"/>
          <w:bCs/>
          <w:kern w:val="0"/>
          <w:szCs w:val="24"/>
        </w:rPr>
        <w:t>泗阳北斗星动物无害化处理有限公司</w:t>
      </w:r>
      <w:r>
        <w:rPr>
          <w:rFonts w:ascii="Times New Roman" w:hAnsi="Times New Roman" w:eastAsia="宋体" w:cs="Times New Roman"/>
          <w:bCs/>
          <w:szCs w:val="24"/>
        </w:rPr>
        <w:t>无害化处理</w:t>
      </w:r>
      <w:r>
        <w:rPr>
          <w:rFonts w:hint="eastAsia" w:ascii="Times New Roman" w:hAnsi="Times New Roman" w:eastAsia="宋体" w:cs="Times New Roman"/>
          <w:bCs/>
          <w:szCs w:val="24"/>
        </w:rPr>
        <w:t>；鸡粪4950t/a，</w:t>
      </w:r>
      <w:r>
        <w:rPr>
          <w:rFonts w:ascii="Times New Roman" w:hAnsi="Times New Roman" w:eastAsia="宋体" w:cs="Times New Roman"/>
          <w:bCs/>
          <w:szCs w:val="24"/>
        </w:rPr>
        <w:t>外售</w:t>
      </w:r>
      <w:r>
        <w:rPr>
          <w:rFonts w:hint="eastAsia" w:ascii="Times New Roman" w:hAnsi="Times New Roman" w:eastAsia="宋体" w:cs="Times New Roman"/>
          <w:bCs/>
          <w:szCs w:val="24"/>
          <w:lang w:eastAsia="zh-CN"/>
        </w:rPr>
        <w:t>泗阳巨宇畜禽粪污处理有限公司</w:t>
      </w:r>
      <w:r>
        <w:rPr>
          <w:rFonts w:ascii="Times New Roman" w:hAnsi="Times New Roman" w:eastAsia="宋体" w:cs="Times New Roman"/>
          <w:bCs/>
          <w:szCs w:val="24"/>
        </w:rPr>
        <w:t>综合利用</w:t>
      </w:r>
      <w:r>
        <w:rPr>
          <w:rFonts w:hint="eastAsia" w:ascii="Times New Roman" w:hAnsi="Times New Roman" w:eastAsia="宋体" w:cs="Times New Roman"/>
          <w:bCs/>
          <w:szCs w:val="24"/>
        </w:rPr>
        <w:t>；污泥8.4t/a，委外资源化</w:t>
      </w:r>
      <w:r>
        <w:rPr>
          <w:rFonts w:ascii="Times New Roman" w:hAnsi="Times New Roman" w:eastAsia="宋体" w:cs="Times New Roman"/>
          <w:bCs/>
          <w:szCs w:val="24"/>
        </w:rPr>
        <w:t>利用</w:t>
      </w:r>
      <w:r>
        <w:rPr>
          <w:rFonts w:hint="eastAsia" w:ascii="Times New Roman" w:hAnsi="Times New Roman" w:eastAsia="宋体" w:cs="Times New Roman"/>
          <w:bCs/>
          <w:szCs w:val="24"/>
        </w:rPr>
        <w:t>；</w:t>
      </w:r>
      <w:r>
        <w:rPr>
          <w:rFonts w:ascii="Times New Roman" w:hAnsi="Times New Roman" w:cs="Times New Roman"/>
          <w:szCs w:val="24"/>
        </w:rPr>
        <w:t>废包装</w:t>
      </w:r>
      <w:r>
        <w:rPr>
          <w:rFonts w:hint="eastAsia" w:ascii="Times New Roman" w:hAnsi="Times New Roman" w:cs="Times New Roman"/>
          <w:szCs w:val="24"/>
        </w:rPr>
        <w:t>2t/a</w:t>
      </w:r>
      <w:r>
        <w:rPr>
          <w:rFonts w:ascii="Times New Roman" w:hAnsi="Times New Roman" w:cs="Times New Roman"/>
          <w:szCs w:val="24"/>
        </w:rPr>
        <w:t>、</w:t>
      </w:r>
      <w:r>
        <w:rPr>
          <w:rFonts w:ascii="Times New Roman" w:hAnsi="Times New Roman" w:cs="Times New Roman"/>
          <w:kern w:val="0"/>
          <w:szCs w:val="24"/>
        </w:rPr>
        <w:t>饲料残渣</w:t>
      </w:r>
      <w:r>
        <w:rPr>
          <w:rFonts w:hint="eastAsia" w:ascii="Times New Roman" w:hAnsi="Times New Roman" w:cs="Times New Roman"/>
          <w:kern w:val="0"/>
          <w:szCs w:val="24"/>
        </w:rPr>
        <w:t>及</w:t>
      </w:r>
      <w:r>
        <w:rPr>
          <w:rFonts w:ascii="Times New Roman" w:hAnsi="Times New Roman" w:cs="Times New Roman"/>
          <w:kern w:val="0"/>
          <w:szCs w:val="24"/>
        </w:rPr>
        <w:t>散落羽毛</w:t>
      </w:r>
      <w:r>
        <w:rPr>
          <w:rFonts w:hint="eastAsia" w:ascii="Times New Roman" w:hAnsi="Times New Roman" w:cs="Times New Roman"/>
          <w:kern w:val="0"/>
          <w:szCs w:val="24"/>
        </w:rPr>
        <w:t>5t/a</w:t>
      </w:r>
      <w:r>
        <w:rPr>
          <w:rFonts w:hint="eastAsia" w:ascii="Times New Roman" w:hAnsi="Times New Roman" w:cs="Times New Roman"/>
          <w:kern w:val="0"/>
          <w:szCs w:val="24"/>
          <w:lang w:eastAsia="zh-CN"/>
        </w:rPr>
        <w:t>，</w:t>
      </w:r>
      <w:r>
        <w:rPr>
          <w:rFonts w:ascii="Times New Roman"/>
          <w:color w:val="000000"/>
          <w:szCs w:val="24"/>
        </w:rPr>
        <w:t>可由建设单位集中收集后外售</w:t>
      </w:r>
      <w:r>
        <w:rPr>
          <w:rFonts w:hint="eastAsia" w:ascii="Times New Roman"/>
          <w:color w:val="000000"/>
          <w:szCs w:val="24"/>
        </w:rPr>
        <w:t>处理</w:t>
      </w:r>
      <w:r>
        <w:rPr>
          <w:rFonts w:hint="eastAsia" w:ascii="Times New Roman"/>
          <w:color w:val="000000"/>
          <w:szCs w:val="24"/>
          <w:lang w:eastAsia="zh-CN"/>
        </w:rPr>
        <w:t>；</w:t>
      </w:r>
      <w:r>
        <w:rPr>
          <w:rFonts w:hint="eastAsia" w:ascii="Times New Roman" w:hAnsi="Times New Roman" w:cs="Times New Roman"/>
          <w:kern w:val="0"/>
          <w:szCs w:val="24"/>
        </w:rPr>
        <w:t>废树脂0.1t/a</w:t>
      </w:r>
      <w:r>
        <w:rPr>
          <w:rFonts w:hint="eastAsia" w:ascii="Times New Roman" w:hAnsi="Times New Roman" w:cs="Times New Roman"/>
          <w:kern w:val="0"/>
          <w:szCs w:val="24"/>
          <w:lang w:eastAsia="zh-CN"/>
        </w:rPr>
        <w:t>，</w:t>
      </w:r>
      <w:r>
        <w:rPr>
          <w:rFonts w:hint="eastAsia" w:ascii="Times New Roman" w:hAnsi="Times New Roman" w:cs="Times New Roman"/>
          <w:kern w:val="0"/>
          <w:szCs w:val="24"/>
          <w:lang w:val="en-US" w:eastAsia="zh-CN"/>
        </w:rPr>
        <w:t>收集后可由生产厂家回收再利用</w:t>
      </w:r>
      <w:r>
        <w:rPr>
          <w:rFonts w:ascii="Times New Roman" w:hAnsi="Times New Roman" w:eastAsia="宋体" w:cs="Times New Roman"/>
          <w:color w:val="000000" w:themeColor="text1"/>
          <w:szCs w:val="24"/>
          <w14:textFill>
            <w14:solidFill>
              <w14:schemeClr w14:val="tx1"/>
            </w14:solidFill>
          </w14:textFill>
        </w:rPr>
        <w:t>。</w:t>
      </w:r>
    </w:p>
    <w:p w14:paraId="725A553F">
      <w:pPr>
        <w:pageBreakBefore w:val="0"/>
        <w:widowControl w:val="0"/>
        <w:kinsoku/>
        <w:wordWrap/>
        <w:overflowPunct/>
        <w:topLinePunct w:val="0"/>
        <w:autoSpaceDE/>
        <w:autoSpaceDN/>
        <w:bidi w:val="0"/>
        <w:snapToGrid/>
        <w:spacing w:line="500" w:lineRule="exact"/>
        <w:ind w:firstLine="480"/>
        <w:textAlignment w:val="auto"/>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szCs w:val="24"/>
        </w:rPr>
        <w:t>（3）</w:t>
      </w:r>
      <w:r>
        <w:rPr>
          <w:rFonts w:ascii="Times New Roman" w:hAnsi="Times New Roman" w:eastAsia="宋体" w:cs="Times New Roman"/>
          <w:color w:val="000000" w:themeColor="text1"/>
          <w:szCs w:val="24"/>
          <w14:textFill>
            <w14:solidFill>
              <w14:schemeClr w14:val="tx1"/>
            </w14:solidFill>
          </w14:textFill>
        </w:rPr>
        <w:t>生活垃圾：</w:t>
      </w:r>
    </w:p>
    <w:p w14:paraId="60BA387B">
      <w:pPr>
        <w:pageBreakBefore w:val="0"/>
        <w:widowControl w:val="0"/>
        <w:kinsoku/>
        <w:wordWrap/>
        <w:overflowPunct/>
        <w:topLinePunct w:val="0"/>
        <w:autoSpaceDE/>
        <w:autoSpaceDN/>
        <w:bidi w:val="0"/>
        <w:snapToGrid/>
        <w:spacing w:line="500" w:lineRule="exact"/>
        <w:ind w:firstLine="480"/>
        <w:textAlignment w:val="auto"/>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生活垃圾产生量约</w:t>
      </w:r>
      <w:r>
        <w:rPr>
          <w:rFonts w:hint="eastAsia" w:ascii="Times New Roman" w:hAnsi="Times New Roman" w:eastAsia="宋体" w:cs="Times New Roman"/>
          <w:color w:val="000000" w:themeColor="text1"/>
          <w:szCs w:val="24"/>
          <w14:textFill>
            <w14:solidFill>
              <w14:schemeClr w14:val="tx1"/>
            </w14:solidFill>
          </w14:textFill>
        </w:rPr>
        <w:t>3</w:t>
      </w:r>
      <w:r>
        <w:rPr>
          <w:rFonts w:ascii="Times New Roman" w:hAnsi="Times New Roman" w:eastAsia="宋体" w:cs="Times New Roman"/>
          <w:color w:val="000000" w:themeColor="text1"/>
          <w:szCs w:val="24"/>
          <w14:textFill>
            <w14:solidFill>
              <w14:schemeClr w14:val="tx1"/>
            </w14:solidFill>
          </w14:textFill>
        </w:rPr>
        <w:t>t/a，由</w:t>
      </w:r>
      <w:r>
        <w:rPr>
          <w:rFonts w:hint="eastAsia" w:ascii="Times New Roman" w:hAnsi="Times New Roman" w:eastAsia="宋体" w:cs="Times New Roman"/>
          <w:color w:val="000000" w:themeColor="text1"/>
          <w:szCs w:val="24"/>
          <w14:textFill>
            <w14:solidFill>
              <w14:schemeClr w14:val="tx1"/>
            </w14:solidFill>
          </w14:textFill>
        </w:rPr>
        <w:t>地方</w:t>
      </w:r>
      <w:r>
        <w:rPr>
          <w:rFonts w:ascii="Times New Roman" w:hAnsi="Times New Roman" w:eastAsia="宋体" w:cs="Times New Roman"/>
          <w:color w:val="000000" w:themeColor="text1"/>
          <w:szCs w:val="24"/>
          <w14:textFill>
            <w14:solidFill>
              <w14:schemeClr w14:val="tx1"/>
            </w14:solidFill>
          </w14:textFill>
        </w:rPr>
        <w:t>环卫部门统一</w:t>
      </w:r>
      <w:r>
        <w:rPr>
          <w:rFonts w:hint="eastAsia" w:ascii="Times New Roman" w:hAnsi="Times New Roman" w:eastAsia="宋体" w:cs="Times New Roman"/>
          <w:color w:val="000000" w:themeColor="text1"/>
          <w:szCs w:val="24"/>
          <w14:textFill>
            <w14:solidFill>
              <w14:schemeClr w14:val="tx1"/>
            </w14:solidFill>
          </w14:textFill>
        </w:rPr>
        <w:t>收集</w:t>
      </w:r>
      <w:r>
        <w:rPr>
          <w:rFonts w:ascii="Times New Roman" w:hAnsi="Times New Roman" w:eastAsia="宋体" w:cs="Times New Roman"/>
          <w:color w:val="000000" w:themeColor="text1"/>
          <w:szCs w:val="24"/>
          <w14:textFill>
            <w14:solidFill>
              <w14:schemeClr w14:val="tx1"/>
            </w14:solidFill>
          </w14:textFill>
        </w:rPr>
        <w:t>处理。</w:t>
      </w:r>
    </w:p>
    <w:p w14:paraId="143DD1AC">
      <w:pPr>
        <w:pageBreakBefore w:val="0"/>
        <w:widowControl w:val="0"/>
        <w:kinsoku/>
        <w:wordWrap/>
        <w:overflowPunct/>
        <w:topLinePunct w:val="0"/>
        <w:autoSpaceDE/>
        <w:autoSpaceDN/>
        <w:bidi w:val="0"/>
        <w:adjustRightInd w:val="0"/>
        <w:snapToGrid/>
        <w:spacing w:line="500" w:lineRule="exact"/>
        <w:ind w:firstLine="480" w:firstLineChars="200"/>
        <w:textAlignment w:val="auto"/>
        <w:rPr>
          <w:rFonts w:ascii="Times New Roman"/>
          <w:bCs/>
          <w:color w:val="000000" w:themeColor="text1"/>
          <w:szCs w:val="24"/>
          <w14:textFill>
            <w14:solidFill>
              <w14:schemeClr w14:val="tx1"/>
            </w14:solidFill>
          </w14:textFill>
        </w:rPr>
      </w:pPr>
      <w:r>
        <w:rPr>
          <w:rFonts w:hint="eastAsia" w:hAnsi="宋体"/>
          <w:color w:val="000000" w:themeColor="text1"/>
          <w:szCs w:val="24"/>
          <w14:textFill>
            <w14:solidFill>
              <w14:schemeClr w14:val="tx1"/>
            </w14:solidFill>
          </w14:textFill>
        </w:rPr>
        <w:t>本项目固体废物</w:t>
      </w:r>
      <w:r>
        <w:rPr>
          <w:rFonts w:ascii="Times New Roman"/>
          <w:bCs/>
          <w:color w:val="000000" w:themeColor="text1"/>
          <w:szCs w:val="24"/>
          <w14:textFill>
            <w14:solidFill>
              <w14:schemeClr w14:val="tx1"/>
            </w14:solidFill>
          </w14:textFill>
        </w:rPr>
        <w:t>利用处置方式见表6.2-</w:t>
      </w:r>
      <w:r>
        <w:rPr>
          <w:rFonts w:hint="eastAsia" w:ascii="Times New Roman"/>
          <w:bCs/>
          <w:color w:val="000000" w:themeColor="text1"/>
          <w:szCs w:val="24"/>
          <w:lang w:val="en-US" w:eastAsia="zh-CN"/>
          <w14:textFill>
            <w14:solidFill>
              <w14:schemeClr w14:val="tx1"/>
            </w14:solidFill>
          </w14:textFill>
        </w:rPr>
        <w:t>8</w:t>
      </w:r>
      <w:r>
        <w:rPr>
          <w:rFonts w:ascii="Times New Roman"/>
          <w:bCs/>
          <w:color w:val="000000" w:themeColor="text1"/>
          <w:szCs w:val="24"/>
          <w14:textFill>
            <w14:solidFill>
              <w14:schemeClr w14:val="tx1"/>
            </w14:solidFill>
          </w14:textFill>
        </w:rPr>
        <w:t>。</w:t>
      </w:r>
    </w:p>
    <w:p w14:paraId="7C7A5365">
      <w:pPr>
        <w:pStyle w:val="31"/>
        <w:pageBreakBefore w:val="0"/>
        <w:widowControl w:val="0"/>
        <w:kinsoku/>
        <w:wordWrap/>
        <w:overflowPunct/>
        <w:topLinePunct w:val="0"/>
        <w:autoSpaceDE/>
        <w:autoSpaceDN/>
        <w:bidi w:val="0"/>
        <w:snapToGrid/>
        <w:spacing w:before="0" w:line="500" w:lineRule="exact"/>
        <w:textAlignment w:val="auto"/>
        <w:sectPr>
          <w:pgSz w:w="11906" w:h="16838"/>
          <w:pgMar w:top="1417" w:right="1417" w:bottom="1417" w:left="1417" w:header="850" w:footer="850" w:gutter="0"/>
          <w:pgNumType w:fmt="decimal"/>
          <w:cols w:space="425" w:num="1"/>
          <w:docGrid w:type="lines" w:linePitch="326" w:charSpace="0"/>
        </w:sectPr>
      </w:pPr>
    </w:p>
    <w:p w14:paraId="57F4EB0D">
      <w:pPr>
        <w:pStyle w:val="31"/>
        <w:spacing w:before="0" w:line="480" w:lineRule="exact"/>
        <w:rPr>
          <w:rFonts w:ascii="Times New Roman" w:hAnsi="Times New Roman"/>
          <w:szCs w:val="24"/>
        </w:rPr>
      </w:pPr>
      <w:r>
        <w:rPr>
          <w:rFonts w:hint="eastAsia"/>
          <w:color w:val="000000" w:themeColor="text1"/>
          <w14:textFill>
            <w14:solidFill>
              <w14:schemeClr w14:val="tx1"/>
            </w14:solidFill>
          </w14:textFill>
        </w:rPr>
        <w:t>表6.2-</w:t>
      </w:r>
      <w:r>
        <w:rPr>
          <w:rFonts w:hint="eastAsia"/>
          <w:color w:val="000000" w:themeColor="text1"/>
          <w:lang w:val="en-US" w:eastAsia="zh-CN"/>
          <w14:textFill>
            <w14:solidFill>
              <w14:schemeClr w14:val="tx1"/>
            </w14:solidFill>
          </w14:textFill>
        </w:rPr>
        <w:t>8</w:t>
      </w:r>
      <w:r>
        <w:rPr>
          <w:rFonts w:ascii="Times New Roman" w:hAnsi="Times New Roman"/>
          <w:color w:val="000000" w:themeColor="text1"/>
          <w:szCs w:val="24"/>
          <w14:textFill>
            <w14:solidFill>
              <w14:schemeClr w14:val="tx1"/>
            </w14:solidFill>
          </w14:textFill>
        </w:rPr>
        <w:t>建设项目固体废</w:t>
      </w:r>
      <w:r>
        <w:rPr>
          <w:rFonts w:ascii="Times New Roman" w:hAnsi="Times New Roman"/>
          <w:szCs w:val="24"/>
        </w:rPr>
        <w:t>物利用处置方式评价</w:t>
      </w:r>
      <w:r>
        <w:rPr>
          <w:rFonts w:hint="eastAsia" w:ascii="Times New Roman" w:hAnsi="Times New Roman"/>
          <w:szCs w:val="24"/>
        </w:rPr>
        <w:t>表</w:t>
      </w:r>
    </w:p>
    <w:tbl>
      <w:tblPr>
        <w:tblStyle w:val="41"/>
        <w:tblW w:w="1421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566"/>
        <w:gridCol w:w="1134"/>
        <w:gridCol w:w="1490"/>
        <w:gridCol w:w="681"/>
        <w:gridCol w:w="1759"/>
        <w:gridCol w:w="1057"/>
        <w:gridCol w:w="810"/>
        <w:gridCol w:w="778"/>
        <w:gridCol w:w="1314"/>
        <w:gridCol w:w="871"/>
        <w:gridCol w:w="2115"/>
      </w:tblGrid>
      <w:tr w14:paraId="77BFE6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6BD2E41C">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序号</w:t>
            </w:r>
          </w:p>
        </w:tc>
        <w:tc>
          <w:tcPr>
            <w:tcW w:w="1566" w:type="dxa"/>
            <w:tcBorders>
              <w:tl2br w:val="nil"/>
              <w:tr2bl w:val="nil"/>
            </w:tcBorders>
            <w:vAlign w:val="center"/>
          </w:tcPr>
          <w:p w14:paraId="427BD041">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固废名称</w:t>
            </w:r>
          </w:p>
        </w:tc>
        <w:tc>
          <w:tcPr>
            <w:tcW w:w="1134" w:type="dxa"/>
            <w:tcBorders>
              <w:tl2br w:val="nil"/>
              <w:tr2bl w:val="nil"/>
            </w:tcBorders>
            <w:vAlign w:val="center"/>
          </w:tcPr>
          <w:p w14:paraId="4EBA5971">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属性</w:t>
            </w:r>
          </w:p>
        </w:tc>
        <w:tc>
          <w:tcPr>
            <w:tcW w:w="1490" w:type="dxa"/>
            <w:tcBorders>
              <w:tl2br w:val="nil"/>
              <w:tr2bl w:val="nil"/>
            </w:tcBorders>
            <w:vAlign w:val="center"/>
          </w:tcPr>
          <w:p w14:paraId="183E0BC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产生工序</w:t>
            </w:r>
          </w:p>
        </w:tc>
        <w:tc>
          <w:tcPr>
            <w:tcW w:w="681" w:type="dxa"/>
            <w:tcBorders>
              <w:tl2br w:val="nil"/>
              <w:tr2bl w:val="nil"/>
            </w:tcBorders>
            <w:vAlign w:val="center"/>
          </w:tcPr>
          <w:p w14:paraId="018DA219">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形态</w:t>
            </w:r>
          </w:p>
        </w:tc>
        <w:tc>
          <w:tcPr>
            <w:tcW w:w="1759" w:type="dxa"/>
            <w:tcBorders>
              <w:tl2br w:val="nil"/>
              <w:tr2bl w:val="nil"/>
            </w:tcBorders>
            <w:vAlign w:val="center"/>
          </w:tcPr>
          <w:p w14:paraId="5AC849DA">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主要成分</w:t>
            </w:r>
          </w:p>
        </w:tc>
        <w:tc>
          <w:tcPr>
            <w:tcW w:w="1057" w:type="dxa"/>
            <w:tcBorders>
              <w:tl2br w:val="nil"/>
              <w:tr2bl w:val="nil"/>
            </w:tcBorders>
            <w:vAlign w:val="center"/>
          </w:tcPr>
          <w:p w14:paraId="599A042A">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危险特性鉴别方法</w:t>
            </w:r>
          </w:p>
        </w:tc>
        <w:tc>
          <w:tcPr>
            <w:tcW w:w="810" w:type="dxa"/>
            <w:tcBorders>
              <w:tl2br w:val="nil"/>
              <w:tr2bl w:val="nil"/>
            </w:tcBorders>
            <w:vAlign w:val="center"/>
          </w:tcPr>
          <w:p w14:paraId="56676A99">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危险特性</w:t>
            </w:r>
          </w:p>
        </w:tc>
        <w:tc>
          <w:tcPr>
            <w:tcW w:w="778" w:type="dxa"/>
            <w:tcBorders>
              <w:tl2br w:val="nil"/>
              <w:tr2bl w:val="nil"/>
            </w:tcBorders>
            <w:vAlign w:val="center"/>
          </w:tcPr>
          <w:p w14:paraId="0E8F7E37">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废物类别</w:t>
            </w:r>
          </w:p>
        </w:tc>
        <w:tc>
          <w:tcPr>
            <w:tcW w:w="1314" w:type="dxa"/>
            <w:tcBorders>
              <w:tl2br w:val="nil"/>
              <w:tr2bl w:val="nil"/>
            </w:tcBorders>
            <w:vAlign w:val="center"/>
          </w:tcPr>
          <w:p w14:paraId="5DC02D27">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废物代码</w:t>
            </w:r>
          </w:p>
        </w:tc>
        <w:tc>
          <w:tcPr>
            <w:tcW w:w="871" w:type="dxa"/>
            <w:tcBorders>
              <w:tl2br w:val="nil"/>
              <w:tr2bl w:val="nil"/>
            </w:tcBorders>
            <w:vAlign w:val="center"/>
          </w:tcPr>
          <w:p w14:paraId="686A13AE">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产生量（t/a）</w:t>
            </w:r>
          </w:p>
        </w:tc>
        <w:tc>
          <w:tcPr>
            <w:tcW w:w="2115" w:type="dxa"/>
            <w:tcBorders>
              <w:tl2br w:val="nil"/>
              <w:tr2bl w:val="nil"/>
            </w:tcBorders>
            <w:vAlign w:val="center"/>
          </w:tcPr>
          <w:p w14:paraId="17E0D4B0">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处理处置方法</w:t>
            </w:r>
          </w:p>
        </w:tc>
      </w:tr>
      <w:tr w14:paraId="6ED496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5F8D23E5">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1566" w:type="dxa"/>
            <w:tcBorders>
              <w:tl2br w:val="nil"/>
              <w:tr2bl w:val="nil"/>
            </w:tcBorders>
            <w:vAlign w:val="center"/>
          </w:tcPr>
          <w:p w14:paraId="6ADAB3EF">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病死鸡</w:t>
            </w:r>
          </w:p>
        </w:tc>
        <w:tc>
          <w:tcPr>
            <w:tcW w:w="1134" w:type="dxa"/>
            <w:tcBorders>
              <w:tl2br w:val="nil"/>
              <w:tr2bl w:val="nil"/>
            </w:tcBorders>
            <w:vAlign w:val="center"/>
          </w:tcPr>
          <w:p w14:paraId="14F7D063">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一般固废</w:t>
            </w:r>
          </w:p>
        </w:tc>
        <w:tc>
          <w:tcPr>
            <w:tcW w:w="1490" w:type="dxa"/>
            <w:tcBorders>
              <w:tl2br w:val="nil"/>
              <w:tr2bl w:val="nil"/>
            </w:tcBorders>
            <w:vAlign w:val="center"/>
          </w:tcPr>
          <w:p w14:paraId="3811F189">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养殖过程</w:t>
            </w:r>
          </w:p>
        </w:tc>
        <w:tc>
          <w:tcPr>
            <w:tcW w:w="681" w:type="dxa"/>
            <w:tcBorders>
              <w:tl2br w:val="nil"/>
              <w:tr2bl w:val="nil"/>
            </w:tcBorders>
            <w:vAlign w:val="center"/>
          </w:tcPr>
          <w:p w14:paraId="6D7BF818">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759" w:type="dxa"/>
            <w:tcBorders>
              <w:tl2br w:val="nil"/>
              <w:tr2bl w:val="nil"/>
            </w:tcBorders>
            <w:vAlign w:val="center"/>
          </w:tcPr>
          <w:p w14:paraId="071148EA">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病死鸡</w:t>
            </w:r>
          </w:p>
        </w:tc>
        <w:tc>
          <w:tcPr>
            <w:tcW w:w="1057" w:type="dxa"/>
            <w:vMerge w:val="restart"/>
            <w:tcBorders>
              <w:tl2br w:val="nil"/>
              <w:tr2bl w:val="nil"/>
            </w:tcBorders>
            <w:vAlign w:val="center"/>
          </w:tcPr>
          <w:p w14:paraId="582BAA14">
            <w:pPr>
              <w:widowControl/>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《国家危险废物名录》</w:t>
            </w:r>
            <w:r>
              <w:rPr>
                <w:rFonts w:hint="eastAsia" w:ascii="Times New Roman" w:eastAsia="宋体"/>
                <w:kern w:val="0"/>
                <w:sz w:val="21"/>
                <w:szCs w:val="21"/>
              </w:rPr>
              <w:t>（202</w:t>
            </w:r>
            <w:r>
              <w:rPr>
                <w:rFonts w:hint="eastAsia" w:ascii="Times New Roman" w:eastAsia="宋体"/>
                <w:kern w:val="0"/>
                <w:sz w:val="21"/>
                <w:szCs w:val="21"/>
                <w:lang w:val="en-US" w:eastAsia="zh-CN"/>
              </w:rPr>
              <w:t>5</w:t>
            </w:r>
            <w:r>
              <w:rPr>
                <w:rFonts w:hint="eastAsia" w:ascii="Times New Roman" w:eastAsia="宋体"/>
                <w:kern w:val="0"/>
                <w:sz w:val="21"/>
                <w:szCs w:val="21"/>
              </w:rPr>
              <w:t>年版）</w:t>
            </w:r>
          </w:p>
        </w:tc>
        <w:tc>
          <w:tcPr>
            <w:tcW w:w="810" w:type="dxa"/>
            <w:tcBorders>
              <w:tl2br w:val="nil"/>
              <w:tr2bl w:val="nil"/>
            </w:tcBorders>
            <w:vAlign w:val="center"/>
          </w:tcPr>
          <w:p w14:paraId="73825C2B">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778" w:type="dxa"/>
            <w:tcBorders>
              <w:tl2br w:val="nil"/>
              <w:tr2bl w:val="nil"/>
            </w:tcBorders>
            <w:vAlign w:val="center"/>
          </w:tcPr>
          <w:p w14:paraId="3C3FF33F">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SW82</w:t>
            </w:r>
          </w:p>
        </w:tc>
        <w:tc>
          <w:tcPr>
            <w:tcW w:w="1314" w:type="dxa"/>
            <w:tcBorders>
              <w:tl2br w:val="nil"/>
              <w:tr2bl w:val="nil"/>
            </w:tcBorders>
            <w:vAlign w:val="center"/>
          </w:tcPr>
          <w:p w14:paraId="179E8D1D">
            <w:pPr>
              <w:tabs>
                <w:tab w:val="left" w:pos="0"/>
              </w:tabs>
              <w:adjustRightInd w:val="0"/>
              <w:spacing w:line="300" w:lineRule="exact"/>
              <w:jc w:val="center"/>
              <w:rPr>
                <w:rFonts w:ascii="Times New Roman" w:hAnsi="Times New Roman" w:eastAsia="宋体" w:cs="Times New Roman"/>
                <w:bCs/>
                <w:sz w:val="21"/>
                <w:szCs w:val="21"/>
              </w:rPr>
            </w:pPr>
          </w:p>
        </w:tc>
        <w:tc>
          <w:tcPr>
            <w:tcW w:w="871" w:type="dxa"/>
            <w:tcBorders>
              <w:tl2br w:val="nil"/>
              <w:tr2bl w:val="nil"/>
            </w:tcBorders>
            <w:vAlign w:val="center"/>
          </w:tcPr>
          <w:p w14:paraId="332BE2BB">
            <w:pPr>
              <w:spacing w:line="300" w:lineRule="exact"/>
              <w:jc w:val="center"/>
              <w:rPr>
                <w:rFonts w:ascii="Times New Roman" w:hAnsi="Times New Roman" w:eastAsia="宋体" w:cs="Times New Roman"/>
                <w:bCs/>
                <w:sz w:val="21"/>
                <w:szCs w:val="21"/>
              </w:rPr>
            </w:pPr>
          </w:p>
        </w:tc>
        <w:tc>
          <w:tcPr>
            <w:tcW w:w="2115" w:type="dxa"/>
            <w:tcBorders>
              <w:tl2br w:val="nil"/>
              <w:tr2bl w:val="nil"/>
            </w:tcBorders>
            <w:vAlign w:val="center"/>
          </w:tcPr>
          <w:p w14:paraId="4FDEBD03">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委托</w:t>
            </w:r>
            <w:r>
              <w:rPr>
                <w:rFonts w:hint="eastAsia" w:ascii="Times New Roman" w:hAnsi="Times New Roman" w:eastAsia="宋体" w:cs="Times New Roman"/>
                <w:bCs/>
                <w:kern w:val="0"/>
                <w:sz w:val="21"/>
                <w:szCs w:val="21"/>
              </w:rPr>
              <w:t>泗阳北斗星动物无害化处理有限公司</w:t>
            </w:r>
            <w:r>
              <w:rPr>
                <w:rFonts w:ascii="Times New Roman" w:hAnsi="Times New Roman" w:eastAsia="宋体" w:cs="Times New Roman"/>
                <w:bCs/>
                <w:sz w:val="21"/>
                <w:szCs w:val="21"/>
              </w:rPr>
              <w:t>无害化处理</w:t>
            </w:r>
          </w:p>
        </w:tc>
      </w:tr>
      <w:tr w14:paraId="1940E5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6BE2E210">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1566" w:type="dxa"/>
            <w:tcBorders>
              <w:tl2br w:val="nil"/>
              <w:tr2bl w:val="nil"/>
            </w:tcBorders>
            <w:vAlign w:val="center"/>
          </w:tcPr>
          <w:p w14:paraId="6EEE5B82">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废包装</w:t>
            </w:r>
          </w:p>
        </w:tc>
        <w:tc>
          <w:tcPr>
            <w:tcW w:w="1134" w:type="dxa"/>
            <w:tcBorders>
              <w:tl2br w:val="nil"/>
              <w:tr2bl w:val="nil"/>
            </w:tcBorders>
            <w:vAlign w:val="center"/>
          </w:tcPr>
          <w:p w14:paraId="44FBC858">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一般固废</w:t>
            </w:r>
          </w:p>
        </w:tc>
        <w:tc>
          <w:tcPr>
            <w:tcW w:w="1490" w:type="dxa"/>
            <w:tcBorders>
              <w:tl2br w:val="nil"/>
              <w:tr2bl w:val="nil"/>
            </w:tcBorders>
            <w:vAlign w:val="center"/>
          </w:tcPr>
          <w:p w14:paraId="3BB8C446">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原辅料包装</w:t>
            </w:r>
          </w:p>
        </w:tc>
        <w:tc>
          <w:tcPr>
            <w:tcW w:w="681" w:type="dxa"/>
            <w:tcBorders>
              <w:tl2br w:val="nil"/>
              <w:tr2bl w:val="nil"/>
            </w:tcBorders>
            <w:vAlign w:val="center"/>
          </w:tcPr>
          <w:p w14:paraId="09519F34">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759" w:type="dxa"/>
            <w:tcBorders>
              <w:tl2br w:val="nil"/>
              <w:tr2bl w:val="nil"/>
            </w:tcBorders>
            <w:vAlign w:val="center"/>
          </w:tcPr>
          <w:p w14:paraId="3CE8F6C3">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包装袋</w:t>
            </w:r>
          </w:p>
        </w:tc>
        <w:tc>
          <w:tcPr>
            <w:tcW w:w="1057" w:type="dxa"/>
            <w:vMerge w:val="continue"/>
            <w:tcBorders>
              <w:tl2br w:val="nil"/>
              <w:tr2bl w:val="nil"/>
            </w:tcBorders>
            <w:vAlign w:val="center"/>
          </w:tcPr>
          <w:p w14:paraId="613DD1EC">
            <w:pPr>
              <w:widowControl/>
              <w:spacing w:line="300" w:lineRule="exact"/>
              <w:jc w:val="center"/>
              <w:rPr>
                <w:rFonts w:ascii="Times New Roman" w:hAnsi="Times New Roman" w:eastAsia="宋体" w:cs="Times New Roman"/>
                <w:bCs/>
                <w:sz w:val="21"/>
                <w:szCs w:val="21"/>
              </w:rPr>
            </w:pPr>
          </w:p>
        </w:tc>
        <w:tc>
          <w:tcPr>
            <w:tcW w:w="810" w:type="dxa"/>
            <w:tcBorders>
              <w:tl2br w:val="nil"/>
              <w:tr2bl w:val="nil"/>
            </w:tcBorders>
            <w:vAlign w:val="center"/>
          </w:tcPr>
          <w:p w14:paraId="26C699CF">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778" w:type="dxa"/>
            <w:tcBorders>
              <w:tl2br w:val="nil"/>
              <w:tr2bl w:val="nil"/>
            </w:tcBorders>
            <w:vAlign w:val="center"/>
          </w:tcPr>
          <w:p w14:paraId="06984EAD">
            <w:pPr>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SW82</w:t>
            </w:r>
          </w:p>
        </w:tc>
        <w:tc>
          <w:tcPr>
            <w:tcW w:w="1314" w:type="dxa"/>
            <w:tcBorders>
              <w:tl2br w:val="nil"/>
              <w:tr2bl w:val="nil"/>
            </w:tcBorders>
            <w:vAlign w:val="center"/>
          </w:tcPr>
          <w:p w14:paraId="3E93AAD0">
            <w:pPr>
              <w:tabs>
                <w:tab w:val="left" w:pos="0"/>
              </w:tabs>
              <w:adjustRightInd w:val="0"/>
              <w:spacing w:line="300" w:lineRule="exact"/>
              <w:jc w:val="center"/>
              <w:rPr>
                <w:rFonts w:ascii="Times New Roman" w:hAnsi="Times New Roman" w:eastAsia="宋体" w:cs="Times New Roman"/>
                <w:bCs/>
                <w:sz w:val="21"/>
                <w:szCs w:val="21"/>
              </w:rPr>
            </w:pPr>
          </w:p>
        </w:tc>
        <w:tc>
          <w:tcPr>
            <w:tcW w:w="871" w:type="dxa"/>
            <w:tcBorders>
              <w:tl2br w:val="nil"/>
              <w:tr2bl w:val="nil"/>
            </w:tcBorders>
            <w:vAlign w:val="center"/>
          </w:tcPr>
          <w:p w14:paraId="209B47C6">
            <w:pPr>
              <w:tabs>
                <w:tab w:val="left" w:pos="0"/>
              </w:tabs>
              <w:adjustRightInd w:val="0"/>
              <w:spacing w:line="300" w:lineRule="exact"/>
              <w:jc w:val="center"/>
              <w:rPr>
                <w:rFonts w:ascii="Times New Roman" w:hAnsi="Times New Roman" w:eastAsia="宋体" w:cs="Times New Roman"/>
                <w:bCs/>
                <w:sz w:val="21"/>
                <w:szCs w:val="21"/>
              </w:rPr>
            </w:pPr>
          </w:p>
        </w:tc>
        <w:tc>
          <w:tcPr>
            <w:tcW w:w="2115" w:type="dxa"/>
            <w:tcBorders>
              <w:tl2br w:val="nil"/>
              <w:tr2bl w:val="nil"/>
            </w:tcBorders>
            <w:vAlign w:val="center"/>
          </w:tcPr>
          <w:p w14:paraId="04707AD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外售综合利用</w:t>
            </w:r>
          </w:p>
        </w:tc>
      </w:tr>
      <w:tr w14:paraId="26B2F1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4622BD01">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1566" w:type="dxa"/>
            <w:tcBorders>
              <w:tl2br w:val="nil"/>
              <w:tr2bl w:val="nil"/>
            </w:tcBorders>
            <w:vAlign w:val="center"/>
          </w:tcPr>
          <w:p w14:paraId="00A24DA5">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鸡粪</w:t>
            </w:r>
          </w:p>
        </w:tc>
        <w:tc>
          <w:tcPr>
            <w:tcW w:w="1134" w:type="dxa"/>
            <w:tcBorders>
              <w:tl2br w:val="nil"/>
              <w:tr2bl w:val="nil"/>
            </w:tcBorders>
            <w:vAlign w:val="center"/>
          </w:tcPr>
          <w:p w14:paraId="73CD4779">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一般固废</w:t>
            </w:r>
          </w:p>
        </w:tc>
        <w:tc>
          <w:tcPr>
            <w:tcW w:w="1490" w:type="dxa"/>
            <w:tcBorders>
              <w:tl2br w:val="nil"/>
              <w:tr2bl w:val="nil"/>
            </w:tcBorders>
            <w:vAlign w:val="center"/>
          </w:tcPr>
          <w:p w14:paraId="7F2BDD2C">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养殖过程</w:t>
            </w:r>
          </w:p>
        </w:tc>
        <w:tc>
          <w:tcPr>
            <w:tcW w:w="681" w:type="dxa"/>
            <w:tcBorders>
              <w:tl2br w:val="nil"/>
              <w:tr2bl w:val="nil"/>
            </w:tcBorders>
            <w:vAlign w:val="center"/>
          </w:tcPr>
          <w:p w14:paraId="74298359">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759" w:type="dxa"/>
            <w:tcBorders>
              <w:tl2br w:val="nil"/>
              <w:tr2bl w:val="nil"/>
            </w:tcBorders>
            <w:vAlign w:val="center"/>
          </w:tcPr>
          <w:p w14:paraId="6BDD3B5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鸡粪</w:t>
            </w:r>
          </w:p>
        </w:tc>
        <w:tc>
          <w:tcPr>
            <w:tcW w:w="1057" w:type="dxa"/>
            <w:vMerge w:val="continue"/>
            <w:tcBorders>
              <w:tl2br w:val="nil"/>
              <w:tr2bl w:val="nil"/>
            </w:tcBorders>
            <w:vAlign w:val="center"/>
          </w:tcPr>
          <w:p w14:paraId="0421307F">
            <w:pPr>
              <w:widowControl/>
              <w:spacing w:line="300" w:lineRule="exact"/>
              <w:jc w:val="center"/>
              <w:rPr>
                <w:rFonts w:ascii="Times New Roman" w:hAnsi="Times New Roman" w:eastAsia="宋体" w:cs="Times New Roman"/>
                <w:bCs/>
                <w:sz w:val="21"/>
                <w:szCs w:val="21"/>
              </w:rPr>
            </w:pPr>
          </w:p>
        </w:tc>
        <w:tc>
          <w:tcPr>
            <w:tcW w:w="810" w:type="dxa"/>
            <w:tcBorders>
              <w:tl2br w:val="nil"/>
              <w:tr2bl w:val="nil"/>
            </w:tcBorders>
            <w:vAlign w:val="center"/>
          </w:tcPr>
          <w:p w14:paraId="33FB25A3">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778" w:type="dxa"/>
            <w:tcBorders>
              <w:tl2br w:val="nil"/>
              <w:tr2bl w:val="nil"/>
            </w:tcBorders>
            <w:vAlign w:val="center"/>
          </w:tcPr>
          <w:p w14:paraId="7D34316B">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SW82</w:t>
            </w:r>
          </w:p>
        </w:tc>
        <w:tc>
          <w:tcPr>
            <w:tcW w:w="1314" w:type="dxa"/>
            <w:tcBorders>
              <w:tl2br w:val="nil"/>
              <w:tr2bl w:val="nil"/>
            </w:tcBorders>
            <w:vAlign w:val="center"/>
          </w:tcPr>
          <w:p w14:paraId="0B1152B0">
            <w:pPr>
              <w:tabs>
                <w:tab w:val="left" w:pos="0"/>
              </w:tabs>
              <w:adjustRightInd w:val="0"/>
              <w:spacing w:line="300" w:lineRule="exact"/>
              <w:jc w:val="center"/>
              <w:rPr>
                <w:rFonts w:ascii="Times New Roman" w:hAnsi="Times New Roman" w:eastAsia="宋体" w:cs="Times New Roman"/>
                <w:bCs/>
                <w:sz w:val="21"/>
                <w:szCs w:val="21"/>
              </w:rPr>
            </w:pPr>
          </w:p>
        </w:tc>
        <w:tc>
          <w:tcPr>
            <w:tcW w:w="871" w:type="dxa"/>
            <w:tcBorders>
              <w:tl2br w:val="nil"/>
              <w:tr2bl w:val="nil"/>
            </w:tcBorders>
            <w:vAlign w:val="center"/>
          </w:tcPr>
          <w:p w14:paraId="1FB07E8A">
            <w:pPr>
              <w:tabs>
                <w:tab w:val="left" w:pos="0"/>
              </w:tabs>
              <w:adjustRightInd w:val="0"/>
              <w:spacing w:line="300" w:lineRule="exact"/>
              <w:jc w:val="center"/>
              <w:rPr>
                <w:rFonts w:ascii="Times New Roman" w:hAnsi="Times New Roman" w:eastAsia="宋体" w:cs="Times New Roman"/>
                <w:bCs/>
                <w:sz w:val="21"/>
                <w:szCs w:val="21"/>
              </w:rPr>
            </w:pPr>
          </w:p>
        </w:tc>
        <w:tc>
          <w:tcPr>
            <w:tcW w:w="2115" w:type="dxa"/>
            <w:tcBorders>
              <w:tl2br w:val="nil"/>
              <w:tr2bl w:val="nil"/>
            </w:tcBorders>
            <w:vAlign w:val="center"/>
          </w:tcPr>
          <w:p w14:paraId="612C6682">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外售</w:t>
            </w:r>
            <w:r>
              <w:rPr>
                <w:rFonts w:hint="eastAsia" w:ascii="Times New Roman" w:hAnsi="Times New Roman" w:eastAsia="宋体" w:cs="Times New Roman"/>
                <w:bCs/>
                <w:sz w:val="21"/>
                <w:szCs w:val="21"/>
                <w:lang w:eastAsia="zh-CN"/>
              </w:rPr>
              <w:t>泗阳巨宇畜禽粪污处理有限公司</w:t>
            </w:r>
            <w:r>
              <w:rPr>
                <w:rFonts w:ascii="Times New Roman" w:hAnsi="Times New Roman" w:eastAsia="宋体" w:cs="Times New Roman"/>
                <w:bCs/>
                <w:sz w:val="21"/>
                <w:szCs w:val="21"/>
              </w:rPr>
              <w:t>综合利用</w:t>
            </w:r>
          </w:p>
        </w:tc>
      </w:tr>
      <w:tr w14:paraId="2DFAFA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2B45FFE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1566" w:type="dxa"/>
            <w:tcBorders>
              <w:tl2br w:val="nil"/>
              <w:tr2bl w:val="nil"/>
            </w:tcBorders>
            <w:vAlign w:val="center"/>
          </w:tcPr>
          <w:p w14:paraId="04B78970">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医疗废物</w:t>
            </w:r>
          </w:p>
        </w:tc>
        <w:tc>
          <w:tcPr>
            <w:tcW w:w="1134" w:type="dxa"/>
            <w:tcBorders>
              <w:tl2br w:val="nil"/>
              <w:tr2bl w:val="nil"/>
            </w:tcBorders>
            <w:vAlign w:val="center"/>
          </w:tcPr>
          <w:p w14:paraId="037A9C2A">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危险废物</w:t>
            </w:r>
          </w:p>
        </w:tc>
        <w:tc>
          <w:tcPr>
            <w:tcW w:w="1490" w:type="dxa"/>
            <w:tcBorders>
              <w:tl2br w:val="nil"/>
              <w:tr2bl w:val="nil"/>
            </w:tcBorders>
            <w:vAlign w:val="center"/>
          </w:tcPr>
          <w:p w14:paraId="29CDF448">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养殖过程</w:t>
            </w:r>
          </w:p>
        </w:tc>
        <w:tc>
          <w:tcPr>
            <w:tcW w:w="681" w:type="dxa"/>
            <w:tcBorders>
              <w:tl2br w:val="nil"/>
              <w:tr2bl w:val="nil"/>
            </w:tcBorders>
            <w:vAlign w:val="center"/>
          </w:tcPr>
          <w:p w14:paraId="04FDDA32">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759" w:type="dxa"/>
            <w:tcBorders>
              <w:tl2br w:val="nil"/>
              <w:tr2bl w:val="nil"/>
            </w:tcBorders>
            <w:vAlign w:val="center"/>
          </w:tcPr>
          <w:p w14:paraId="34EC6399">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药物空瓶、袋</w:t>
            </w:r>
          </w:p>
        </w:tc>
        <w:tc>
          <w:tcPr>
            <w:tcW w:w="1057" w:type="dxa"/>
            <w:vMerge w:val="continue"/>
            <w:tcBorders>
              <w:tl2br w:val="nil"/>
              <w:tr2bl w:val="nil"/>
            </w:tcBorders>
            <w:vAlign w:val="center"/>
          </w:tcPr>
          <w:p w14:paraId="7B590ADB">
            <w:pPr>
              <w:widowControl/>
              <w:spacing w:line="300" w:lineRule="exact"/>
              <w:jc w:val="center"/>
              <w:rPr>
                <w:rFonts w:ascii="Times New Roman" w:hAnsi="Times New Roman" w:eastAsia="宋体" w:cs="Times New Roman"/>
                <w:bCs/>
                <w:sz w:val="21"/>
                <w:szCs w:val="21"/>
              </w:rPr>
            </w:pPr>
          </w:p>
        </w:tc>
        <w:tc>
          <w:tcPr>
            <w:tcW w:w="810" w:type="dxa"/>
            <w:tcBorders>
              <w:tl2br w:val="nil"/>
              <w:tr2bl w:val="nil"/>
            </w:tcBorders>
            <w:vAlign w:val="center"/>
          </w:tcPr>
          <w:p w14:paraId="7468DD7F">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In</w:t>
            </w:r>
          </w:p>
        </w:tc>
        <w:tc>
          <w:tcPr>
            <w:tcW w:w="778" w:type="dxa"/>
            <w:tcBorders>
              <w:tl2br w:val="nil"/>
              <w:tr2bl w:val="nil"/>
            </w:tcBorders>
            <w:vAlign w:val="center"/>
          </w:tcPr>
          <w:p w14:paraId="08DDA8BB">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HW01</w:t>
            </w:r>
          </w:p>
        </w:tc>
        <w:tc>
          <w:tcPr>
            <w:tcW w:w="1314" w:type="dxa"/>
            <w:tcBorders>
              <w:tl2br w:val="nil"/>
              <w:tr2bl w:val="nil"/>
            </w:tcBorders>
            <w:vAlign w:val="center"/>
          </w:tcPr>
          <w:p w14:paraId="6857B387">
            <w:pPr>
              <w:tabs>
                <w:tab w:val="left" w:pos="0"/>
              </w:tabs>
              <w:adjustRightInd w:val="0"/>
              <w:spacing w:line="300" w:lineRule="exact"/>
              <w:jc w:val="center"/>
              <w:rPr>
                <w:rFonts w:ascii="Times New Roman" w:hAnsi="Times New Roman" w:eastAsia="宋体" w:cs="Times New Roman"/>
                <w:bCs/>
                <w:sz w:val="21"/>
                <w:szCs w:val="21"/>
              </w:rPr>
            </w:pPr>
          </w:p>
        </w:tc>
        <w:tc>
          <w:tcPr>
            <w:tcW w:w="871" w:type="dxa"/>
            <w:tcBorders>
              <w:tl2br w:val="nil"/>
              <w:tr2bl w:val="nil"/>
            </w:tcBorders>
            <w:vAlign w:val="center"/>
          </w:tcPr>
          <w:p w14:paraId="5C6E61A4">
            <w:pPr>
              <w:tabs>
                <w:tab w:val="left" w:pos="0"/>
              </w:tabs>
              <w:adjustRightInd w:val="0"/>
              <w:spacing w:line="300" w:lineRule="exact"/>
              <w:jc w:val="center"/>
              <w:rPr>
                <w:rFonts w:ascii="Times New Roman" w:hAnsi="Times New Roman" w:eastAsia="宋体" w:cs="Times New Roman"/>
                <w:bCs/>
                <w:sz w:val="21"/>
                <w:szCs w:val="21"/>
              </w:rPr>
            </w:pPr>
          </w:p>
        </w:tc>
        <w:tc>
          <w:tcPr>
            <w:tcW w:w="2115" w:type="dxa"/>
            <w:tcBorders>
              <w:tl2br w:val="nil"/>
              <w:tr2bl w:val="nil"/>
            </w:tcBorders>
            <w:vAlign w:val="center"/>
          </w:tcPr>
          <w:p w14:paraId="69AC9D05">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有资质单位</w:t>
            </w:r>
            <w:r>
              <w:rPr>
                <w:rFonts w:hint="eastAsia" w:ascii="Times New Roman" w:hAnsi="Times New Roman" w:eastAsia="宋体" w:cs="Times New Roman"/>
                <w:bCs/>
                <w:sz w:val="21"/>
                <w:szCs w:val="21"/>
              </w:rPr>
              <w:t>安全</w:t>
            </w:r>
            <w:r>
              <w:rPr>
                <w:rFonts w:ascii="Times New Roman" w:hAnsi="Times New Roman" w:eastAsia="宋体" w:cs="Times New Roman"/>
                <w:bCs/>
                <w:sz w:val="21"/>
                <w:szCs w:val="21"/>
              </w:rPr>
              <w:t>处置</w:t>
            </w:r>
          </w:p>
        </w:tc>
      </w:tr>
      <w:tr w14:paraId="438980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112CBDEB">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1566" w:type="dxa"/>
            <w:tcBorders>
              <w:tl2br w:val="nil"/>
              <w:tr2bl w:val="nil"/>
            </w:tcBorders>
            <w:vAlign w:val="center"/>
          </w:tcPr>
          <w:p w14:paraId="24816A43">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污泥</w:t>
            </w:r>
          </w:p>
        </w:tc>
        <w:tc>
          <w:tcPr>
            <w:tcW w:w="1134" w:type="dxa"/>
            <w:tcBorders>
              <w:tl2br w:val="nil"/>
              <w:tr2bl w:val="nil"/>
            </w:tcBorders>
            <w:vAlign w:val="center"/>
          </w:tcPr>
          <w:p w14:paraId="32374F04">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一般固废</w:t>
            </w:r>
          </w:p>
        </w:tc>
        <w:tc>
          <w:tcPr>
            <w:tcW w:w="1490" w:type="dxa"/>
            <w:tcBorders>
              <w:tl2br w:val="nil"/>
              <w:tr2bl w:val="nil"/>
            </w:tcBorders>
            <w:vAlign w:val="center"/>
          </w:tcPr>
          <w:p w14:paraId="28825A47">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废</w:t>
            </w:r>
            <w:r>
              <w:rPr>
                <w:rFonts w:ascii="Times New Roman" w:hAnsi="Times New Roman" w:eastAsia="宋体" w:cs="Times New Roman"/>
                <w:bCs/>
                <w:sz w:val="21"/>
                <w:szCs w:val="21"/>
              </w:rPr>
              <w:t>水处理</w:t>
            </w:r>
          </w:p>
        </w:tc>
        <w:tc>
          <w:tcPr>
            <w:tcW w:w="681" w:type="dxa"/>
            <w:tcBorders>
              <w:tl2br w:val="nil"/>
              <w:tr2bl w:val="nil"/>
            </w:tcBorders>
            <w:vAlign w:val="center"/>
          </w:tcPr>
          <w:p w14:paraId="6798A194">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759" w:type="dxa"/>
            <w:tcBorders>
              <w:tl2br w:val="nil"/>
              <w:tr2bl w:val="nil"/>
            </w:tcBorders>
            <w:vAlign w:val="center"/>
          </w:tcPr>
          <w:p w14:paraId="5AF5BACE">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污泥</w:t>
            </w:r>
          </w:p>
        </w:tc>
        <w:tc>
          <w:tcPr>
            <w:tcW w:w="1057" w:type="dxa"/>
            <w:vMerge w:val="continue"/>
            <w:tcBorders>
              <w:tl2br w:val="nil"/>
              <w:tr2bl w:val="nil"/>
            </w:tcBorders>
            <w:vAlign w:val="center"/>
          </w:tcPr>
          <w:p w14:paraId="25C0BC11">
            <w:pPr>
              <w:widowControl/>
              <w:spacing w:line="300" w:lineRule="exact"/>
              <w:jc w:val="center"/>
              <w:rPr>
                <w:rFonts w:ascii="Times New Roman" w:hAnsi="Times New Roman" w:eastAsia="宋体" w:cs="Times New Roman"/>
                <w:bCs/>
                <w:sz w:val="21"/>
                <w:szCs w:val="21"/>
              </w:rPr>
            </w:pPr>
          </w:p>
        </w:tc>
        <w:tc>
          <w:tcPr>
            <w:tcW w:w="810" w:type="dxa"/>
            <w:tcBorders>
              <w:tl2br w:val="nil"/>
              <w:tr2bl w:val="nil"/>
            </w:tcBorders>
            <w:vAlign w:val="center"/>
          </w:tcPr>
          <w:p w14:paraId="44B03BDC">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778" w:type="dxa"/>
            <w:tcBorders>
              <w:tl2br w:val="nil"/>
              <w:tr2bl w:val="nil"/>
            </w:tcBorders>
            <w:vAlign w:val="center"/>
          </w:tcPr>
          <w:p w14:paraId="3C20B722">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SW07</w:t>
            </w:r>
          </w:p>
        </w:tc>
        <w:tc>
          <w:tcPr>
            <w:tcW w:w="1314" w:type="dxa"/>
            <w:tcBorders>
              <w:tl2br w:val="nil"/>
              <w:tr2bl w:val="nil"/>
            </w:tcBorders>
            <w:vAlign w:val="center"/>
          </w:tcPr>
          <w:p w14:paraId="71ECD584">
            <w:pPr>
              <w:tabs>
                <w:tab w:val="left" w:pos="0"/>
              </w:tabs>
              <w:adjustRightInd w:val="0"/>
              <w:spacing w:line="300" w:lineRule="exact"/>
              <w:jc w:val="center"/>
              <w:rPr>
                <w:rFonts w:ascii="Times New Roman" w:hAnsi="Times New Roman" w:eastAsia="宋体" w:cs="Times New Roman"/>
                <w:bCs/>
                <w:sz w:val="21"/>
                <w:szCs w:val="21"/>
              </w:rPr>
            </w:pPr>
          </w:p>
        </w:tc>
        <w:tc>
          <w:tcPr>
            <w:tcW w:w="871" w:type="dxa"/>
            <w:tcBorders>
              <w:tl2br w:val="nil"/>
              <w:tr2bl w:val="nil"/>
            </w:tcBorders>
            <w:vAlign w:val="center"/>
          </w:tcPr>
          <w:p w14:paraId="4E4E304E">
            <w:pPr>
              <w:tabs>
                <w:tab w:val="left" w:pos="0"/>
              </w:tabs>
              <w:adjustRightInd w:val="0"/>
              <w:spacing w:line="300" w:lineRule="exact"/>
              <w:jc w:val="center"/>
              <w:rPr>
                <w:rFonts w:ascii="Times New Roman" w:hAnsi="Times New Roman" w:eastAsia="宋体" w:cs="Times New Roman"/>
                <w:bCs/>
                <w:sz w:val="21"/>
                <w:szCs w:val="21"/>
              </w:rPr>
            </w:pPr>
          </w:p>
        </w:tc>
        <w:tc>
          <w:tcPr>
            <w:tcW w:w="2115" w:type="dxa"/>
            <w:tcBorders>
              <w:tl2br w:val="nil"/>
              <w:tr2bl w:val="nil"/>
            </w:tcBorders>
            <w:vAlign w:val="center"/>
          </w:tcPr>
          <w:p w14:paraId="01978010">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委外资源化</w:t>
            </w:r>
            <w:r>
              <w:rPr>
                <w:rFonts w:ascii="Times New Roman" w:hAnsi="Times New Roman" w:eastAsia="宋体" w:cs="Times New Roman"/>
                <w:bCs/>
                <w:sz w:val="21"/>
                <w:szCs w:val="21"/>
              </w:rPr>
              <w:t>利用</w:t>
            </w:r>
          </w:p>
        </w:tc>
      </w:tr>
      <w:tr w14:paraId="1085B3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1D597ADB">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1566" w:type="dxa"/>
            <w:tcBorders>
              <w:tl2br w:val="nil"/>
              <w:tr2bl w:val="nil"/>
            </w:tcBorders>
            <w:vAlign w:val="center"/>
          </w:tcPr>
          <w:p w14:paraId="592921E6">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饲料残渣及散落羽毛</w:t>
            </w:r>
          </w:p>
        </w:tc>
        <w:tc>
          <w:tcPr>
            <w:tcW w:w="1134" w:type="dxa"/>
            <w:tcBorders>
              <w:tl2br w:val="nil"/>
              <w:tr2bl w:val="nil"/>
            </w:tcBorders>
            <w:vAlign w:val="center"/>
          </w:tcPr>
          <w:p w14:paraId="14F8E3CF">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一般固废</w:t>
            </w:r>
          </w:p>
        </w:tc>
        <w:tc>
          <w:tcPr>
            <w:tcW w:w="1490" w:type="dxa"/>
            <w:tcBorders>
              <w:tl2br w:val="nil"/>
              <w:tr2bl w:val="nil"/>
            </w:tcBorders>
            <w:vAlign w:val="center"/>
          </w:tcPr>
          <w:p w14:paraId="0C511FF3">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养殖过程</w:t>
            </w:r>
          </w:p>
        </w:tc>
        <w:tc>
          <w:tcPr>
            <w:tcW w:w="681" w:type="dxa"/>
            <w:tcBorders>
              <w:tl2br w:val="nil"/>
              <w:tr2bl w:val="nil"/>
            </w:tcBorders>
            <w:vAlign w:val="center"/>
          </w:tcPr>
          <w:p w14:paraId="426CB808">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759" w:type="dxa"/>
            <w:tcBorders>
              <w:tl2br w:val="nil"/>
              <w:tr2bl w:val="nil"/>
            </w:tcBorders>
            <w:vAlign w:val="center"/>
          </w:tcPr>
          <w:p w14:paraId="5BC3B62E">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饲料残渣及散落羽毛</w:t>
            </w:r>
          </w:p>
        </w:tc>
        <w:tc>
          <w:tcPr>
            <w:tcW w:w="1057" w:type="dxa"/>
            <w:vMerge w:val="continue"/>
            <w:tcBorders>
              <w:tl2br w:val="nil"/>
              <w:tr2bl w:val="nil"/>
            </w:tcBorders>
            <w:vAlign w:val="center"/>
          </w:tcPr>
          <w:p w14:paraId="7420D8E7">
            <w:pPr>
              <w:widowControl/>
              <w:spacing w:line="300" w:lineRule="exact"/>
              <w:jc w:val="center"/>
              <w:rPr>
                <w:rFonts w:ascii="Times New Roman" w:hAnsi="Times New Roman" w:eastAsia="宋体" w:cs="Times New Roman"/>
                <w:bCs/>
                <w:sz w:val="21"/>
                <w:szCs w:val="21"/>
              </w:rPr>
            </w:pPr>
          </w:p>
        </w:tc>
        <w:tc>
          <w:tcPr>
            <w:tcW w:w="810" w:type="dxa"/>
            <w:tcBorders>
              <w:tl2br w:val="nil"/>
              <w:tr2bl w:val="nil"/>
            </w:tcBorders>
            <w:vAlign w:val="center"/>
          </w:tcPr>
          <w:p w14:paraId="0FE518E2">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778" w:type="dxa"/>
            <w:tcBorders>
              <w:tl2br w:val="nil"/>
              <w:tr2bl w:val="nil"/>
            </w:tcBorders>
            <w:vAlign w:val="center"/>
          </w:tcPr>
          <w:p w14:paraId="5C08646B">
            <w:pPr>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SW82</w:t>
            </w:r>
          </w:p>
        </w:tc>
        <w:tc>
          <w:tcPr>
            <w:tcW w:w="1314" w:type="dxa"/>
            <w:tcBorders>
              <w:tl2br w:val="nil"/>
              <w:tr2bl w:val="nil"/>
            </w:tcBorders>
            <w:vAlign w:val="center"/>
          </w:tcPr>
          <w:p w14:paraId="34B83DC0">
            <w:pPr>
              <w:tabs>
                <w:tab w:val="left" w:pos="0"/>
              </w:tabs>
              <w:adjustRightInd w:val="0"/>
              <w:spacing w:line="300" w:lineRule="exact"/>
              <w:jc w:val="center"/>
              <w:rPr>
                <w:rFonts w:ascii="Times New Roman" w:hAnsi="Times New Roman" w:eastAsia="宋体" w:cs="Times New Roman"/>
                <w:bCs/>
                <w:sz w:val="21"/>
                <w:szCs w:val="21"/>
              </w:rPr>
            </w:pPr>
          </w:p>
        </w:tc>
        <w:tc>
          <w:tcPr>
            <w:tcW w:w="871" w:type="dxa"/>
            <w:tcBorders>
              <w:tl2br w:val="nil"/>
              <w:tr2bl w:val="nil"/>
            </w:tcBorders>
            <w:vAlign w:val="center"/>
          </w:tcPr>
          <w:p w14:paraId="0E9E6E1A">
            <w:pPr>
              <w:tabs>
                <w:tab w:val="left" w:pos="0"/>
              </w:tabs>
              <w:adjustRightInd w:val="0"/>
              <w:spacing w:line="300" w:lineRule="exact"/>
              <w:jc w:val="center"/>
              <w:rPr>
                <w:rFonts w:ascii="Times New Roman" w:hAnsi="Times New Roman" w:eastAsia="宋体" w:cs="Times New Roman"/>
                <w:bCs/>
                <w:sz w:val="21"/>
                <w:szCs w:val="21"/>
              </w:rPr>
            </w:pPr>
          </w:p>
        </w:tc>
        <w:tc>
          <w:tcPr>
            <w:tcW w:w="2115" w:type="dxa"/>
            <w:tcBorders>
              <w:tl2br w:val="nil"/>
              <w:tr2bl w:val="nil"/>
            </w:tcBorders>
            <w:vAlign w:val="center"/>
          </w:tcPr>
          <w:p w14:paraId="3F8042BA">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外售综合利用</w:t>
            </w:r>
          </w:p>
        </w:tc>
      </w:tr>
      <w:tr w14:paraId="203132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37AFBDD4">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w:t>
            </w:r>
          </w:p>
        </w:tc>
        <w:tc>
          <w:tcPr>
            <w:tcW w:w="1566" w:type="dxa"/>
            <w:tcBorders>
              <w:tl2br w:val="nil"/>
              <w:tr2bl w:val="nil"/>
            </w:tcBorders>
            <w:vAlign w:val="center"/>
          </w:tcPr>
          <w:p w14:paraId="50FC08C3">
            <w:pPr>
              <w:tabs>
                <w:tab w:val="left" w:pos="0"/>
              </w:tabs>
              <w:adjustRightInd w:val="0"/>
              <w:spacing w:line="300" w:lineRule="exact"/>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废树脂</w:t>
            </w:r>
          </w:p>
        </w:tc>
        <w:tc>
          <w:tcPr>
            <w:tcW w:w="1134" w:type="dxa"/>
            <w:tcBorders>
              <w:tl2br w:val="nil"/>
              <w:tr2bl w:val="nil"/>
            </w:tcBorders>
            <w:vAlign w:val="center"/>
          </w:tcPr>
          <w:p w14:paraId="075ABBD7">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一般固废</w:t>
            </w:r>
          </w:p>
        </w:tc>
        <w:tc>
          <w:tcPr>
            <w:tcW w:w="1490" w:type="dxa"/>
            <w:tcBorders>
              <w:tl2br w:val="nil"/>
              <w:tr2bl w:val="nil"/>
            </w:tcBorders>
            <w:vAlign w:val="center"/>
          </w:tcPr>
          <w:p w14:paraId="0C2B69A5">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软水制备</w:t>
            </w:r>
          </w:p>
        </w:tc>
        <w:tc>
          <w:tcPr>
            <w:tcW w:w="681" w:type="dxa"/>
            <w:tcBorders>
              <w:tl2br w:val="nil"/>
              <w:tr2bl w:val="nil"/>
            </w:tcBorders>
            <w:vAlign w:val="center"/>
          </w:tcPr>
          <w:p w14:paraId="535F0BAC">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759" w:type="dxa"/>
            <w:tcBorders>
              <w:tl2br w:val="nil"/>
              <w:tr2bl w:val="nil"/>
            </w:tcBorders>
            <w:vAlign w:val="center"/>
          </w:tcPr>
          <w:p w14:paraId="10BF734E">
            <w:pPr>
              <w:tabs>
                <w:tab w:val="left" w:pos="0"/>
              </w:tabs>
              <w:adjustRightInd w:val="0"/>
              <w:spacing w:line="300" w:lineRule="exact"/>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废树脂</w:t>
            </w:r>
          </w:p>
        </w:tc>
        <w:tc>
          <w:tcPr>
            <w:tcW w:w="1057" w:type="dxa"/>
            <w:vMerge w:val="continue"/>
            <w:tcBorders>
              <w:tl2br w:val="nil"/>
              <w:tr2bl w:val="nil"/>
            </w:tcBorders>
            <w:vAlign w:val="center"/>
          </w:tcPr>
          <w:p w14:paraId="74FA8241">
            <w:pPr>
              <w:widowControl/>
              <w:spacing w:line="300" w:lineRule="exact"/>
              <w:jc w:val="center"/>
              <w:rPr>
                <w:rFonts w:ascii="Times New Roman" w:hAnsi="Times New Roman" w:eastAsia="宋体" w:cs="Times New Roman"/>
                <w:bCs/>
                <w:sz w:val="21"/>
                <w:szCs w:val="21"/>
              </w:rPr>
            </w:pPr>
          </w:p>
        </w:tc>
        <w:tc>
          <w:tcPr>
            <w:tcW w:w="810" w:type="dxa"/>
            <w:tcBorders>
              <w:tl2br w:val="nil"/>
              <w:tr2bl w:val="nil"/>
            </w:tcBorders>
            <w:vAlign w:val="center"/>
          </w:tcPr>
          <w:p w14:paraId="6B7B369E">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778" w:type="dxa"/>
            <w:tcBorders>
              <w:tl2br w:val="nil"/>
              <w:tr2bl w:val="nil"/>
            </w:tcBorders>
            <w:vAlign w:val="center"/>
          </w:tcPr>
          <w:p w14:paraId="5C3C414B">
            <w:pPr>
              <w:pStyle w:val="25"/>
              <w:adjustRightInd w:val="0"/>
              <w:spacing w:line="280" w:lineRule="exact"/>
              <w:jc w:val="center"/>
              <w:rPr>
                <w:rFonts w:ascii="Times New Roman" w:hAnsi="Times New Roman" w:eastAsia="宋体"/>
                <w:kern w:val="0"/>
                <w:sz w:val="21"/>
                <w:szCs w:val="21"/>
              </w:rPr>
            </w:pPr>
            <w:r>
              <w:rPr>
                <w:rFonts w:hint="eastAsia" w:ascii="Times New Roman" w:hAnsi="Times New Roman" w:eastAsia="宋体"/>
                <w:kern w:val="0"/>
                <w:sz w:val="21"/>
                <w:szCs w:val="21"/>
              </w:rPr>
              <w:t>SW59</w:t>
            </w:r>
          </w:p>
        </w:tc>
        <w:tc>
          <w:tcPr>
            <w:tcW w:w="1314" w:type="dxa"/>
            <w:tcBorders>
              <w:tl2br w:val="nil"/>
              <w:tr2bl w:val="nil"/>
            </w:tcBorders>
            <w:vAlign w:val="center"/>
          </w:tcPr>
          <w:p w14:paraId="66200E74">
            <w:pPr>
              <w:pStyle w:val="25"/>
              <w:adjustRightInd w:val="0"/>
              <w:spacing w:line="280" w:lineRule="exact"/>
              <w:jc w:val="center"/>
              <w:rPr>
                <w:rFonts w:ascii="Times New Roman" w:hAnsi="Times New Roman" w:eastAsia="宋体"/>
                <w:kern w:val="0"/>
                <w:sz w:val="21"/>
                <w:szCs w:val="21"/>
              </w:rPr>
            </w:pPr>
          </w:p>
        </w:tc>
        <w:tc>
          <w:tcPr>
            <w:tcW w:w="871" w:type="dxa"/>
            <w:tcBorders>
              <w:tl2br w:val="nil"/>
              <w:tr2bl w:val="nil"/>
            </w:tcBorders>
            <w:vAlign w:val="center"/>
          </w:tcPr>
          <w:p w14:paraId="287BE352">
            <w:pPr>
              <w:tabs>
                <w:tab w:val="left" w:pos="0"/>
              </w:tabs>
              <w:adjustRightInd w:val="0"/>
              <w:spacing w:line="300" w:lineRule="exact"/>
              <w:jc w:val="center"/>
              <w:rPr>
                <w:rFonts w:ascii="Times New Roman" w:hAnsi="Times New Roman" w:eastAsia="宋体" w:cs="Times New Roman"/>
                <w:bCs/>
                <w:sz w:val="21"/>
                <w:szCs w:val="21"/>
              </w:rPr>
            </w:pPr>
          </w:p>
        </w:tc>
        <w:tc>
          <w:tcPr>
            <w:tcW w:w="2115" w:type="dxa"/>
            <w:tcBorders>
              <w:tl2br w:val="nil"/>
              <w:tr2bl w:val="nil"/>
            </w:tcBorders>
            <w:vAlign w:val="center"/>
          </w:tcPr>
          <w:p w14:paraId="09C3803E">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lang w:val="en-US" w:eastAsia="zh-CN"/>
              </w:rPr>
              <w:t>厂家回收再</w:t>
            </w:r>
            <w:r>
              <w:rPr>
                <w:rFonts w:ascii="Times New Roman" w:hAnsi="Times New Roman" w:eastAsia="宋体" w:cs="Times New Roman"/>
                <w:bCs/>
                <w:sz w:val="21"/>
                <w:szCs w:val="21"/>
              </w:rPr>
              <w:t>利用</w:t>
            </w:r>
          </w:p>
        </w:tc>
      </w:tr>
      <w:tr w14:paraId="257DE6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tcBorders>
              <w:tl2br w:val="nil"/>
              <w:tr2bl w:val="nil"/>
            </w:tcBorders>
            <w:vAlign w:val="center"/>
          </w:tcPr>
          <w:p w14:paraId="4A56B663">
            <w:pPr>
              <w:tabs>
                <w:tab w:val="left" w:pos="0"/>
              </w:tabs>
              <w:adjustRightInd w:val="0"/>
              <w:spacing w:line="300" w:lineRule="exact"/>
              <w:jc w:val="center"/>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val="en-US" w:eastAsia="zh-CN"/>
              </w:rPr>
              <w:t>8</w:t>
            </w:r>
          </w:p>
        </w:tc>
        <w:tc>
          <w:tcPr>
            <w:tcW w:w="1566" w:type="dxa"/>
            <w:tcBorders>
              <w:tl2br w:val="nil"/>
              <w:tr2bl w:val="nil"/>
            </w:tcBorders>
            <w:vAlign w:val="center"/>
          </w:tcPr>
          <w:p w14:paraId="10AEEBB6">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生活垃圾</w:t>
            </w:r>
          </w:p>
        </w:tc>
        <w:tc>
          <w:tcPr>
            <w:tcW w:w="1134" w:type="dxa"/>
            <w:tcBorders>
              <w:tl2br w:val="nil"/>
              <w:tr2bl w:val="nil"/>
            </w:tcBorders>
            <w:vAlign w:val="center"/>
          </w:tcPr>
          <w:p w14:paraId="1A429648">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一般固废</w:t>
            </w:r>
          </w:p>
        </w:tc>
        <w:tc>
          <w:tcPr>
            <w:tcW w:w="1490" w:type="dxa"/>
            <w:tcBorders>
              <w:tl2br w:val="nil"/>
              <w:tr2bl w:val="nil"/>
            </w:tcBorders>
            <w:vAlign w:val="center"/>
          </w:tcPr>
          <w:p w14:paraId="21AD1ABB">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职工日常</w:t>
            </w:r>
            <w:r>
              <w:rPr>
                <w:rFonts w:hint="eastAsia" w:ascii="Times New Roman" w:hAnsi="Times New Roman" w:eastAsia="宋体" w:cs="Times New Roman"/>
                <w:bCs/>
                <w:sz w:val="21"/>
                <w:szCs w:val="21"/>
              </w:rPr>
              <w:t>生活</w:t>
            </w:r>
          </w:p>
        </w:tc>
        <w:tc>
          <w:tcPr>
            <w:tcW w:w="681" w:type="dxa"/>
            <w:tcBorders>
              <w:tl2br w:val="nil"/>
              <w:tr2bl w:val="nil"/>
            </w:tcBorders>
            <w:vAlign w:val="center"/>
          </w:tcPr>
          <w:p w14:paraId="09EAE6B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固</w:t>
            </w:r>
          </w:p>
        </w:tc>
        <w:tc>
          <w:tcPr>
            <w:tcW w:w="1759" w:type="dxa"/>
            <w:tcBorders>
              <w:tl2br w:val="nil"/>
              <w:tr2bl w:val="nil"/>
            </w:tcBorders>
            <w:vAlign w:val="center"/>
          </w:tcPr>
          <w:p w14:paraId="352C2DD4">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宋体" w:eastAsia="宋体"/>
                <w:sz w:val="21"/>
                <w:szCs w:val="21"/>
              </w:rPr>
              <w:t>可燃物、可堆腐物</w:t>
            </w:r>
          </w:p>
        </w:tc>
        <w:tc>
          <w:tcPr>
            <w:tcW w:w="1057" w:type="dxa"/>
            <w:vMerge w:val="continue"/>
            <w:tcBorders>
              <w:tl2br w:val="nil"/>
              <w:tr2bl w:val="nil"/>
            </w:tcBorders>
            <w:vAlign w:val="center"/>
          </w:tcPr>
          <w:p w14:paraId="5B316E2D">
            <w:pPr>
              <w:widowControl/>
              <w:spacing w:line="300" w:lineRule="exact"/>
              <w:jc w:val="center"/>
              <w:rPr>
                <w:rFonts w:ascii="Times New Roman" w:hAnsi="Times New Roman" w:eastAsia="宋体" w:cs="Times New Roman"/>
                <w:bCs/>
                <w:sz w:val="21"/>
                <w:szCs w:val="21"/>
              </w:rPr>
            </w:pPr>
          </w:p>
        </w:tc>
        <w:tc>
          <w:tcPr>
            <w:tcW w:w="810" w:type="dxa"/>
            <w:tcBorders>
              <w:tl2br w:val="nil"/>
              <w:tr2bl w:val="nil"/>
            </w:tcBorders>
            <w:vAlign w:val="center"/>
          </w:tcPr>
          <w:p w14:paraId="2A9E6213">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778" w:type="dxa"/>
            <w:tcBorders>
              <w:tl2br w:val="nil"/>
              <w:tr2bl w:val="nil"/>
            </w:tcBorders>
            <w:vAlign w:val="center"/>
          </w:tcPr>
          <w:p w14:paraId="1776876F">
            <w:pPr>
              <w:tabs>
                <w:tab w:val="left" w:pos="0"/>
              </w:tabs>
              <w:adjustRightInd w:val="0"/>
              <w:spacing w:line="30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SW64</w:t>
            </w:r>
          </w:p>
        </w:tc>
        <w:tc>
          <w:tcPr>
            <w:tcW w:w="1314" w:type="dxa"/>
            <w:tcBorders>
              <w:tl2br w:val="nil"/>
              <w:tr2bl w:val="nil"/>
            </w:tcBorders>
            <w:vAlign w:val="center"/>
          </w:tcPr>
          <w:p w14:paraId="4751D247">
            <w:pPr>
              <w:tabs>
                <w:tab w:val="left" w:pos="0"/>
              </w:tabs>
              <w:adjustRightInd w:val="0"/>
              <w:spacing w:line="300" w:lineRule="exact"/>
              <w:jc w:val="center"/>
              <w:rPr>
                <w:rFonts w:ascii="Times New Roman" w:hAnsi="Times New Roman" w:eastAsia="宋体" w:cs="Times New Roman"/>
                <w:bCs/>
                <w:sz w:val="21"/>
                <w:szCs w:val="21"/>
              </w:rPr>
            </w:pPr>
          </w:p>
        </w:tc>
        <w:tc>
          <w:tcPr>
            <w:tcW w:w="871" w:type="dxa"/>
            <w:tcBorders>
              <w:tl2br w:val="nil"/>
              <w:tr2bl w:val="nil"/>
            </w:tcBorders>
            <w:vAlign w:val="center"/>
          </w:tcPr>
          <w:p w14:paraId="2ACBB890">
            <w:pPr>
              <w:tabs>
                <w:tab w:val="left" w:pos="0"/>
              </w:tabs>
              <w:adjustRightInd w:val="0"/>
              <w:spacing w:line="300" w:lineRule="exact"/>
              <w:jc w:val="center"/>
              <w:rPr>
                <w:rFonts w:ascii="Times New Roman" w:hAnsi="Times New Roman" w:eastAsia="宋体" w:cs="Times New Roman"/>
                <w:bCs/>
                <w:sz w:val="21"/>
                <w:szCs w:val="21"/>
              </w:rPr>
            </w:pPr>
          </w:p>
        </w:tc>
        <w:tc>
          <w:tcPr>
            <w:tcW w:w="2115" w:type="dxa"/>
            <w:tcBorders>
              <w:tl2br w:val="nil"/>
              <w:tr2bl w:val="nil"/>
            </w:tcBorders>
            <w:vAlign w:val="center"/>
          </w:tcPr>
          <w:p w14:paraId="3306ECDE">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环卫部门清理</w:t>
            </w:r>
          </w:p>
        </w:tc>
      </w:tr>
    </w:tbl>
    <w:p w14:paraId="4D4073BE">
      <w:pPr>
        <w:sectPr>
          <w:pgSz w:w="16838" w:h="11906" w:orient="landscape"/>
          <w:pgMar w:top="1417" w:right="1417" w:bottom="1417" w:left="1417" w:header="850" w:footer="850" w:gutter="0"/>
          <w:pgNumType w:fmt="decimal"/>
          <w:cols w:space="425" w:num="1"/>
          <w:docGrid w:type="lines" w:linePitch="326" w:charSpace="0"/>
        </w:sectPr>
      </w:pPr>
    </w:p>
    <w:p w14:paraId="6D7B6FEF">
      <w:pPr>
        <w:pStyle w:val="8"/>
        <w:spacing w:line="5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4.2</w:t>
      </w:r>
      <w:r>
        <w:rPr>
          <w:color w:val="000000" w:themeColor="text1"/>
          <w14:textFill>
            <w14:solidFill>
              <w14:schemeClr w14:val="tx1"/>
            </w14:solidFill>
          </w14:textFill>
        </w:rPr>
        <w:t>暂存场所（设施）污染防治措施</w:t>
      </w:r>
      <w:r>
        <w:rPr>
          <w:rFonts w:hint="eastAsia"/>
          <w:color w:val="000000" w:themeColor="text1"/>
          <w14:textFill>
            <w14:solidFill>
              <w14:schemeClr w14:val="tx1"/>
            </w14:solidFill>
          </w14:textFill>
        </w:rPr>
        <w:t>及可行性分析</w:t>
      </w:r>
    </w:p>
    <w:p w14:paraId="28F329A1">
      <w:pPr>
        <w:pStyle w:val="49"/>
        <w:snapToGrid/>
        <w:spacing w:line="480" w:lineRule="exact"/>
        <w:ind w:firstLine="480"/>
      </w:pPr>
      <w:r>
        <w:t>全场固废暂存场所严格按照</w:t>
      </w:r>
      <w:r>
        <w:rPr>
          <w:rFonts w:eastAsia="宋体" w:cs="Times New Roman"/>
          <w:szCs w:val="24"/>
        </w:rPr>
        <w:t>《一般工业固体废物贮存和填埋污染控制标准》（GB18599-2020</w:t>
      </w:r>
      <w:r>
        <w:rPr>
          <w:rFonts w:hint="eastAsia" w:eastAsia="宋体" w:cs="Times New Roman"/>
          <w:szCs w:val="24"/>
        </w:rPr>
        <w:t>）</w:t>
      </w:r>
      <w:r>
        <w:t>以及《危险废物贮存污染控制标准》（GB18597-20</w:t>
      </w:r>
      <w:r>
        <w:rPr>
          <w:rFonts w:hint="eastAsia"/>
        </w:rPr>
        <w:t>23</w:t>
      </w:r>
      <w:r>
        <w:t>）的要求规范建设和维护使用。做好固废暂存场所防雨、防风、防渗、防漏等措施，避免产生渗透、雨水淋溶以及大风吹扬等二次污染，固体废物之间无相互影响。</w:t>
      </w:r>
      <w:r>
        <w:rPr>
          <w:rFonts w:hint="eastAsia"/>
        </w:rPr>
        <w:t>同时危废暂存间应满足以下要求：①按照《危险废物识别标识设置规范设置标志》（HJ1276-2022）设置标识牌，配备通讯设备、照明设施和消防设施；在出入口、设施内部、危险废物运输车辆通道等关键位置按照危险废物贮存设施视频监控布设要求设置视频监控，并与中控室联网。②根据危险废物的种类和特性进行分区、分类贮存，设置防雨、防火、防雷、防扬散、防渗漏装置及泄漏液体收集装置。对易爆、易燃及排出有毒气体的危险废物进行预处理，稳定后贮存，否则按易爆、易燃危险品贮存。③贮存场所应符合</w:t>
      </w:r>
      <w:r>
        <w:t>《危险废物贮存污染控制标准》（GB18597-20</w:t>
      </w:r>
      <w:r>
        <w:rPr>
          <w:rFonts w:hint="eastAsia"/>
        </w:rPr>
        <w:t>23</w:t>
      </w:r>
      <w:r>
        <w:t>）</w:t>
      </w:r>
      <w:r>
        <w:rPr>
          <w:rFonts w:hint="eastAsia"/>
        </w:rPr>
        <w:t>及《省生态环境厅关于做好《危险废物贮存污染控制标准》等标准规范实施后危险废物环境管理衔接工作的通知》（苏环办[2023]154）的相关要求外，</w:t>
      </w:r>
      <w:r>
        <w:rPr>
          <w:rFonts w:eastAsia="宋体" w:cs="Times New Roman"/>
          <w:szCs w:val="24"/>
        </w:rPr>
        <w:t>还应严格执行《省生态环境厅关于印发江苏省危险废物贮存规范化管理专项整治行动方案的通知》（苏环办〔2019〕149号）、《</w:t>
      </w:r>
      <w:r>
        <w:rPr>
          <w:rFonts w:hint="eastAsia" w:eastAsia="宋体" w:cs="Times New Roman"/>
          <w:szCs w:val="24"/>
        </w:rPr>
        <w:t>江苏省固体废物全过程环境监管工作意见</w:t>
      </w:r>
      <w:r>
        <w:rPr>
          <w:rFonts w:eastAsia="宋体" w:cs="Times New Roman"/>
          <w:szCs w:val="24"/>
        </w:rPr>
        <w:t>》（</w:t>
      </w:r>
      <w:r>
        <w:rPr>
          <w:rFonts w:hint="eastAsia" w:eastAsia="宋体" w:cs="Times New Roman"/>
          <w:szCs w:val="24"/>
        </w:rPr>
        <w:t>苏环办〔2024〕16号</w:t>
      </w:r>
      <w:r>
        <w:rPr>
          <w:rFonts w:eastAsia="宋体" w:cs="Times New Roman"/>
          <w:szCs w:val="24"/>
        </w:rPr>
        <w:t>）及</w:t>
      </w:r>
      <w:r>
        <w:rPr>
          <w:rFonts w:eastAsia="宋体" w:cs="Times New Roman"/>
          <w:color w:val="000000" w:themeColor="text1"/>
          <w:szCs w:val="24"/>
          <w14:textFill>
            <w14:solidFill>
              <w14:schemeClr w14:val="tx1"/>
            </w14:solidFill>
          </w14:textFill>
        </w:rPr>
        <w:t>《关于做好江苏省危险废物全生命周期监控系统上线运行工作的通知》（苏环办〔2020〕401号）等文件及地方管理部门的要求，切实加强危险废物全过程管理工作</w:t>
      </w:r>
      <w:r>
        <w:rPr>
          <w:rFonts w:hint="eastAsia"/>
        </w:rPr>
        <w:t>。④贮存区内禁止混放不相容危险废物。贮存区考虑相应的集排水和防渗设施。贮存区符合消防要求。贮存容器必须有明显标志，具有耐腐蚀、耐压、密封和不与所贮存的废物发生发应等特性。</w:t>
      </w:r>
    </w:p>
    <w:p w14:paraId="3775CB6D">
      <w:pPr>
        <w:topLinePunct/>
        <w:spacing w:line="480" w:lineRule="exact"/>
        <w:ind w:firstLine="480" w:firstLineChars="200"/>
        <w:rPr>
          <w:rFonts w:ascii="Times New Roman" w:hAnsi="Times New Roman" w:cs="Times New Roman"/>
          <w:szCs w:val="24"/>
        </w:rPr>
      </w:pPr>
      <w:r>
        <w:t>本项目</w:t>
      </w:r>
      <w:r>
        <w:rPr>
          <w:szCs w:val="24"/>
        </w:rPr>
        <w:t>产生的</w:t>
      </w:r>
      <w:r>
        <w:t>危险废物</w:t>
      </w:r>
      <w:r>
        <w:rPr>
          <w:rFonts w:hint="eastAsia"/>
        </w:rPr>
        <w:t>0.</w:t>
      </w:r>
      <w:r>
        <w:rPr>
          <w:rFonts w:hint="eastAsia"/>
          <w:lang w:val="en-US" w:eastAsia="zh-CN"/>
        </w:rPr>
        <w:t>1</w:t>
      </w:r>
      <w:r>
        <w:t>t/a，</w:t>
      </w:r>
      <w:r>
        <w:rPr>
          <w:rFonts w:hint="eastAsia"/>
        </w:rPr>
        <w:t>危险废物</w:t>
      </w:r>
      <w:r>
        <w:t>单独包装、分开堆存，企业设置的</w:t>
      </w:r>
      <w:r>
        <w:rPr>
          <w:rFonts w:hint="eastAsia"/>
          <w:lang w:eastAsia="zh-CN"/>
        </w:rPr>
        <w:t>5m</w:t>
      </w:r>
      <w:r>
        <w:rPr>
          <w:rFonts w:hint="eastAsia"/>
          <w:vertAlign w:val="superscript"/>
          <w:lang w:eastAsia="zh-CN"/>
        </w:rPr>
        <w:t>2</w:t>
      </w:r>
      <w:r>
        <w:t>危废仓库</w:t>
      </w:r>
      <w:r>
        <w:rPr>
          <w:color w:val="000000" w:themeColor="text1"/>
          <w14:textFill>
            <w14:solidFill>
              <w14:schemeClr w14:val="tx1"/>
            </w14:solidFill>
          </w14:textFill>
        </w:rPr>
        <w:t>满足需求。危险废物贮存期最长不得超过一年。项目危险废物贮存场所情况见表6.</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t>。</w:t>
      </w:r>
    </w:p>
    <w:p w14:paraId="30A4E4E9">
      <w:pPr>
        <w:adjustRightInd w:val="0"/>
        <w:snapToGrid w:val="0"/>
        <w:spacing w:line="470" w:lineRule="exact"/>
        <w:jc w:val="center"/>
        <w:rPr>
          <w:rStyle w:val="106"/>
          <w:rFonts w:eastAsia="宋体"/>
          <w:color w:val="000000"/>
        </w:rPr>
      </w:pPr>
      <w:r>
        <w:rPr>
          <w:rStyle w:val="106"/>
          <w:rFonts w:eastAsia="宋体"/>
          <w:color w:val="000000" w:themeColor="text1"/>
          <w14:textFill>
            <w14:solidFill>
              <w14:schemeClr w14:val="tx1"/>
            </w14:solidFill>
          </w14:textFill>
        </w:rPr>
        <w:t>表</w:t>
      </w:r>
      <w:r>
        <w:rPr>
          <w:rStyle w:val="106"/>
          <w:rFonts w:hint="eastAsia" w:eastAsia="宋体"/>
          <w:color w:val="000000" w:themeColor="text1"/>
          <w14:textFill>
            <w14:solidFill>
              <w14:schemeClr w14:val="tx1"/>
            </w14:solidFill>
          </w14:textFill>
        </w:rPr>
        <w:t>6.2-</w:t>
      </w:r>
      <w:r>
        <w:rPr>
          <w:rStyle w:val="106"/>
          <w:rFonts w:hint="eastAsia" w:eastAsia="宋体"/>
          <w:color w:val="000000" w:themeColor="text1"/>
          <w:lang w:val="en-US" w:eastAsia="zh-CN"/>
          <w14:textFill>
            <w14:solidFill>
              <w14:schemeClr w14:val="tx1"/>
            </w14:solidFill>
          </w14:textFill>
        </w:rPr>
        <w:t>9</w:t>
      </w:r>
      <w:r>
        <w:rPr>
          <w:rStyle w:val="106"/>
          <w:rFonts w:eastAsia="宋体"/>
          <w:color w:val="000000" w:themeColor="text1"/>
          <w14:textFill>
            <w14:solidFill>
              <w14:schemeClr w14:val="tx1"/>
            </w14:solidFill>
          </w14:textFill>
        </w:rPr>
        <w:t>建设</w:t>
      </w:r>
      <w:r>
        <w:rPr>
          <w:rStyle w:val="106"/>
          <w:rFonts w:eastAsia="宋体"/>
          <w:color w:val="000000"/>
        </w:rPr>
        <w:t>项目危险废物暂存场所（设施）基本情况表</w:t>
      </w:r>
    </w:p>
    <w:tbl>
      <w:tblPr>
        <w:tblStyle w:val="41"/>
        <w:tblW w:w="4996" w:type="pct"/>
        <w:tblInd w:w="0" w:type="dxa"/>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1084"/>
        <w:gridCol w:w="1054"/>
        <w:gridCol w:w="1026"/>
        <w:gridCol w:w="1277"/>
        <w:gridCol w:w="1126"/>
        <w:gridCol w:w="775"/>
        <w:gridCol w:w="985"/>
        <w:gridCol w:w="712"/>
        <w:gridCol w:w="714"/>
      </w:tblGrid>
      <w:tr w14:paraId="2E156177">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Align w:val="center"/>
          </w:tcPr>
          <w:p w14:paraId="54A3603B">
            <w:pPr>
              <w:adjustRightInd w:val="0"/>
              <w:snapToGrid w:val="0"/>
              <w:spacing w:line="300" w:lineRule="exact"/>
              <w:jc w:val="center"/>
              <w:rPr>
                <w:rFonts w:ascii="Times New Roman"/>
                <w:color w:val="000000"/>
                <w:sz w:val="21"/>
                <w:szCs w:val="21"/>
              </w:rPr>
            </w:pPr>
            <w:r>
              <w:rPr>
                <w:rFonts w:ascii="Times New Roman"/>
                <w:color w:val="000000"/>
                <w:sz w:val="21"/>
                <w:szCs w:val="21"/>
              </w:rPr>
              <w:t>序号</w:t>
            </w:r>
          </w:p>
        </w:tc>
        <w:tc>
          <w:tcPr>
            <w:tcW w:w="583" w:type="pct"/>
            <w:vAlign w:val="center"/>
          </w:tcPr>
          <w:p w14:paraId="21E215BD">
            <w:pPr>
              <w:adjustRightInd w:val="0"/>
              <w:snapToGrid w:val="0"/>
              <w:spacing w:line="300" w:lineRule="exact"/>
              <w:jc w:val="center"/>
              <w:rPr>
                <w:rFonts w:ascii="Times New Roman"/>
                <w:color w:val="000000"/>
                <w:sz w:val="21"/>
                <w:szCs w:val="21"/>
              </w:rPr>
            </w:pPr>
            <w:r>
              <w:rPr>
                <w:rFonts w:ascii="Times New Roman"/>
                <w:color w:val="000000"/>
                <w:sz w:val="21"/>
                <w:szCs w:val="21"/>
              </w:rPr>
              <w:t>贮存场所（设施）</w:t>
            </w:r>
          </w:p>
          <w:p w14:paraId="0FB966A1">
            <w:pPr>
              <w:adjustRightInd w:val="0"/>
              <w:snapToGrid w:val="0"/>
              <w:spacing w:line="300" w:lineRule="exact"/>
              <w:jc w:val="center"/>
              <w:rPr>
                <w:rFonts w:ascii="Times New Roman"/>
                <w:color w:val="000000"/>
                <w:sz w:val="21"/>
                <w:szCs w:val="21"/>
              </w:rPr>
            </w:pPr>
            <w:r>
              <w:rPr>
                <w:rFonts w:ascii="Times New Roman"/>
                <w:color w:val="000000"/>
                <w:sz w:val="21"/>
                <w:szCs w:val="21"/>
              </w:rPr>
              <w:t>名称</w:t>
            </w:r>
          </w:p>
        </w:tc>
        <w:tc>
          <w:tcPr>
            <w:tcW w:w="567" w:type="pct"/>
            <w:vAlign w:val="center"/>
          </w:tcPr>
          <w:p w14:paraId="6492B491">
            <w:pPr>
              <w:adjustRightInd w:val="0"/>
              <w:snapToGrid w:val="0"/>
              <w:spacing w:line="300" w:lineRule="exact"/>
              <w:jc w:val="center"/>
              <w:rPr>
                <w:rFonts w:ascii="Times New Roman"/>
                <w:color w:val="000000"/>
                <w:sz w:val="21"/>
                <w:szCs w:val="21"/>
              </w:rPr>
            </w:pPr>
            <w:r>
              <w:rPr>
                <w:rFonts w:ascii="Times New Roman"/>
                <w:color w:val="000000"/>
                <w:sz w:val="21"/>
                <w:szCs w:val="21"/>
              </w:rPr>
              <w:t>危险废物名称</w:t>
            </w:r>
          </w:p>
        </w:tc>
        <w:tc>
          <w:tcPr>
            <w:tcW w:w="552" w:type="pct"/>
            <w:vAlign w:val="center"/>
          </w:tcPr>
          <w:p w14:paraId="595F9F17">
            <w:pPr>
              <w:adjustRightInd w:val="0"/>
              <w:snapToGrid w:val="0"/>
              <w:spacing w:line="300" w:lineRule="exact"/>
              <w:jc w:val="center"/>
              <w:rPr>
                <w:rFonts w:ascii="Times New Roman"/>
                <w:color w:val="000000"/>
                <w:sz w:val="21"/>
                <w:szCs w:val="21"/>
              </w:rPr>
            </w:pPr>
            <w:r>
              <w:rPr>
                <w:rFonts w:ascii="Times New Roman"/>
                <w:color w:val="000000"/>
                <w:sz w:val="21"/>
                <w:szCs w:val="21"/>
              </w:rPr>
              <w:t>危险废物类别</w:t>
            </w:r>
          </w:p>
        </w:tc>
        <w:tc>
          <w:tcPr>
            <w:tcW w:w="687" w:type="pct"/>
            <w:vAlign w:val="center"/>
          </w:tcPr>
          <w:p w14:paraId="00F1DAEC">
            <w:pPr>
              <w:adjustRightInd w:val="0"/>
              <w:snapToGrid w:val="0"/>
              <w:spacing w:line="300" w:lineRule="exact"/>
              <w:jc w:val="center"/>
              <w:rPr>
                <w:rFonts w:ascii="Times New Roman"/>
                <w:color w:val="000000"/>
                <w:sz w:val="21"/>
                <w:szCs w:val="21"/>
              </w:rPr>
            </w:pPr>
            <w:r>
              <w:rPr>
                <w:rFonts w:ascii="Times New Roman"/>
                <w:color w:val="000000"/>
                <w:sz w:val="21"/>
                <w:szCs w:val="21"/>
              </w:rPr>
              <w:t>危险废物代码</w:t>
            </w:r>
          </w:p>
        </w:tc>
        <w:tc>
          <w:tcPr>
            <w:tcW w:w="606" w:type="pct"/>
            <w:vAlign w:val="center"/>
          </w:tcPr>
          <w:p w14:paraId="0DCA495D">
            <w:pPr>
              <w:adjustRightInd w:val="0"/>
              <w:snapToGrid w:val="0"/>
              <w:spacing w:line="300" w:lineRule="exact"/>
              <w:jc w:val="center"/>
              <w:rPr>
                <w:rFonts w:ascii="Times New Roman"/>
                <w:color w:val="000000"/>
                <w:sz w:val="21"/>
                <w:szCs w:val="21"/>
              </w:rPr>
            </w:pPr>
            <w:r>
              <w:rPr>
                <w:rFonts w:ascii="Times New Roman"/>
                <w:color w:val="000000"/>
                <w:sz w:val="21"/>
                <w:szCs w:val="21"/>
              </w:rPr>
              <w:t>位置</w:t>
            </w:r>
          </w:p>
        </w:tc>
        <w:tc>
          <w:tcPr>
            <w:tcW w:w="417" w:type="pct"/>
            <w:vAlign w:val="center"/>
          </w:tcPr>
          <w:p w14:paraId="2C915A53">
            <w:pPr>
              <w:adjustRightInd w:val="0"/>
              <w:snapToGrid w:val="0"/>
              <w:spacing w:line="300" w:lineRule="exact"/>
              <w:jc w:val="center"/>
              <w:rPr>
                <w:rFonts w:ascii="Times New Roman"/>
                <w:color w:val="000000"/>
                <w:sz w:val="21"/>
                <w:szCs w:val="21"/>
              </w:rPr>
            </w:pPr>
            <w:r>
              <w:rPr>
                <w:rFonts w:ascii="Times New Roman"/>
                <w:color w:val="000000"/>
                <w:sz w:val="21"/>
                <w:szCs w:val="21"/>
              </w:rPr>
              <w:t>占地面积</w:t>
            </w:r>
          </w:p>
        </w:tc>
        <w:tc>
          <w:tcPr>
            <w:tcW w:w="530" w:type="pct"/>
            <w:vAlign w:val="center"/>
          </w:tcPr>
          <w:p w14:paraId="1CB92FA9">
            <w:pPr>
              <w:adjustRightInd w:val="0"/>
              <w:snapToGrid w:val="0"/>
              <w:spacing w:line="300" w:lineRule="exact"/>
              <w:jc w:val="center"/>
              <w:rPr>
                <w:rFonts w:ascii="Times New Roman"/>
                <w:color w:val="000000"/>
                <w:sz w:val="21"/>
                <w:szCs w:val="21"/>
              </w:rPr>
            </w:pPr>
            <w:r>
              <w:rPr>
                <w:rFonts w:ascii="Times New Roman"/>
                <w:color w:val="000000"/>
                <w:sz w:val="21"/>
                <w:szCs w:val="21"/>
              </w:rPr>
              <w:t>贮存方式</w:t>
            </w:r>
          </w:p>
        </w:tc>
        <w:tc>
          <w:tcPr>
            <w:tcW w:w="383" w:type="pct"/>
            <w:vAlign w:val="center"/>
          </w:tcPr>
          <w:p w14:paraId="2839089F">
            <w:pPr>
              <w:adjustRightInd w:val="0"/>
              <w:snapToGrid w:val="0"/>
              <w:spacing w:line="300" w:lineRule="exact"/>
              <w:jc w:val="center"/>
              <w:rPr>
                <w:rFonts w:ascii="Times New Roman"/>
                <w:color w:val="000000"/>
                <w:sz w:val="21"/>
                <w:szCs w:val="21"/>
              </w:rPr>
            </w:pPr>
            <w:r>
              <w:rPr>
                <w:rFonts w:ascii="Times New Roman"/>
                <w:color w:val="000000"/>
                <w:sz w:val="21"/>
                <w:szCs w:val="21"/>
              </w:rPr>
              <w:t>贮存</w:t>
            </w:r>
          </w:p>
          <w:p w14:paraId="6886FEA9">
            <w:pPr>
              <w:adjustRightInd w:val="0"/>
              <w:snapToGrid w:val="0"/>
              <w:spacing w:line="300" w:lineRule="exact"/>
              <w:jc w:val="center"/>
              <w:rPr>
                <w:rFonts w:ascii="Times New Roman"/>
                <w:color w:val="000000"/>
                <w:sz w:val="21"/>
                <w:szCs w:val="21"/>
              </w:rPr>
            </w:pPr>
            <w:r>
              <w:rPr>
                <w:rFonts w:ascii="Times New Roman"/>
                <w:color w:val="000000"/>
                <w:sz w:val="21"/>
                <w:szCs w:val="21"/>
              </w:rPr>
              <w:t>能力</w:t>
            </w:r>
          </w:p>
        </w:tc>
        <w:tc>
          <w:tcPr>
            <w:tcW w:w="384" w:type="pct"/>
            <w:vAlign w:val="center"/>
          </w:tcPr>
          <w:p w14:paraId="2C163C92">
            <w:pPr>
              <w:adjustRightInd w:val="0"/>
              <w:snapToGrid w:val="0"/>
              <w:spacing w:line="300" w:lineRule="exact"/>
              <w:jc w:val="center"/>
              <w:rPr>
                <w:rFonts w:ascii="Times New Roman"/>
                <w:color w:val="000000"/>
                <w:sz w:val="21"/>
                <w:szCs w:val="21"/>
              </w:rPr>
            </w:pPr>
            <w:r>
              <w:rPr>
                <w:rFonts w:ascii="Times New Roman"/>
                <w:color w:val="000000"/>
                <w:sz w:val="21"/>
                <w:szCs w:val="21"/>
              </w:rPr>
              <w:t>贮存</w:t>
            </w:r>
          </w:p>
          <w:p w14:paraId="213361C7">
            <w:pPr>
              <w:adjustRightInd w:val="0"/>
              <w:snapToGrid w:val="0"/>
              <w:spacing w:line="300" w:lineRule="exact"/>
              <w:jc w:val="center"/>
              <w:rPr>
                <w:rFonts w:ascii="Times New Roman"/>
                <w:color w:val="000000"/>
                <w:sz w:val="21"/>
                <w:szCs w:val="21"/>
              </w:rPr>
            </w:pPr>
            <w:r>
              <w:rPr>
                <w:rFonts w:ascii="Times New Roman"/>
                <w:color w:val="000000"/>
                <w:sz w:val="21"/>
                <w:szCs w:val="21"/>
              </w:rPr>
              <w:t>周期</w:t>
            </w:r>
          </w:p>
        </w:tc>
      </w:tr>
      <w:tr w14:paraId="32F8D47D">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Align w:val="center"/>
          </w:tcPr>
          <w:p w14:paraId="65B4679E">
            <w:pPr>
              <w:adjustRightInd w:val="0"/>
              <w:snapToGrid w:val="0"/>
              <w:spacing w:line="300" w:lineRule="exact"/>
              <w:jc w:val="center"/>
              <w:rPr>
                <w:rFonts w:ascii="Times New Roman"/>
                <w:color w:val="000000"/>
                <w:sz w:val="21"/>
                <w:szCs w:val="21"/>
              </w:rPr>
            </w:pPr>
            <w:r>
              <w:rPr>
                <w:rFonts w:ascii="Times New Roman"/>
                <w:color w:val="000000"/>
                <w:sz w:val="21"/>
                <w:szCs w:val="21"/>
              </w:rPr>
              <w:t>1</w:t>
            </w:r>
          </w:p>
        </w:tc>
        <w:tc>
          <w:tcPr>
            <w:tcW w:w="583" w:type="pct"/>
            <w:vAlign w:val="center"/>
          </w:tcPr>
          <w:p w14:paraId="339BE2DF">
            <w:pPr>
              <w:adjustRightInd w:val="0"/>
              <w:snapToGrid w:val="0"/>
              <w:spacing w:line="300" w:lineRule="exact"/>
              <w:jc w:val="center"/>
              <w:rPr>
                <w:rFonts w:ascii="Times New Roman"/>
                <w:color w:val="000000"/>
                <w:sz w:val="21"/>
                <w:szCs w:val="21"/>
              </w:rPr>
            </w:pPr>
            <w:r>
              <w:rPr>
                <w:rFonts w:ascii="Times New Roman"/>
                <w:color w:val="000000"/>
                <w:sz w:val="21"/>
                <w:szCs w:val="21"/>
              </w:rPr>
              <w:t>危废仓库</w:t>
            </w:r>
          </w:p>
        </w:tc>
        <w:tc>
          <w:tcPr>
            <w:tcW w:w="567" w:type="pct"/>
            <w:vAlign w:val="center"/>
          </w:tcPr>
          <w:p w14:paraId="1DF62FCB">
            <w:pPr>
              <w:adjustRightInd w:val="0"/>
              <w:snapToGrid w:val="0"/>
              <w:spacing w:line="300" w:lineRule="exact"/>
              <w:jc w:val="center"/>
              <w:rPr>
                <w:rFonts w:ascii="Times New Roman" w:eastAsia="宋体"/>
                <w:color w:val="000000"/>
                <w:sz w:val="21"/>
                <w:szCs w:val="21"/>
              </w:rPr>
            </w:pPr>
            <w:r>
              <w:rPr>
                <w:rFonts w:hint="eastAsia" w:ascii="Times New Roman" w:hAnsi="宋体" w:eastAsia="宋体"/>
                <w:bCs/>
                <w:color w:val="000000"/>
                <w:sz w:val="21"/>
                <w:szCs w:val="21"/>
              </w:rPr>
              <w:t>医疗废物</w:t>
            </w:r>
          </w:p>
        </w:tc>
        <w:tc>
          <w:tcPr>
            <w:tcW w:w="552" w:type="pct"/>
            <w:vAlign w:val="center"/>
          </w:tcPr>
          <w:p w14:paraId="19A70CC0">
            <w:pPr>
              <w:pStyle w:val="25"/>
              <w:adjustRightInd w:val="0"/>
              <w:spacing w:line="300" w:lineRule="exact"/>
              <w:jc w:val="center"/>
              <w:rPr>
                <w:rFonts w:ascii="Times New Roman" w:hAnsi="Times New Roman" w:eastAsia="宋体"/>
                <w:color w:val="000000"/>
                <w:kern w:val="0"/>
                <w:sz w:val="21"/>
                <w:szCs w:val="21"/>
              </w:rPr>
            </w:pPr>
            <w:r>
              <w:rPr>
                <w:rFonts w:ascii="Times New Roman" w:hAnsi="Times New Roman" w:eastAsia="宋体"/>
                <w:color w:val="000000"/>
                <w:kern w:val="0"/>
                <w:sz w:val="21"/>
                <w:szCs w:val="21"/>
              </w:rPr>
              <w:t>HW0</w:t>
            </w:r>
            <w:r>
              <w:rPr>
                <w:rFonts w:hint="eastAsia" w:ascii="Times New Roman" w:hAnsi="Times New Roman" w:eastAsia="宋体"/>
                <w:color w:val="000000"/>
                <w:kern w:val="0"/>
                <w:sz w:val="21"/>
                <w:szCs w:val="21"/>
              </w:rPr>
              <w:t>1</w:t>
            </w:r>
          </w:p>
        </w:tc>
        <w:tc>
          <w:tcPr>
            <w:tcW w:w="687" w:type="pct"/>
            <w:vAlign w:val="center"/>
          </w:tcPr>
          <w:p w14:paraId="3F4BA4CF">
            <w:pPr>
              <w:pStyle w:val="25"/>
              <w:adjustRightInd w:val="0"/>
              <w:spacing w:line="300" w:lineRule="exact"/>
              <w:jc w:val="center"/>
              <w:rPr>
                <w:rFonts w:ascii="Times New Roman" w:hAnsi="Times New Roman" w:eastAsia="宋体"/>
                <w:color w:val="000000"/>
                <w:kern w:val="0"/>
                <w:sz w:val="21"/>
                <w:szCs w:val="21"/>
              </w:rPr>
            </w:pPr>
            <w:r>
              <w:rPr>
                <w:rFonts w:hint="eastAsia" w:ascii="Times New Roman" w:hAnsi="Times New Roman" w:eastAsia="宋体"/>
                <w:color w:val="000000"/>
                <w:sz w:val="21"/>
                <w:szCs w:val="21"/>
              </w:rPr>
              <w:t>841-001-01</w:t>
            </w:r>
          </w:p>
        </w:tc>
        <w:tc>
          <w:tcPr>
            <w:tcW w:w="606" w:type="pct"/>
            <w:vAlign w:val="center"/>
          </w:tcPr>
          <w:p w14:paraId="23FCA14B">
            <w:pPr>
              <w:adjustRightInd w:val="0"/>
              <w:snapToGrid w:val="0"/>
              <w:spacing w:line="300" w:lineRule="exact"/>
              <w:jc w:val="center"/>
              <w:rPr>
                <w:rFonts w:ascii="Times New Roman"/>
                <w:color w:val="000000"/>
                <w:sz w:val="21"/>
                <w:szCs w:val="21"/>
              </w:rPr>
            </w:pPr>
            <w:r>
              <w:rPr>
                <w:rFonts w:hint="eastAsia" w:ascii="Times New Roman"/>
                <w:color w:val="000000"/>
                <w:sz w:val="21"/>
                <w:szCs w:val="21"/>
              </w:rPr>
              <w:t>厂区</w:t>
            </w:r>
            <w:r>
              <w:rPr>
                <w:rFonts w:ascii="Times New Roman"/>
                <w:color w:val="000000"/>
                <w:sz w:val="21"/>
                <w:szCs w:val="21"/>
              </w:rPr>
              <w:t>北侧</w:t>
            </w:r>
          </w:p>
        </w:tc>
        <w:tc>
          <w:tcPr>
            <w:tcW w:w="417" w:type="pct"/>
            <w:vAlign w:val="center"/>
          </w:tcPr>
          <w:p w14:paraId="137C61CA">
            <w:pPr>
              <w:adjustRightInd w:val="0"/>
              <w:snapToGrid w:val="0"/>
              <w:spacing w:line="300" w:lineRule="exact"/>
              <w:jc w:val="center"/>
              <w:rPr>
                <w:rFonts w:hint="eastAsia" w:ascii="Times New Roman" w:eastAsiaTheme="minorEastAsia"/>
                <w:color w:val="000000"/>
                <w:sz w:val="21"/>
                <w:szCs w:val="21"/>
                <w:lang w:eastAsia="zh-CN"/>
              </w:rPr>
            </w:pPr>
            <w:r>
              <w:rPr>
                <w:rFonts w:hint="eastAsia" w:ascii="Times New Roman"/>
                <w:color w:val="000000"/>
                <w:sz w:val="21"/>
                <w:szCs w:val="21"/>
                <w:lang w:eastAsia="zh-CN"/>
              </w:rPr>
              <w:t>5m</w:t>
            </w:r>
            <w:r>
              <w:rPr>
                <w:rFonts w:hint="eastAsia" w:ascii="Times New Roman"/>
                <w:color w:val="000000"/>
                <w:sz w:val="21"/>
                <w:szCs w:val="21"/>
                <w:vertAlign w:val="superscript"/>
                <w:lang w:eastAsia="zh-CN"/>
              </w:rPr>
              <w:t>2</w:t>
            </w:r>
          </w:p>
        </w:tc>
        <w:tc>
          <w:tcPr>
            <w:tcW w:w="530" w:type="pct"/>
            <w:vAlign w:val="center"/>
          </w:tcPr>
          <w:p w14:paraId="1D4C5C3A">
            <w:pPr>
              <w:adjustRightInd w:val="0"/>
              <w:snapToGrid w:val="0"/>
              <w:spacing w:line="300" w:lineRule="exact"/>
              <w:jc w:val="center"/>
              <w:rPr>
                <w:rFonts w:ascii="Times New Roman"/>
                <w:color w:val="000000"/>
                <w:sz w:val="21"/>
                <w:szCs w:val="21"/>
              </w:rPr>
            </w:pPr>
            <w:r>
              <w:rPr>
                <w:rFonts w:ascii="Times New Roman"/>
                <w:color w:val="000000"/>
                <w:sz w:val="21"/>
                <w:szCs w:val="21"/>
              </w:rPr>
              <w:t>桶装</w:t>
            </w:r>
            <w:r>
              <w:rPr>
                <w:rFonts w:hint="eastAsia" w:ascii="Times New Roman"/>
                <w:color w:val="000000"/>
                <w:sz w:val="21"/>
                <w:szCs w:val="21"/>
              </w:rPr>
              <w:t>/袋装</w:t>
            </w:r>
          </w:p>
        </w:tc>
        <w:tc>
          <w:tcPr>
            <w:tcW w:w="383" w:type="pct"/>
            <w:vAlign w:val="center"/>
          </w:tcPr>
          <w:p w14:paraId="2F90BB7E">
            <w:pPr>
              <w:adjustRightInd w:val="0"/>
              <w:snapToGrid w:val="0"/>
              <w:spacing w:line="300" w:lineRule="exact"/>
              <w:jc w:val="center"/>
              <w:rPr>
                <w:rFonts w:ascii="Times New Roman"/>
                <w:color w:val="000000"/>
                <w:sz w:val="21"/>
                <w:szCs w:val="21"/>
              </w:rPr>
            </w:pPr>
            <w:r>
              <w:rPr>
                <w:rFonts w:hint="eastAsia" w:ascii="Times New Roman"/>
                <w:color w:val="000000"/>
                <w:sz w:val="21"/>
                <w:szCs w:val="21"/>
                <w:lang w:val="en-US" w:eastAsia="zh-CN"/>
              </w:rPr>
              <w:t>5</w:t>
            </w:r>
            <w:r>
              <w:rPr>
                <w:rFonts w:ascii="Times New Roman"/>
                <w:color w:val="000000"/>
                <w:sz w:val="21"/>
                <w:szCs w:val="21"/>
              </w:rPr>
              <w:t>t</w:t>
            </w:r>
          </w:p>
        </w:tc>
        <w:tc>
          <w:tcPr>
            <w:tcW w:w="384" w:type="pct"/>
            <w:vAlign w:val="center"/>
          </w:tcPr>
          <w:p w14:paraId="3659CD7E">
            <w:pPr>
              <w:adjustRightInd w:val="0"/>
              <w:snapToGrid w:val="0"/>
              <w:spacing w:line="300" w:lineRule="exact"/>
              <w:jc w:val="center"/>
              <w:rPr>
                <w:rFonts w:ascii="Times New Roman" w:eastAsia="宋体"/>
                <w:color w:val="000000"/>
                <w:sz w:val="21"/>
                <w:szCs w:val="21"/>
              </w:rPr>
            </w:pPr>
            <w:r>
              <w:rPr>
                <w:rFonts w:hint="eastAsia" w:ascii="Times New Roman"/>
                <w:color w:val="000000"/>
                <w:sz w:val="21"/>
                <w:szCs w:val="21"/>
              </w:rPr>
              <w:t>1年</w:t>
            </w:r>
          </w:p>
        </w:tc>
      </w:tr>
    </w:tbl>
    <w:p w14:paraId="6D6A0F45">
      <w:pPr>
        <w:pStyle w:val="49"/>
        <w:snapToGrid/>
        <w:spacing w:line="480" w:lineRule="exact"/>
        <w:ind w:firstLine="480"/>
      </w:pPr>
      <w:r>
        <w:rPr>
          <w:rFonts w:hint="eastAsia"/>
        </w:rPr>
        <w:t>本项目产生的危废合计0.</w:t>
      </w:r>
      <w:r>
        <w:rPr>
          <w:rFonts w:hint="eastAsia"/>
          <w:lang w:val="en-US" w:eastAsia="zh-CN"/>
        </w:rPr>
        <w:t>1</w:t>
      </w:r>
      <w:r>
        <w:rPr>
          <w:rFonts w:hint="eastAsia"/>
        </w:rPr>
        <w:t>吨/年，项目厂区计划建设一座</w:t>
      </w:r>
      <w:r>
        <w:rPr>
          <w:rFonts w:hint="eastAsia"/>
          <w:lang w:eastAsia="zh-CN"/>
        </w:rPr>
        <w:t>5m</w:t>
      </w:r>
      <w:r>
        <w:rPr>
          <w:rFonts w:hint="eastAsia"/>
          <w:vertAlign w:val="superscript"/>
          <w:lang w:eastAsia="zh-CN"/>
        </w:rPr>
        <w:t>2</w:t>
      </w:r>
      <w:r>
        <w:rPr>
          <w:rFonts w:hint="eastAsia"/>
        </w:rPr>
        <w:t>的危废库，危险废物暂存转运周期最大一年，定期委托有资质单位安全处置。根据5.5.3.1章节分析可知，项目新建</w:t>
      </w:r>
      <w:r>
        <w:rPr>
          <w:rFonts w:hint="eastAsia"/>
          <w:lang w:eastAsia="zh-CN"/>
        </w:rPr>
        <w:t>5m</w:t>
      </w:r>
      <w:r>
        <w:rPr>
          <w:rFonts w:hint="eastAsia"/>
          <w:vertAlign w:val="superscript"/>
          <w:lang w:eastAsia="zh-CN"/>
        </w:rPr>
        <w:t>2</w:t>
      </w:r>
      <w:r>
        <w:rPr>
          <w:rFonts w:hint="eastAsia"/>
        </w:rPr>
        <w:t>的危废仓库满足本项目危废暂存的需要。</w:t>
      </w:r>
    </w:p>
    <w:p w14:paraId="0D4EB9A1">
      <w:pPr>
        <w:pStyle w:val="49"/>
        <w:snapToGrid/>
        <w:spacing w:line="480" w:lineRule="exact"/>
        <w:ind w:firstLine="480"/>
      </w:pPr>
      <w:r>
        <w:rPr>
          <w:rFonts w:hint="eastAsia"/>
        </w:rPr>
        <w:t>本项目拟在厂区新建一座50m</w:t>
      </w:r>
      <w:r>
        <w:rPr>
          <w:rFonts w:hint="eastAsia"/>
          <w:vertAlign w:val="superscript"/>
        </w:rPr>
        <w:t>2</w:t>
      </w:r>
      <w:r>
        <w:rPr>
          <w:rFonts w:hint="eastAsia"/>
        </w:rPr>
        <w:t>的一般固废仓库和一座600m</w:t>
      </w:r>
      <w:r>
        <w:rPr>
          <w:rFonts w:hint="eastAsia"/>
          <w:vertAlign w:val="superscript"/>
        </w:rPr>
        <w:t>2</w:t>
      </w:r>
      <w:r>
        <w:rPr>
          <w:rFonts w:hint="eastAsia"/>
        </w:rPr>
        <w:t>的鸡粪暂存库，可满足本项目一般固废暂存的需要。本项目鸡粪日产日清，不在厂内长时间停留，特殊情况下（如遇暴风、大雨等恶劣天气）无法及时运出厂区时需暂存于厂内的鸡粪临时堆场。根据《禽畜养殖业污染治理工程技术规范》要求，项目鸡粪临时堆场为密闭房间，防风防雨，地面进行防渗建设。项目</w:t>
      </w:r>
      <w:r>
        <w:rPr>
          <w:rFonts w:eastAsia="宋体" w:cs="Times New Roman"/>
          <w:szCs w:val="24"/>
        </w:rPr>
        <w:t>病死鸡送至无害化处置单位进行处理，如遇特殊情况无法出场，则</w:t>
      </w:r>
      <w:r>
        <w:rPr>
          <w:rFonts w:hint="eastAsia" w:eastAsia="宋体" w:cs="Times New Roman"/>
          <w:szCs w:val="24"/>
        </w:rPr>
        <w:t>置</w:t>
      </w:r>
      <w:r>
        <w:rPr>
          <w:rFonts w:eastAsia="宋体" w:cs="Times New Roman"/>
          <w:szCs w:val="24"/>
        </w:rPr>
        <w:t>于</w:t>
      </w:r>
      <w:r>
        <w:rPr>
          <w:rFonts w:hint="eastAsia" w:eastAsia="宋体" w:cs="Times New Roman"/>
          <w:szCs w:val="24"/>
        </w:rPr>
        <w:t>固废间</w:t>
      </w:r>
      <w:r>
        <w:rPr>
          <w:rFonts w:eastAsia="宋体" w:cs="Times New Roman"/>
          <w:szCs w:val="24"/>
        </w:rPr>
        <w:t>的</w:t>
      </w:r>
      <w:r>
        <w:rPr>
          <w:rFonts w:hint="eastAsia" w:eastAsia="宋体" w:cs="Times New Roman"/>
          <w:szCs w:val="24"/>
        </w:rPr>
        <w:t>冰柜</w:t>
      </w:r>
      <w:r>
        <w:rPr>
          <w:rFonts w:eastAsia="宋体" w:cs="Times New Roman"/>
          <w:szCs w:val="24"/>
        </w:rPr>
        <w:t>中</w:t>
      </w:r>
      <w:r>
        <w:rPr>
          <w:rFonts w:hint="eastAsia" w:eastAsia="宋体" w:cs="Times New Roman"/>
          <w:szCs w:val="24"/>
        </w:rPr>
        <w:t>暂存</w:t>
      </w:r>
      <w:r>
        <w:rPr>
          <w:rFonts w:eastAsia="宋体" w:cs="Times New Roman"/>
          <w:szCs w:val="24"/>
        </w:rPr>
        <w:t>，而后再运送至</w:t>
      </w:r>
      <w:r>
        <w:rPr>
          <w:rFonts w:hint="eastAsia" w:eastAsia="宋体" w:cs="Times New Roman"/>
          <w:szCs w:val="24"/>
        </w:rPr>
        <w:t>泗阳北斗星动物无害化处理有限公司</w:t>
      </w:r>
      <w:r>
        <w:rPr>
          <w:rFonts w:eastAsia="宋体" w:cs="Times New Roman"/>
          <w:szCs w:val="24"/>
        </w:rPr>
        <w:t>进行无害化处置</w:t>
      </w:r>
      <w:r>
        <w:rPr>
          <w:rFonts w:hint="eastAsia" w:eastAsia="宋体" w:cs="Times New Roman"/>
          <w:szCs w:val="24"/>
        </w:rPr>
        <w:t>。</w:t>
      </w:r>
      <w:r>
        <w:rPr>
          <w:rFonts w:hint="eastAsia"/>
        </w:rPr>
        <w:t>项目其余一般固废临时存放时间为3-5周，其后由综合利用厂家定期运走。</w:t>
      </w:r>
    </w:p>
    <w:p w14:paraId="3BE15D2D">
      <w:pPr>
        <w:pStyle w:val="8"/>
        <w:spacing w:line="5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4.3固废处置可行性分析</w:t>
      </w:r>
    </w:p>
    <w:p w14:paraId="0B766E02">
      <w:pPr>
        <w:spacing w:line="480" w:lineRule="exact"/>
        <w:ind w:firstLine="480"/>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（1）危险废物</w:t>
      </w:r>
    </w:p>
    <w:p w14:paraId="29371652">
      <w:pPr>
        <w:spacing w:line="480" w:lineRule="exact"/>
        <w:ind w:firstLine="480"/>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本项目</w:t>
      </w:r>
      <w:r>
        <w:rPr>
          <w:rFonts w:hint="eastAsia" w:eastAsia="宋体" w:cs="Times New Roman"/>
          <w:color w:val="000000" w:themeColor="text1"/>
          <w:szCs w:val="24"/>
          <w14:textFill>
            <w14:solidFill>
              <w14:schemeClr w14:val="tx1"/>
            </w14:solidFill>
          </w14:textFill>
        </w:rPr>
        <w:t>医疗废物</w:t>
      </w:r>
      <w:r>
        <w:rPr>
          <w:rFonts w:eastAsia="宋体" w:cs="Times New Roman"/>
          <w:color w:val="000000" w:themeColor="text1"/>
          <w:szCs w:val="24"/>
          <w14:textFill>
            <w14:solidFill>
              <w14:schemeClr w14:val="tx1"/>
            </w14:solidFill>
          </w14:textFill>
        </w:rPr>
        <w:t>拟送</w:t>
      </w:r>
      <w:r>
        <w:rPr>
          <w:szCs w:val="24"/>
        </w:rPr>
        <w:t>宿迁中油优艺环保服务有限公司</w:t>
      </w:r>
      <w:r>
        <w:rPr>
          <w:rFonts w:eastAsia="宋体" w:cs="Times New Roman"/>
          <w:color w:val="000000" w:themeColor="text1"/>
          <w:szCs w:val="24"/>
          <w14:textFill>
            <w14:solidFill>
              <w14:schemeClr w14:val="tx1"/>
            </w14:solidFill>
          </w14:textFill>
        </w:rPr>
        <w:t>安全处置。</w:t>
      </w:r>
    </w:p>
    <w:p w14:paraId="2ED1798B">
      <w:pPr>
        <w:pStyle w:val="82"/>
        <w:spacing w:line="480" w:lineRule="exact"/>
        <w:jc w:val="left"/>
        <w:rPr>
          <w:color w:val="000000"/>
        </w:rPr>
      </w:pPr>
      <w:r>
        <w:rPr>
          <w:color w:val="auto"/>
        </w:rPr>
        <w:t>宿迁中油优艺环保服务有限公司位于宿迁生态化工科技产业园大庆路1号，核准</w:t>
      </w:r>
      <w:r>
        <w:rPr>
          <w:rFonts w:hint="eastAsia"/>
          <w:color w:val="auto"/>
        </w:rPr>
        <w:t>医疗废物（HW01）</w:t>
      </w:r>
      <w:r>
        <w:rPr>
          <w:rFonts w:hint="eastAsia"/>
          <w:color w:val="000000"/>
        </w:rPr>
        <w:t>处置规模为3300</w:t>
      </w:r>
      <w:r>
        <w:rPr>
          <w:color w:val="000000"/>
        </w:rPr>
        <w:t>t/a</w:t>
      </w:r>
      <w:r>
        <w:rPr>
          <w:rFonts w:hint="eastAsia"/>
          <w:color w:val="000000"/>
        </w:rPr>
        <w:t>，</w:t>
      </w:r>
      <w:r>
        <w:rPr>
          <w:rFonts w:cs="Times New Roman"/>
          <w:color w:val="000000" w:themeColor="text1"/>
          <w14:textFill>
            <w14:solidFill>
              <w14:schemeClr w14:val="tx1"/>
            </w14:solidFill>
          </w14:textFill>
        </w:rPr>
        <w:t>其危险废物经营许可证号为</w:t>
      </w:r>
      <w:r>
        <w:rPr>
          <w:rFonts w:hint="eastAsia" w:cs="Times New Roman"/>
          <w:color w:val="000000" w:themeColor="text1"/>
          <w14:textFill>
            <w14:solidFill>
              <w14:schemeClr w14:val="tx1"/>
            </w14:solidFill>
          </w14:textFill>
        </w:rPr>
        <w:t>JSSQ1311OOD001-5</w:t>
      </w:r>
      <w:r>
        <w:rPr>
          <w:color w:val="000000"/>
        </w:rPr>
        <w:t>。</w:t>
      </w:r>
    </w:p>
    <w:p w14:paraId="23BDEDB5">
      <w:pPr>
        <w:ind w:firstLine="480"/>
        <w:rPr>
          <w:rFonts w:eastAsia="宋体" w:cs="Times New Roman"/>
          <w:color w:val="FF0000"/>
          <w:szCs w:val="24"/>
        </w:rPr>
      </w:pPr>
      <w:r>
        <w:rPr>
          <w:rFonts w:hint="eastAsia" w:eastAsia="宋体" w:cs="Times New Roman"/>
          <w:color w:val="000000" w:themeColor="text1"/>
          <w:szCs w:val="24"/>
          <w14:textFill>
            <w14:solidFill>
              <w14:schemeClr w14:val="tx1"/>
            </w14:solidFill>
          </w14:textFill>
        </w:rPr>
        <w:t>本项目需处置的医疗废物0.1t/a，产生量较少，</w:t>
      </w:r>
      <w:r>
        <w:rPr>
          <w:color w:val="000000" w:themeColor="text1"/>
          <w:szCs w:val="24"/>
          <w14:textFill>
            <w14:solidFill>
              <w14:schemeClr w14:val="tx1"/>
            </w14:solidFill>
          </w14:textFill>
        </w:rPr>
        <w:t>宿迁中油优艺环保服务有限公司</w:t>
      </w:r>
      <w:r>
        <w:rPr>
          <w:rFonts w:hint="eastAsia"/>
          <w:color w:val="000000" w:themeColor="text1"/>
          <w:szCs w:val="24"/>
          <w14:textFill>
            <w14:solidFill>
              <w14:schemeClr w14:val="tx1"/>
            </w14:solidFill>
          </w14:textFill>
        </w:rPr>
        <w:t>有处置本项目产生</w:t>
      </w:r>
      <w:r>
        <w:rPr>
          <w:rFonts w:hint="eastAsia" w:eastAsia="宋体" w:cs="Times New Roman"/>
          <w:color w:val="000000" w:themeColor="text1"/>
          <w:szCs w:val="24"/>
          <w14:textFill>
            <w14:solidFill>
              <w14:schemeClr w14:val="tx1"/>
            </w14:solidFill>
          </w14:textFill>
        </w:rPr>
        <w:t>的医疗废物的资质及能力。建设单位承诺本项目试生产运行前落实相关委托处置协议，因此本项目医疗废物的处置方式是合理可行的。</w:t>
      </w:r>
    </w:p>
    <w:p w14:paraId="2377A6FE">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hAnsi="宋体" w:eastAsiaTheme="minorEastAsia"/>
          <w:color w:val="000000" w:themeColor="text1"/>
          <w:lang w:eastAsia="zh-CN"/>
          <w14:textFill>
            <w14:solidFill>
              <w14:schemeClr w14:val="tx1"/>
            </w14:solidFill>
          </w14:textFill>
        </w:rPr>
      </w:pPr>
      <w:r>
        <w:rPr>
          <w:rFonts w:hint="eastAsia" w:hAnsi="宋体"/>
          <w:color w:val="000000" w:themeColor="text1"/>
          <w14:textFill>
            <w14:solidFill>
              <w14:schemeClr w14:val="tx1"/>
            </w14:solidFill>
          </w14:textFill>
        </w:rPr>
        <w:t>（</w:t>
      </w:r>
      <w:r>
        <w:rPr>
          <w:rFonts w:hint="eastAsia" w:hAnsi="宋体"/>
          <w:color w:val="000000" w:themeColor="text1"/>
          <w:lang w:val="en-US" w:eastAsia="zh-CN"/>
          <w14:textFill>
            <w14:solidFill>
              <w14:schemeClr w14:val="tx1"/>
            </w14:solidFill>
          </w14:textFill>
        </w:rPr>
        <w:t>2</w:t>
      </w:r>
      <w:r>
        <w:rPr>
          <w:rFonts w:hint="eastAsia" w:hAnsi="宋体"/>
          <w:color w:val="000000" w:themeColor="text1"/>
          <w14:textFill>
            <w14:solidFill>
              <w14:schemeClr w14:val="tx1"/>
            </w14:solidFill>
          </w14:textFill>
        </w:rPr>
        <w:t>）</w:t>
      </w:r>
      <w:r>
        <w:rPr>
          <w:rFonts w:hint="eastAsia" w:hAnsi="宋体"/>
          <w:color w:val="000000" w:themeColor="text1"/>
          <w:lang w:val="en-US" w:eastAsia="zh-CN"/>
          <w14:textFill>
            <w14:solidFill>
              <w14:schemeClr w14:val="tx1"/>
            </w14:solidFill>
          </w14:textFill>
        </w:rPr>
        <w:t>鸡粪</w:t>
      </w:r>
    </w:p>
    <w:p w14:paraId="1A527E08">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eastAsia"/>
          <w:color w:val="FF0000"/>
          <w:szCs w:val="24"/>
        </w:rPr>
      </w:pPr>
      <w:r>
        <w:rPr>
          <w:rFonts w:hint="eastAsia"/>
          <w:color w:val="000000" w:themeColor="text1"/>
          <w:szCs w:val="24"/>
          <w:lang w:eastAsia="zh-CN"/>
          <w14:textFill>
            <w14:solidFill>
              <w14:schemeClr w14:val="tx1"/>
            </w14:solidFill>
          </w14:textFill>
        </w:rPr>
        <w:t>泗阳巨宇畜禽粪污处理有限公司</w:t>
      </w:r>
      <w:r>
        <w:rPr>
          <w:rFonts w:hint="eastAsia"/>
          <w:color w:val="000000" w:themeColor="text1"/>
          <w:szCs w:val="24"/>
          <w14:textFill>
            <w14:solidFill>
              <w14:schemeClr w14:val="tx1"/>
            </w14:solidFill>
          </w14:textFill>
        </w:rPr>
        <w:t>位于</w:t>
      </w:r>
      <w:r>
        <w:rPr>
          <w:rFonts w:hint="eastAsia"/>
          <w:color w:val="000000" w:themeColor="text1"/>
          <w:szCs w:val="24"/>
          <w:lang w:eastAsia="zh-CN"/>
          <w14:textFill>
            <w14:solidFill>
              <w14:schemeClr w14:val="tx1"/>
            </w14:solidFill>
          </w14:textFill>
        </w:rPr>
        <w:t>宿迁市泗阳县穿城镇集体村五组68号</w:t>
      </w:r>
      <w:r>
        <w:rPr>
          <w:rFonts w:hint="eastAsia"/>
          <w:color w:val="000000" w:themeColor="text1"/>
          <w:szCs w:val="24"/>
          <w14:textFill>
            <w14:solidFill>
              <w14:schemeClr w14:val="tx1"/>
            </w14:solidFill>
          </w14:textFill>
        </w:rPr>
        <w:t>，</w:t>
      </w:r>
      <w:r>
        <w:rPr>
          <w:rFonts w:hint="eastAsia"/>
          <w:color w:val="000000" w:themeColor="text1"/>
          <w:szCs w:val="24"/>
          <w:lang w:val="en-US" w:eastAsia="zh-CN"/>
          <w14:textFill>
            <w14:solidFill>
              <w14:schemeClr w14:val="tx1"/>
            </w14:solidFill>
          </w14:textFill>
        </w:rPr>
        <w:t>公司成立于2020年12月23日，</w:t>
      </w:r>
      <w:r>
        <w:rPr>
          <w:rFonts w:hint="eastAsia"/>
          <w:color w:val="000000" w:themeColor="text1"/>
          <w:szCs w:val="24"/>
          <w14:textFill>
            <w14:solidFill>
              <w14:schemeClr w14:val="tx1"/>
            </w14:solidFill>
          </w14:textFill>
        </w:rPr>
        <w:t>占地</w:t>
      </w:r>
      <w:r>
        <w:rPr>
          <w:rFonts w:hint="eastAsia"/>
          <w:color w:val="000000" w:themeColor="text1"/>
          <w:szCs w:val="24"/>
          <w:lang w:val="en-US" w:eastAsia="zh-CN"/>
          <w14:textFill>
            <w14:solidFill>
              <w14:schemeClr w14:val="tx1"/>
            </w14:solidFill>
          </w14:textFill>
        </w:rPr>
        <w:t>面积18028</w:t>
      </w:r>
      <w:r>
        <w:rPr>
          <w:rFonts w:hint="eastAsia"/>
          <w:color w:val="000000" w:themeColor="text1"/>
          <w:szCs w:val="24"/>
          <w14:textFill>
            <w14:solidFill>
              <w14:schemeClr w14:val="tx1"/>
            </w14:solidFill>
          </w14:textFill>
        </w:rPr>
        <w:t>平方米，</w:t>
      </w:r>
      <w:r>
        <w:rPr>
          <w:rFonts w:hint="eastAsia"/>
          <w:color w:val="000000" w:themeColor="text1"/>
          <w:szCs w:val="24"/>
          <w:lang w:val="en-US" w:eastAsia="zh-CN"/>
          <w14:textFill>
            <w14:solidFill>
              <w14:schemeClr w14:val="tx1"/>
            </w14:solidFill>
          </w14:textFill>
        </w:rPr>
        <w:t>于</w:t>
      </w:r>
      <w:r>
        <w:rPr>
          <w:rFonts w:hint="eastAsia"/>
          <w:color w:val="000000" w:themeColor="text1"/>
          <w:szCs w:val="24"/>
          <w14:textFill>
            <w14:solidFill>
              <w14:schemeClr w14:val="tx1"/>
            </w14:solidFill>
          </w14:textFill>
        </w:rPr>
        <w:t>20</w:t>
      </w:r>
      <w:r>
        <w:rPr>
          <w:rFonts w:hint="eastAsia"/>
          <w:color w:val="000000" w:themeColor="text1"/>
          <w:szCs w:val="24"/>
          <w:lang w:val="en-US" w:eastAsia="zh-CN"/>
          <w14:textFill>
            <w14:solidFill>
              <w14:schemeClr w14:val="tx1"/>
            </w14:solidFill>
          </w14:textFill>
        </w:rPr>
        <w:t>21</w:t>
      </w:r>
      <w:r>
        <w:rPr>
          <w:rFonts w:hint="eastAsia"/>
          <w:color w:val="000000" w:themeColor="text1"/>
          <w:szCs w:val="24"/>
          <w14:textFill>
            <w14:solidFill>
              <w14:schemeClr w14:val="tx1"/>
            </w14:solidFill>
          </w14:textFill>
        </w:rPr>
        <w:t>年投资</w:t>
      </w:r>
      <w:r>
        <w:rPr>
          <w:rFonts w:hint="eastAsia"/>
          <w:color w:val="000000" w:themeColor="text1"/>
          <w:szCs w:val="24"/>
          <w:lang w:val="en-US" w:eastAsia="zh-CN"/>
          <w14:textFill>
            <w14:solidFill>
              <w14:schemeClr w14:val="tx1"/>
            </w14:solidFill>
          </w14:textFill>
        </w:rPr>
        <w:t>1130.7</w:t>
      </w:r>
      <w:r>
        <w:rPr>
          <w:rFonts w:hint="eastAsia"/>
          <w:color w:val="000000" w:themeColor="text1"/>
          <w:szCs w:val="24"/>
          <w14:textFill>
            <w14:solidFill>
              <w14:schemeClr w14:val="tx1"/>
            </w14:solidFill>
          </w14:textFill>
        </w:rPr>
        <w:t>万元建设</w:t>
      </w:r>
      <w:r>
        <w:rPr>
          <w:rFonts w:hint="eastAsia"/>
          <w:color w:val="000000" w:themeColor="text1"/>
          <w:szCs w:val="24"/>
          <w:lang w:eastAsia="zh-CN"/>
          <w14:textFill>
            <w14:solidFill>
              <w14:schemeClr w14:val="tx1"/>
            </w14:solidFill>
          </w14:textFill>
        </w:rPr>
        <w:t>了</w:t>
      </w:r>
      <w:r>
        <w:rPr>
          <w:rFonts w:hint="eastAsia"/>
          <w:color w:val="000000" w:themeColor="text1"/>
          <w:szCs w:val="24"/>
          <w14:textFill>
            <w14:solidFill>
              <w14:schemeClr w14:val="tx1"/>
            </w14:solidFill>
          </w14:textFill>
        </w:rPr>
        <w:t>年</w:t>
      </w:r>
      <w:r>
        <w:rPr>
          <w:rFonts w:hint="eastAsia"/>
          <w:color w:val="000000" w:themeColor="text1"/>
          <w:szCs w:val="24"/>
          <w:lang w:val="en-US" w:eastAsia="zh-CN"/>
          <w14:textFill>
            <w14:solidFill>
              <w14:schemeClr w14:val="tx1"/>
            </w14:solidFill>
          </w14:textFill>
        </w:rPr>
        <w:t>处理5万吨畜禽粪便加工中心</w:t>
      </w:r>
      <w:r>
        <w:rPr>
          <w:rFonts w:hint="eastAsia"/>
          <w:color w:val="000000" w:themeColor="text1"/>
          <w:szCs w:val="24"/>
          <w14:textFill>
            <w14:solidFill>
              <w14:schemeClr w14:val="tx1"/>
            </w14:solidFill>
          </w14:textFill>
        </w:rPr>
        <w:t>项目</w:t>
      </w:r>
      <w:r>
        <w:rPr>
          <w:rFonts w:hint="eastAsia"/>
          <w:color w:val="000000" w:themeColor="text1"/>
          <w:szCs w:val="24"/>
          <w:lang w:eastAsia="zh-CN"/>
          <w14:textFill>
            <w14:solidFill>
              <w14:schemeClr w14:val="tx1"/>
            </w14:solidFill>
          </w14:textFill>
        </w:rPr>
        <w:t>，</w:t>
      </w:r>
      <w:r>
        <w:rPr>
          <w:rFonts w:hint="eastAsia"/>
          <w:color w:val="000000" w:themeColor="text1"/>
          <w:szCs w:val="24"/>
          <w:lang w:val="en-US" w:eastAsia="zh-CN"/>
          <w14:textFill>
            <w14:solidFill>
              <w14:schemeClr w14:val="tx1"/>
            </w14:solidFill>
          </w14:textFill>
        </w:rPr>
        <w:t>目前项目已建成投产</w:t>
      </w:r>
      <w:r>
        <w:rPr>
          <w:rFonts w:hint="eastAsia"/>
          <w:color w:val="000000" w:themeColor="text1"/>
          <w:szCs w:val="24"/>
          <w14:textFill>
            <w14:solidFill>
              <w14:schemeClr w14:val="tx1"/>
            </w14:solidFill>
          </w14:textFill>
        </w:rPr>
        <w:t>。</w:t>
      </w:r>
    </w:p>
    <w:p w14:paraId="43817C34">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eastAsia"/>
          <w:color w:val="FF0000"/>
          <w:szCs w:val="24"/>
        </w:rPr>
      </w:pPr>
      <w:r>
        <w:rPr>
          <w:rFonts w:hint="eastAsia"/>
          <w:color w:val="000000" w:themeColor="text1"/>
          <w:szCs w:val="24"/>
          <w:lang w:val="en-US" w:eastAsia="zh-CN"/>
          <w14:textFill>
            <w14:solidFill>
              <w14:schemeClr w14:val="tx1"/>
            </w14:solidFill>
          </w14:textFill>
        </w:rPr>
        <w:t>泗阳县恒邦农业发展</w:t>
      </w:r>
      <w:r>
        <w:rPr>
          <w:rFonts w:hint="eastAsia"/>
          <w:color w:val="000000" w:themeColor="text1"/>
          <w:szCs w:val="24"/>
          <w14:textFill>
            <w14:solidFill>
              <w14:schemeClr w14:val="tx1"/>
            </w14:solidFill>
          </w14:textFill>
        </w:rPr>
        <w:t>有限公司与</w:t>
      </w:r>
      <w:r>
        <w:rPr>
          <w:rFonts w:hint="eastAsia"/>
          <w:color w:val="000000" w:themeColor="text1"/>
          <w:szCs w:val="24"/>
          <w:lang w:eastAsia="zh-CN"/>
          <w14:textFill>
            <w14:solidFill>
              <w14:schemeClr w14:val="tx1"/>
            </w14:solidFill>
          </w14:textFill>
        </w:rPr>
        <w:t>泗阳巨宇畜禽粪污处理有限公司</w:t>
      </w:r>
      <w:r>
        <w:rPr>
          <w:rFonts w:hint="eastAsia"/>
          <w:color w:val="000000" w:themeColor="text1"/>
          <w:szCs w:val="24"/>
          <w14:textFill>
            <w14:solidFill>
              <w14:schemeClr w14:val="tx1"/>
            </w14:solidFill>
          </w14:textFill>
        </w:rPr>
        <w:t>签订</w:t>
      </w:r>
      <w:r>
        <w:rPr>
          <w:rFonts w:hint="eastAsia"/>
          <w:color w:val="000000" w:themeColor="text1"/>
          <w:szCs w:val="24"/>
          <w:lang w:eastAsia="zh-CN"/>
          <w14:textFill>
            <w14:solidFill>
              <w14:schemeClr w14:val="tx1"/>
            </w14:solidFill>
          </w14:textFill>
        </w:rPr>
        <w:t>了</w:t>
      </w:r>
      <w:r>
        <w:rPr>
          <w:rFonts w:hint="eastAsia"/>
          <w:color w:val="000000" w:themeColor="text1"/>
          <w:szCs w:val="24"/>
          <w:lang w:val="en-US" w:eastAsia="zh-CN"/>
          <w14:textFill>
            <w14:solidFill>
              <w14:schemeClr w14:val="tx1"/>
            </w14:solidFill>
          </w14:textFill>
        </w:rPr>
        <w:t>鸡粪处置</w:t>
      </w:r>
      <w:r>
        <w:rPr>
          <w:rFonts w:hint="eastAsia"/>
          <w:color w:val="000000" w:themeColor="text1"/>
          <w:szCs w:val="24"/>
          <w14:textFill>
            <w14:solidFill>
              <w14:schemeClr w14:val="tx1"/>
            </w14:solidFill>
          </w14:textFill>
        </w:rPr>
        <w:t>协议，</w:t>
      </w:r>
      <w:r>
        <w:rPr>
          <w:rFonts w:hint="eastAsia"/>
          <w:color w:val="000000" w:themeColor="text1"/>
          <w:szCs w:val="24"/>
          <w:lang w:val="en-US" w:eastAsia="zh-CN"/>
          <w14:textFill>
            <w14:solidFill>
              <w14:schemeClr w14:val="tx1"/>
            </w14:solidFill>
          </w14:textFill>
        </w:rPr>
        <w:t>泗阳县恒邦农业发展</w:t>
      </w:r>
      <w:r>
        <w:rPr>
          <w:rFonts w:hint="eastAsia"/>
          <w:color w:val="000000" w:themeColor="text1"/>
          <w:szCs w:val="24"/>
          <w14:textFill>
            <w14:solidFill>
              <w14:schemeClr w14:val="tx1"/>
            </w14:solidFill>
          </w14:textFill>
        </w:rPr>
        <w:t>有限公司养鸡场</w:t>
      </w:r>
      <w:r>
        <w:rPr>
          <w:rFonts w:hint="eastAsia"/>
          <w:color w:val="000000" w:themeColor="text1"/>
          <w:szCs w:val="24"/>
          <w:lang w:val="en-US" w:eastAsia="zh-CN"/>
          <w14:textFill>
            <w14:solidFill>
              <w14:schemeClr w14:val="tx1"/>
            </w14:solidFill>
          </w14:textFill>
        </w:rPr>
        <w:t>产生的</w:t>
      </w:r>
      <w:r>
        <w:rPr>
          <w:rFonts w:hint="eastAsia"/>
          <w:color w:val="000000" w:themeColor="text1"/>
          <w:szCs w:val="24"/>
          <w14:textFill>
            <w14:solidFill>
              <w14:schemeClr w14:val="tx1"/>
            </w14:solidFill>
          </w14:textFill>
        </w:rPr>
        <w:t>鸡粪</w:t>
      </w:r>
      <w:r>
        <w:rPr>
          <w:rFonts w:hint="eastAsia"/>
          <w:color w:val="000000" w:themeColor="text1"/>
          <w:szCs w:val="24"/>
          <w:lang w:val="en-US" w:eastAsia="zh-CN"/>
          <w14:textFill>
            <w14:solidFill>
              <w14:schemeClr w14:val="tx1"/>
            </w14:solidFill>
          </w14:textFill>
        </w:rPr>
        <w:t>由</w:t>
      </w:r>
      <w:r>
        <w:rPr>
          <w:rFonts w:hint="eastAsia"/>
          <w:color w:val="000000" w:themeColor="text1"/>
          <w:szCs w:val="24"/>
          <w:lang w:eastAsia="zh-CN"/>
          <w14:textFill>
            <w14:solidFill>
              <w14:schemeClr w14:val="tx1"/>
            </w14:solidFill>
          </w14:textFill>
        </w:rPr>
        <w:t>泗阳巨宇畜禽粪污处理有限公司</w:t>
      </w:r>
      <w:r>
        <w:rPr>
          <w:rFonts w:hint="eastAsia"/>
          <w:color w:val="000000" w:themeColor="text1"/>
          <w:szCs w:val="24"/>
          <w14:textFill>
            <w14:solidFill>
              <w14:schemeClr w14:val="tx1"/>
            </w14:solidFill>
          </w14:textFill>
        </w:rPr>
        <w:t>处置。</w:t>
      </w:r>
      <w:r>
        <w:rPr>
          <w:rFonts w:hint="eastAsia"/>
          <w:color w:val="000000" w:themeColor="text1"/>
          <w:szCs w:val="24"/>
          <w:lang w:eastAsia="zh-CN"/>
          <w14:textFill>
            <w14:solidFill>
              <w14:schemeClr w14:val="tx1"/>
            </w14:solidFill>
          </w14:textFill>
        </w:rPr>
        <w:t>泗阳巨宇畜禽粪污处理有限公司</w:t>
      </w:r>
      <w:r>
        <w:rPr>
          <w:rFonts w:hint="eastAsia"/>
          <w:color w:val="000000" w:themeColor="text1"/>
          <w:szCs w:val="24"/>
          <w14:textFill>
            <w14:solidFill>
              <w14:schemeClr w14:val="tx1"/>
            </w14:solidFill>
          </w14:textFill>
        </w:rPr>
        <w:t>每年处理</w:t>
      </w:r>
      <w:r>
        <w:rPr>
          <w:rFonts w:hint="eastAsia"/>
          <w:color w:val="000000" w:themeColor="text1"/>
          <w:szCs w:val="24"/>
          <w:lang w:val="en-US" w:eastAsia="zh-CN"/>
          <w14:textFill>
            <w14:solidFill>
              <w14:schemeClr w14:val="tx1"/>
            </w14:solidFill>
          </w14:textFill>
        </w:rPr>
        <w:t>畜禽粪污5</w:t>
      </w:r>
      <w:r>
        <w:rPr>
          <w:rFonts w:hint="eastAsia"/>
          <w:color w:val="000000" w:themeColor="text1"/>
          <w:szCs w:val="24"/>
          <w14:textFill>
            <w14:solidFill>
              <w14:schemeClr w14:val="tx1"/>
            </w14:solidFill>
          </w14:textFill>
        </w:rPr>
        <w:t>万吨，本项目鸡粪产量为</w:t>
      </w:r>
      <w:r>
        <w:rPr>
          <w:rFonts w:hint="eastAsia"/>
          <w:color w:val="000000" w:themeColor="text1"/>
          <w:szCs w:val="24"/>
          <w:lang w:val="en-US" w:eastAsia="zh-CN"/>
          <w14:textFill>
            <w14:solidFill>
              <w14:schemeClr w14:val="tx1"/>
            </w14:solidFill>
          </w14:textFill>
        </w:rPr>
        <w:t>4950</w:t>
      </w:r>
      <w:r>
        <w:rPr>
          <w:rFonts w:hint="eastAsia"/>
          <w:color w:val="000000" w:themeColor="text1"/>
          <w:szCs w:val="24"/>
          <w14:textFill>
            <w14:solidFill>
              <w14:schemeClr w14:val="tx1"/>
            </w14:solidFill>
          </w14:textFill>
        </w:rPr>
        <w:t>t/a，占</w:t>
      </w:r>
      <w:r>
        <w:rPr>
          <w:rFonts w:hint="eastAsia"/>
          <w:color w:val="000000" w:themeColor="text1"/>
          <w:szCs w:val="24"/>
          <w:lang w:eastAsia="zh-CN"/>
          <w14:textFill>
            <w14:solidFill>
              <w14:schemeClr w14:val="tx1"/>
            </w14:solidFill>
          </w14:textFill>
        </w:rPr>
        <w:t>泗阳巨宇畜禽粪污处理有限公司</w:t>
      </w:r>
      <w:r>
        <w:rPr>
          <w:rFonts w:hint="eastAsia"/>
          <w:color w:val="000000" w:themeColor="text1"/>
          <w:szCs w:val="24"/>
          <w14:textFill>
            <w14:solidFill>
              <w14:schemeClr w14:val="tx1"/>
            </w14:solidFill>
          </w14:textFill>
        </w:rPr>
        <w:t>处置能力的</w:t>
      </w:r>
      <w:r>
        <w:rPr>
          <w:rFonts w:hint="eastAsia"/>
          <w:color w:val="000000" w:themeColor="text1"/>
          <w:szCs w:val="24"/>
          <w:lang w:val="en-US" w:eastAsia="zh-CN"/>
          <w14:textFill>
            <w14:solidFill>
              <w14:schemeClr w14:val="tx1"/>
            </w14:solidFill>
          </w14:textFill>
        </w:rPr>
        <w:t>9.9</w:t>
      </w:r>
      <w:r>
        <w:rPr>
          <w:rFonts w:hint="eastAsia"/>
          <w:color w:val="000000" w:themeColor="text1"/>
          <w:szCs w:val="24"/>
          <w14:textFill>
            <w14:solidFill>
              <w14:schemeClr w14:val="tx1"/>
            </w14:solidFill>
          </w14:textFill>
        </w:rPr>
        <w:t>%，因此，本项目鸡粪委托</w:t>
      </w:r>
      <w:r>
        <w:rPr>
          <w:rFonts w:hint="eastAsia"/>
          <w:color w:val="000000" w:themeColor="text1"/>
          <w:szCs w:val="24"/>
          <w:lang w:eastAsia="zh-CN"/>
          <w14:textFill>
            <w14:solidFill>
              <w14:schemeClr w14:val="tx1"/>
            </w14:solidFill>
          </w14:textFill>
        </w:rPr>
        <w:t>泗阳巨宇畜禽粪污处理有限公司</w:t>
      </w:r>
      <w:r>
        <w:rPr>
          <w:rFonts w:hint="eastAsia"/>
          <w:color w:val="000000" w:themeColor="text1"/>
          <w:szCs w:val="24"/>
          <w:lang w:val="en-US" w:eastAsia="zh-CN"/>
          <w14:textFill>
            <w14:solidFill>
              <w14:schemeClr w14:val="tx1"/>
            </w14:solidFill>
          </w14:textFill>
        </w:rPr>
        <w:t>处置</w:t>
      </w:r>
      <w:r>
        <w:rPr>
          <w:rFonts w:hint="eastAsia"/>
          <w:color w:val="000000" w:themeColor="text1"/>
          <w:szCs w:val="24"/>
          <w14:textFill>
            <w14:solidFill>
              <w14:schemeClr w14:val="tx1"/>
            </w14:solidFill>
          </w14:textFill>
        </w:rPr>
        <w:t>具有可行。</w:t>
      </w:r>
    </w:p>
    <w:p w14:paraId="6E829429">
      <w:pPr>
        <w:snapToGrid w:val="0"/>
        <w:spacing w:line="500" w:lineRule="exact"/>
        <w:ind w:firstLine="480" w:firstLineChars="200"/>
        <w:rPr>
          <w:rFonts w:hAnsi="宋体"/>
          <w:color w:val="000000"/>
        </w:rPr>
      </w:pPr>
      <w:r>
        <w:rPr>
          <w:rFonts w:hint="eastAsia" w:hAnsi="宋体"/>
          <w:color w:val="000000"/>
        </w:rPr>
        <w:t>（</w:t>
      </w:r>
      <w:r>
        <w:rPr>
          <w:rFonts w:hint="eastAsia" w:hAnsi="宋体"/>
          <w:color w:val="000000"/>
          <w:lang w:val="en-US" w:eastAsia="zh-CN"/>
        </w:rPr>
        <w:t>3</w:t>
      </w:r>
      <w:r>
        <w:rPr>
          <w:rFonts w:hint="eastAsia" w:hAnsi="宋体"/>
          <w:color w:val="000000"/>
        </w:rPr>
        <w:t>）病死鸡</w:t>
      </w:r>
    </w:p>
    <w:p w14:paraId="2B8C5359">
      <w:pPr>
        <w:snapToGrid w:val="0"/>
        <w:spacing w:line="500" w:lineRule="exact"/>
        <w:ind w:firstLine="480" w:firstLineChars="200"/>
        <w:rPr>
          <w:color w:val="000000"/>
        </w:rPr>
      </w:pPr>
      <w:r>
        <w:rPr>
          <w:rFonts w:hAnsi="宋体"/>
          <w:color w:val="000000"/>
        </w:rPr>
        <w:t>对本项目</w:t>
      </w:r>
      <w:r>
        <w:rPr>
          <w:rFonts w:hint="eastAsia" w:hAnsi="宋体"/>
          <w:color w:val="000000"/>
        </w:rPr>
        <w:t>养鸡场</w:t>
      </w:r>
      <w:r>
        <w:rPr>
          <w:rFonts w:hAnsi="宋体"/>
          <w:color w:val="000000"/>
        </w:rPr>
        <w:t>意外死亡和生病死的</w:t>
      </w:r>
      <w:r>
        <w:rPr>
          <w:rFonts w:hint="eastAsia" w:hAnsi="宋体"/>
          <w:color w:val="000000"/>
        </w:rPr>
        <w:t>鸡</w:t>
      </w:r>
      <w:r>
        <w:rPr>
          <w:rFonts w:hAnsi="宋体"/>
          <w:color w:val="000000"/>
        </w:rPr>
        <w:t>尸体应及时处理，严禁随意丢弃，严禁出售或作为饲料再利用，严禁食用病死</w:t>
      </w:r>
      <w:r>
        <w:rPr>
          <w:rFonts w:hint="eastAsia" w:hAnsi="宋体"/>
          <w:color w:val="000000"/>
        </w:rPr>
        <w:t>鸡</w:t>
      </w:r>
      <w:r>
        <w:rPr>
          <w:rFonts w:hAnsi="宋体"/>
          <w:color w:val="000000"/>
        </w:rPr>
        <w:t>。</w:t>
      </w:r>
    </w:p>
    <w:p w14:paraId="5C0A8A7B">
      <w:pPr>
        <w:spacing w:line="500" w:lineRule="exact"/>
        <w:ind w:firstLine="480" w:firstLineChars="200"/>
        <w:rPr>
          <w:color w:val="000000"/>
          <w:szCs w:val="24"/>
        </w:rPr>
      </w:pPr>
      <w:r>
        <w:rPr>
          <w:rFonts w:hAnsi="宋体"/>
          <w:color w:val="000000"/>
        </w:rPr>
        <w:t>项目场区内目前尚不具备处理条件，企业拟委托</w:t>
      </w:r>
      <w:r>
        <w:rPr>
          <w:rFonts w:hint="eastAsia"/>
          <w:color w:val="000000"/>
          <w:szCs w:val="24"/>
        </w:rPr>
        <w:t>泗阳北斗星动物无害化处理有限公司</w:t>
      </w:r>
      <w:r>
        <w:rPr>
          <w:color w:val="000000"/>
          <w:szCs w:val="24"/>
        </w:rPr>
        <w:t>进行处理。</w:t>
      </w:r>
      <w:r>
        <w:rPr>
          <w:rFonts w:hint="eastAsia"/>
          <w:color w:val="000000"/>
          <w:szCs w:val="24"/>
        </w:rPr>
        <w:t>泗阳北斗星动物无害化处理有限公司</w:t>
      </w:r>
      <w:r>
        <w:rPr>
          <w:color w:val="000000"/>
          <w:szCs w:val="24"/>
        </w:rPr>
        <w:t>位于泗阳县穿城镇静波村（泗阳县生活垃圾安全填埋场以南地块），主要收集泗阳县内管辖的养殖场、养殖小区、养殖散户等产生的病死动物（生猪、鸡、鸭等）等体型较小的动物尸体。该项目处理规模为</w:t>
      </w:r>
      <w:r>
        <w:rPr>
          <w:rFonts w:hint="eastAsia"/>
          <w:color w:val="000000"/>
          <w:szCs w:val="24"/>
        </w:rPr>
        <w:t>10t</w:t>
      </w:r>
      <w:r>
        <w:rPr>
          <w:color w:val="000000"/>
          <w:szCs w:val="24"/>
        </w:rPr>
        <w:t>/d（</w:t>
      </w:r>
      <w:r>
        <w:rPr>
          <w:rFonts w:hint="eastAsia"/>
          <w:color w:val="000000"/>
          <w:szCs w:val="24"/>
        </w:rPr>
        <w:t>3</w:t>
      </w:r>
      <w:r>
        <w:rPr>
          <w:color w:val="000000"/>
          <w:szCs w:val="24"/>
        </w:rPr>
        <w:t>000t/a）</w:t>
      </w:r>
      <w:r>
        <w:rPr>
          <w:rFonts w:hint="eastAsia"/>
          <w:color w:val="000000"/>
          <w:szCs w:val="24"/>
        </w:rPr>
        <w:t>剩余处理能力约1000t/a</w:t>
      </w:r>
      <w:r>
        <w:rPr>
          <w:color w:val="000000"/>
          <w:szCs w:val="24"/>
        </w:rPr>
        <w:t>，项目工艺流程如下</w:t>
      </w:r>
      <w:r>
        <w:rPr>
          <w:b/>
          <w:bCs/>
          <w:color w:val="000000"/>
          <w:szCs w:val="24"/>
        </w:rPr>
        <w:t>图</w:t>
      </w:r>
      <w:r>
        <w:rPr>
          <w:rFonts w:hint="eastAsia"/>
          <w:b/>
          <w:bCs/>
          <w:color w:val="000000"/>
          <w:szCs w:val="24"/>
        </w:rPr>
        <w:t>6.2-</w:t>
      </w:r>
      <w:r>
        <w:rPr>
          <w:rFonts w:hint="eastAsia"/>
          <w:b/>
          <w:bCs/>
          <w:color w:val="000000"/>
          <w:szCs w:val="24"/>
          <w:lang w:val="en-US" w:eastAsia="zh-CN"/>
        </w:rPr>
        <w:t>4</w:t>
      </w:r>
      <w:r>
        <w:rPr>
          <w:color w:val="000000"/>
          <w:szCs w:val="24"/>
        </w:rPr>
        <w:t>所示：</w:t>
      </w:r>
    </w:p>
    <w:p w14:paraId="55D67332">
      <w:pPr>
        <w:jc w:val="center"/>
        <w:rPr>
          <w:color w:val="000000"/>
          <w:szCs w:val="24"/>
        </w:rPr>
      </w:pPr>
      <w:r>
        <w:rPr>
          <w:color w:val="000000"/>
        </w:rPr>
        <w:object>
          <v:shape id="_x0000_i1053" o:spt="75" type="#_x0000_t75" style="height:216.4pt;width:415.05pt;" o:ole="t" filled="f" o:preferrelative="t" stroked="f" coordsize="21600,21600">
            <v:path/>
            <v:fill on="f" focussize="0,0"/>
            <v:stroke on="f"/>
            <v:imagedata r:id="rId87" o:title=""/>
            <o:lock v:ext="edit" aspectratio="t"/>
            <w10:wrap type="none"/>
            <w10:anchorlock/>
          </v:shape>
          <o:OLEObject Type="Embed" ProgID="Visio.Drawing.11" ShapeID="_x0000_i1053" DrawAspect="Content" ObjectID="_1468075754" r:id="rId86">
            <o:LockedField>false</o:LockedField>
          </o:OLEObject>
        </w:object>
      </w:r>
    </w:p>
    <w:p w14:paraId="3DF86698">
      <w:pPr>
        <w:spacing w:line="480" w:lineRule="exact"/>
        <w:ind w:firstLine="482" w:firstLineChars="200"/>
        <w:jc w:val="center"/>
        <w:rPr>
          <w:rFonts w:ascii="宋体" w:hAnsi="宋体"/>
          <w:color w:val="000000"/>
        </w:rPr>
      </w:pPr>
      <w:r>
        <w:rPr>
          <w:b/>
          <w:color w:val="000000"/>
          <w:szCs w:val="24"/>
        </w:rPr>
        <w:t>图6.2-</w:t>
      </w:r>
      <w:r>
        <w:rPr>
          <w:rFonts w:hint="eastAsia"/>
          <w:b/>
          <w:color w:val="000000"/>
          <w:szCs w:val="24"/>
          <w:lang w:val="en-US" w:eastAsia="zh-CN"/>
        </w:rPr>
        <w:t>4</w:t>
      </w:r>
      <w:r>
        <w:rPr>
          <w:rFonts w:hint="eastAsia"/>
          <w:b/>
          <w:color w:val="000000"/>
          <w:szCs w:val="24"/>
        </w:rPr>
        <w:t xml:space="preserve"> 泗阳北斗星动物无害化处理有限公司</w:t>
      </w:r>
      <w:r>
        <w:rPr>
          <w:b/>
          <w:color w:val="000000"/>
          <w:szCs w:val="24"/>
        </w:rPr>
        <w:t>处理工艺图</w:t>
      </w:r>
    </w:p>
    <w:p w14:paraId="0849E5AB">
      <w:pPr>
        <w:spacing w:line="480" w:lineRule="exact"/>
        <w:ind w:firstLine="480" w:firstLineChars="200"/>
        <w:rPr>
          <w:color w:val="000000"/>
          <w:szCs w:val="24"/>
        </w:rPr>
      </w:pPr>
      <w:r>
        <w:rPr>
          <w:color w:val="000000"/>
          <w:szCs w:val="24"/>
        </w:rPr>
        <w:t>本项目病死</w:t>
      </w:r>
      <w:r>
        <w:rPr>
          <w:rFonts w:hint="eastAsia"/>
          <w:color w:val="000000"/>
          <w:szCs w:val="24"/>
        </w:rPr>
        <w:t>鸡</w:t>
      </w:r>
      <w:r>
        <w:rPr>
          <w:color w:val="000000"/>
          <w:szCs w:val="24"/>
        </w:rPr>
        <w:t>尸体产生量约为</w:t>
      </w:r>
      <w:r>
        <w:rPr>
          <w:rFonts w:hint="eastAsia"/>
          <w:color w:val="000000"/>
          <w:szCs w:val="24"/>
        </w:rPr>
        <w:t>25</w:t>
      </w:r>
      <w:r>
        <w:rPr>
          <w:color w:val="000000"/>
          <w:szCs w:val="24"/>
        </w:rPr>
        <w:t>t/a，仅占泗阳北斗星动物无害化处理有限公司剩余处理能力的</w:t>
      </w:r>
      <w:r>
        <w:rPr>
          <w:rFonts w:hint="eastAsia"/>
          <w:color w:val="000000"/>
          <w:szCs w:val="24"/>
        </w:rPr>
        <w:t>2.5</w:t>
      </w:r>
      <w:r>
        <w:rPr>
          <w:color w:val="000000"/>
          <w:szCs w:val="24"/>
        </w:rPr>
        <w:t>%。因此，本项目产生的病死</w:t>
      </w:r>
      <w:r>
        <w:rPr>
          <w:rFonts w:hint="eastAsia"/>
          <w:color w:val="000000"/>
          <w:szCs w:val="24"/>
        </w:rPr>
        <w:t>鸡</w:t>
      </w:r>
      <w:r>
        <w:rPr>
          <w:color w:val="000000"/>
          <w:szCs w:val="24"/>
        </w:rPr>
        <w:t>尸体可以送入泗阳北斗星动物无害化处理有限公司进行处理。本项目的病死</w:t>
      </w:r>
      <w:r>
        <w:rPr>
          <w:rFonts w:hint="eastAsia"/>
          <w:color w:val="000000"/>
          <w:szCs w:val="24"/>
        </w:rPr>
        <w:t>鸡</w:t>
      </w:r>
      <w:r>
        <w:rPr>
          <w:color w:val="000000"/>
          <w:szCs w:val="24"/>
        </w:rPr>
        <w:t>送泗阳北斗星动物无害化处理有限公司处理在时间以及规模上都是可行的。</w:t>
      </w:r>
    </w:p>
    <w:p w14:paraId="20D5DC9D">
      <w:pPr>
        <w:pStyle w:val="8"/>
        <w:spacing w:line="480" w:lineRule="exact"/>
      </w:pPr>
      <w:r>
        <w:rPr>
          <w:rFonts w:hint="eastAsia"/>
        </w:rPr>
        <w:t>6</w:t>
      </w:r>
      <w:r>
        <w:t>.2.4.</w:t>
      </w:r>
      <w:r>
        <w:rPr>
          <w:rFonts w:hint="eastAsia"/>
        </w:rPr>
        <w:t>4</w:t>
      </w:r>
      <w:r>
        <w:t xml:space="preserve"> </w:t>
      </w:r>
      <w:r>
        <w:rPr>
          <w:rFonts w:hint="eastAsia"/>
        </w:rPr>
        <w:t>固体废物管理措施</w:t>
      </w:r>
    </w:p>
    <w:p w14:paraId="1974F626">
      <w:pPr>
        <w:spacing w:line="480" w:lineRule="exact"/>
        <w:ind w:firstLine="48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建设项目采取以上处理措施后，固体废物均得到合理处置，同时建议采取以下措施加强管理，尽量减少或消除固体废物对环境的影响。</w:t>
      </w:r>
    </w:p>
    <w:p w14:paraId="41EE80A3">
      <w:pPr>
        <w:spacing w:line="480" w:lineRule="exact"/>
        <w:ind w:firstLine="482" w:firstLineChars="200"/>
        <w:rPr>
          <w:b/>
          <w:bCs/>
        </w:rPr>
      </w:pPr>
      <w:r>
        <w:rPr>
          <w:rFonts w:hint="eastAsia"/>
          <w:b/>
          <w:bCs/>
        </w:rPr>
        <w:t>（1）一般固废管理措施</w:t>
      </w:r>
    </w:p>
    <w:p w14:paraId="0829469E">
      <w:pPr>
        <w:spacing w:line="480" w:lineRule="exact"/>
        <w:ind w:firstLine="480" w:firstLineChars="200"/>
        <w:rPr>
          <w:rFonts w:ascii="Times New Roman" w:hAnsi="Times New Roman" w:eastAsia="宋体" w:cs="Times New Roman"/>
          <w:color w:val="000000"/>
          <w:kern w:val="0"/>
        </w:rPr>
      </w:pPr>
      <w:r>
        <w:rPr>
          <w:rFonts w:ascii="Times New Roman" w:hAnsi="Times New Roman" w:eastAsia="宋体" w:cs="Times New Roman"/>
          <w:color w:val="000000"/>
          <w:kern w:val="0"/>
        </w:rPr>
        <w:t>①严格执行《一般工业固体废物贮存和填埋污染控制标准》（GB18599-2020）及《环境保护图形标志—固体废物贮存（处置场）》（GB15562.2-1995）等规定要求，对固体废物实行分类收集，选择满足要求的容器进行包装贮存；</w:t>
      </w:r>
    </w:p>
    <w:p w14:paraId="6F994934">
      <w:pPr>
        <w:spacing w:line="480" w:lineRule="exact"/>
        <w:ind w:firstLine="480" w:firstLineChars="200"/>
        <w:rPr>
          <w:rFonts w:ascii="Times New Roman" w:hAnsi="Times New Roman" w:eastAsia="宋体" w:cs="Times New Roman"/>
          <w:color w:val="000000"/>
          <w:kern w:val="0"/>
        </w:rPr>
      </w:pPr>
      <w:r>
        <w:rPr>
          <w:rFonts w:ascii="Times New Roman" w:hAnsi="Times New Roman" w:eastAsia="宋体" w:cs="Times New Roman"/>
          <w:color w:val="000000"/>
          <w:kern w:val="0"/>
        </w:rPr>
        <w:t>②对固体废物实行从产生、收集、运输、贮存直至最终处理实行全过程管理，按照有关法律、法规要求，对固体废弃物全过程管理应报当地环保行政主管部门等批准；</w:t>
      </w:r>
    </w:p>
    <w:p w14:paraId="1B34D066">
      <w:pPr>
        <w:spacing w:line="480" w:lineRule="exact"/>
        <w:ind w:firstLine="480" w:firstLineChars="200"/>
        <w:rPr>
          <w:rFonts w:ascii="Times New Roman" w:hAnsi="Times New Roman" w:eastAsia="宋体" w:cs="Times New Roman"/>
          <w:color w:val="000000"/>
          <w:kern w:val="0"/>
        </w:rPr>
      </w:pPr>
      <w:r>
        <w:rPr>
          <w:rFonts w:ascii="Times New Roman" w:hAnsi="Times New Roman" w:eastAsia="宋体" w:cs="Times New Roman"/>
          <w:color w:val="000000"/>
          <w:kern w:val="0"/>
        </w:rPr>
        <w:t>③加强固体废物规范化管理，固体废物分类定点堆放，堆放场所远离办公区和周围环境敏感点。</w:t>
      </w:r>
    </w:p>
    <w:p w14:paraId="02E48DCE">
      <w:pPr>
        <w:spacing w:line="480" w:lineRule="exact"/>
        <w:ind w:firstLine="480" w:firstLineChars="200"/>
        <w:rPr>
          <w:rFonts w:ascii="Times New Roman" w:hAnsi="Times New Roman" w:eastAsia="宋体" w:cs="Times New Roman"/>
          <w:color w:val="000000"/>
          <w:kern w:val="0"/>
        </w:rPr>
      </w:pPr>
      <w:r>
        <w:rPr>
          <w:rFonts w:ascii="Times New Roman" w:hAnsi="Times New Roman" w:eastAsia="宋体" w:cs="Times New Roman"/>
          <w:color w:val="000000"/>
          <w:kern w:val="0"/>
        </w:rPr>
        <w:t>④固体废物及时清运，避免产生二次污染；</w:t>
      </w:r>
    </w:p>
    <w:p w14:paraId="728E6416">
      <w:pPr>
        <w:spacing w:line="480" w:lineRule="exact"/>
        <w:ind w:firstLine="480" w:firstLineChars="200"/>
        <w:rPr>
          <w:rFonts w:ascii="Times New Roman" w:hAnsi="Times New Roman" w:eastAsia="宋体" w:cs="Times New Roman"/>
          <w:color w:val="000000"/>
          <w:kern w:val="0"/>
        </w:rPr>
      </w:pPr>
      <w:r>
        <w:rPr>
          <w:rFonts w:ascii="Times New Roman" w:hAnsi="Times New Roman" w:eastAsia="宋体" w:cs="Times New Roman"/>
          <w:color w:val="000000"/>
          <w:kern w:val="0"/>
        </w:rPr>
        <w:t>⑤固体废物运输过程中应做到密闭运输，防治固废的泄漏，减少污染。</w:t>
      </w:r>
    </w:p>
    <w:p w14:paraId="5FEAABAF">
      <w:pPr>
        <w:spacing w:line="480" w:lineRule="exact"/>
        <w:ind w:firstLine="482" w:firstLineChars="200"/>
        <w:rPr>
          <w:b/>
          <w:bCs/>
        </w:rPr>
      </w:pPr>
      <w:r>
        <w:rPr>
          <w:rFonts w:hint="eastAsia"/>
          <w:b/>
          <w:bCs/>
        </w:rPr>
        <w:t>（2）危险废物管理措施</w:t>
      </w:r>
    </w:p>
    <w:p w14:paraId="07632B06">
      <w:pPr>
        <w:spacing w:line="480" w:lineRule="exact"/>
        <w:ind w:firstLine="482"/>
        <w:rPr>
          <w:rFonts w:ascii="Times New Roman" w:hAnsi="Times New Roman" w:eastAsia="宋体" w:cs="Times New Roman"/>
          <w:color w:val="000000"/>
          <w:kern w:val="0"/>
        </w:rPr>
      </w:pPr>
      <w:r>
        <w:rPr>
          <w:rFonts w:ascii="Times New Roman" w:hAnsi="Times New Roman" w:eastAsia="宋体" w:cs="Times New Roman"/>
          <w:color w:val="000000"/>
          <w:kern w:val="0"/>
        </w:rPr>
        <w:t>1）危险废物的管理执行《危险废物贮存污染控制标准》（GB18597-2023）及</w:t>
      </w:r>
      <w:r>
        <w:rPr>
          <w:rFonts w:ascii="Times New Roman" w:hAnsi="Times New Roman" w:eastAsia="宋体" w:cs="Times New Roman"/>
          <w:color w:val="000000"/>
        </w:rPr>
        <w:t>《江苏省固体废物全过程环境监管工作意见》（苏环办[2024]16号）</w:t>
      </w:r>
      <w:r>
        <w:rPr>
          <w:rFonts w:ascii="Times New Roman" w:hAnsi="Times New Roman" w:eastAsia="宋体" w:cs="Times New Roman"/>
          <w:color w:val="000000"/>
          <w:kern w:val="0"/>
        </w:rPr>
        <w:t>中相关规定。</w:t>
      </w:r>
    </w:p>
    <w:p w14:paraId="0BB57FF1">
      <w:pPr>
        <w:spacing w:line="480" w:lineRule="exact"/>
        <w:ind w:firstLine="482"/>
        <w:rPr>
          <w:rFonts w:ascii="Times New Roman" w:hAnsi="Times New Roman" w:eastAsia="宋体" w:cs="Times New Roman"/>
          <w:color w:val="000000"/>
          <w:kern w:val="0"/>
        </w:rPr>
      </w:pPr>
      <w:r>
        <w:rPr>
          <w:rFonts w:ascii="Times New Roman" w:hAnsi="Times New Roman" w:eastAsia="宋体" w:cs="Times New Roman"/>
          <w:color w:val="000000"/>
          <w:kern w:val="0"/>
        </w:rPr>
        <w:t>2）危废的暂存防范措施</w:t>
      </w:r>
    </w:p>
    <w:p w14:paraId="7CB43913">
      <w:pPr>
        <w:pStyle w:val="109"/>
        <w:spacing w:line="480" w:lineRule="exact"/>
        <w:ind w:firstLine="482"/>
        <w:rPr>
          <w:rFonts w:ascii="Times New Roman" w:hAnsi="Times New Roman" w:eastAsia="宋体" w:cs="Times New Roman"/>
          <w:color w:val="000000"/>
        </w:rPr>
      </w:pPr>
      <w:r>
        <w:rPr>
          <w:rFonts w:ascii="Times New Roman" w:hAnsi="Times New Roman" w:eastAsia="宋体" w:cs="Times New Roman"/>
          <w:color w:val="000000"/>
        </w:rPr>
        <w:t>a.贮存危险废物时应按危险废物的种类和特性进行分区贮存，每个贮存区域之间设置挡墙间隔，应设置防雨、防火、防雷和防扬尘装置。</w:t>
      </w:r>
    </w:p>
    <w:p w14:paraId="0233F982">
      <w:pPr>
        <w:pStyle w:val="109"/>
        <w:spacing w:line="480" w:lineRule="exact"/>
        <w:ind w:firstLine="482"/>
        <w:rPr>
          <w:rFonts w:ascii="Times New Roman" w:hAnsi="Times New Roman" w:eastAsia="宋体" w:cs="Times New Roman"/>
          <w:color w:val="000000"/>
        </w:rPr>
      </w:pPr>
      <w:r>
        <w:rPr>
          <w:rFonts w:ascii="Times New Roman" w:hAnsi="Times New Roman" w:eastAsia="宋体" w:cs="Times New Roman"/>
          <w:color w:val="000000"/>
        </w:rPr>
        <w:t>b.危废暂存库应配置火灾报警装置和导出静电的接地装置；按GB15562.2的规定设置警示标志；周围应配备通讯设备、照明设施、安全防护服装及工具，并设有应急防护设施。</w:t>
      </w:r>
    </w:p>
    <w:p w14:paraId="49B0D50F">
      <w:pPr>
        <w:pStyle w:val="109"/>
        <w:spacing w:line="480" w:lineRule="exact"/>
        <w:ind w:firstLine="482"/>
        <w:rPr>
          <w:rFonts w:ascii="Times New Roman" w:hAnsi="Times New Roman" w:eastAsia="宋体" w:cs="Times New Roman"/>
          <w:color w:val="000000"/>
        </w:rPr>
      </w:pPr>
      <w:r>
        <w:rPr>
          <w:rFonts w:ascii="Times New Roman" w:hAnsi="Times New Roman" w:eastAsia="宋体" w:cs="Times New Roman"/>
          <w:color w:val="000000"/>
        </w:rPr>
        <w:t>c.危险废物贮存应建立危险废物贮存的台账制度，台账保存</w:t>
      </w:r>
      <w:r>
        <w:rPr>
          <w:rFonts w:ascii="Times New Roman" w:hAnsi="Times New Roman" w:eastAsia="宋体" w:cs="Times New Roman"/>
          <w:bCs/>
          <w:color w:val="000000"/>
        </w:rPr>
        <w:t>期限不少于5年</w:t>
      </w:r>
      <w:r>
        <w:rPr>
          <w:rFonts w:ascii="Times New Roman" w:hAnsi="Times New Roman" w:eastAsia="宋体" w:cs="Times New Roman"/>
          <w:color w:val="000000"/>
        </w:rPr>
        <w:t>。</w:t>
      </w:r>
    </w:p>
    <w:p w14:paraId="2B328694">
      <w:pPr>
        <w:pStyle w:val="109"/>
        <w:spacing w:line="480" w:lineRule="exact"/>
        <w:ind w:firstLine="482"/>
        <w:rPr>
          <w:rFonts w:ascii="Times New Roman" w:hAnsi="Times New Roman" w:eastAsia="宋体" w:cs="Times New Roman"/>
          <w:color w:val="000000"/>
        </w:rPr>
      </w:pPr>
      <w:r>
        <w:rPr>
          <w:rFonts w:ascii="Times New Roman" w:hAnsi="Times New Roman" w:eastAsia="宋体" w:cs="Times New Roman"/>
          <w:color w:val="000000"/>
        </w:rPr>
        <w:t>d.危废临时储存场必须防渗，防渗层为至少1m厚粘土层（渗透系数≤10</w:t>
      </w:r>
      <w:r>
        <w:rPr>
          <w:rFonts w:ascii="Times New Roman" w:hAnsi="Times New Roman" w:eastAsia="宋体" w:cs="Times New Roman"/>
          <w:color w:val="000000"/>
          <w:vertAlign w:val="superscript"/>
        </w:rPr>
        <w:t>-7</w:t>
      </w:r>
      <w:r>
        <w:rPr>
          <w:rFonts w:ascii="Times New Roman" w:hAnsi="Times New Roman" w:eastAsia="宋体" w:cs="Times New Roman"/>
          <w:color w:val="000000"/>
        </w:rPr>
        <w:t>cm/s），或2mm厚度高密度聚乙烯，或至少2mm厚的其他人工材料，渗透系数≤10</w:t>
      </w:r>
      <w:r>
        <w:rPr>
          <w:rFonts w:ascii="Times New Roman" w:hAnsi="Times New Roman" w:eastAsia="宋体" w:cs="Times New Roman"/>
          <w:color w:val="000000"/>
          <w:vertAlign w:val="superscript"/>
        </w:rPr>
        <w:t>-10</w:t>
      </w:r>
      <w:r>
        <w:rPr>
          <w:rFonts w:ascii="Times New Roman" w:hAnsi="Times New Roman" w:eastAsia="宋体" w:cs="Times New Roman"/>
          <w:color w:val="000000"/>
        </w:rPr>
        <w:t>cm/s）。</w:t>
      </w:r>
      <w:r>
        <w:rPr>
          <w:rFonts w:ascii="Times New Roman" w:hAnsi="Times New Roman" w:eastAsia="宋体" w:cs="Times New Roman"/>
          <w:color w:val="000000"/>
        </w:rPr>
        <w:tab/>
      </w:r>
      <w:r>
        <w:rPr>
          <w:rFonts w:ascii="Times New Roman" w:hAnsi="Times New Roman" w:eastAsia="宋体" w:cs="Times New Roman"/>
          <w:color w:val="000000"/>
        </w:rPr>
        <w:t>e.必须对所贮存的危险废物包装容器及储存设施进行检查，发现破损，应及时采取措施清理更换。</w:t>
      </w:r>
    </w:p>
    <w:p w14:paraId="4D40EC44">
      <w:pPr>
        <w:pStyle w:val="109"/>
        <w:spacing w:line="480" w:lineRule="exact"/>
        <w:ind w:firstLine="482"/>
        <w:rPr>
          <w:rFonts w:ascii="Times New Roman" w:hAnsi="Times New Roman" w:eastAsia="宋体" w:cs="Times New Roman"/>
          <w:color w:val="000000"/>
        </w:rPr>
      </w:pPr>
      <w:r>
        <w:rPr>
          <w:rFonts w:ascii="Times New Roman" w:hAnsi="Times New Roman" w:eastAsia="宋体" w:cs="Times New Roman"/>
          <w:color w:val="000000"/>
        </w:rPr>
        <w:t>f.根据《省生态环境厅关于印发江苏省危险废物贮存规范化管理专项整治行动方案的通知》（苏环办[2019]149号）的要求，本项目危废暂存库还应满足以下要求：①按照《环境保护图形标志固体废物贮存（处置）场》（GB 15562.2-1995）和危险废物识别标识设置规范设置标志，配备通讯设备、照明设施和消防设施；在出入口、设施内部、危险废物运输车辆通道等关键位置按照危险废物贮存设施视频监控布设要求设置视频监控，并与中控室联网。②根据危险废物的种类和特性进行分区、分类贮存，设置防雨、防火、防雷、防扬散、防渗漏装置及泄漏液体收集装置。对易爆、易燃及排出有毒气体的危险废物进行预处理，稳定后贮存，否则按易爆、易燃危险品贮存。贮存设施周转的累积贮存量不得超过年许可经营能力的六分之一，贮存期限原则上不得超过一年。③贮存场所应符合GB18597-2023规定的贮存控制标准，有符合要求的专用标志。④贮存区内禁止混放不相容危险废物。贮存区考虑相应的集排水和防渗设施。贮存区符合消防要求。贮存容器必须有明显标志，具有耐腐蚀、耐压、密封和不与所贮存的废物发生发应等特性。</w:t>
      </w:r>
    </w:p>
    <w:p w14:paraId="2B5F2B9B">
      <w:pPr>
        <w:pStyle w:val="8"/>
        <w:spacing w:line="480" w:lineRule="exact"/>
      </w:pPr>
      <w:r>
        <w:rPr>
          <w:rFonts w:hint="eastAsia"/>
        </w:rPr>
        <w:t>6</w:t>
      </w:r>
      <w:r>
        <w:t>.2.4.</w:t>
      </w:r>
      <w:r>
        <w:rPr>
          <w:rFonts w:hint="eastAsia"/>
        </w:rPr>
        <w:t>5病死鸡及疫情防治措施</w:t>
      </w:r>
    </w:p>
    <w:p w14:paraId="6BCF474E">
      <w:pPr>
        <w:pStyle w:val="49"/>
        <w:snapToGrid/>
        <w:spacing w:line="480" w:lineRule="exact"/>
        <w:ind w:firstLine="480"/>
        <w:rPr>
          <w:rStyle w:val="111"/>
          <w:rFonts w:eastAsia="宋体" w:cs="Times New Roman"/>
        </w:rPr>
      </w:pPr>
      <w:r>
        <w:rPr>
          <w:rStyle w:val="111"/>
          <w:rFonts w:eastAsia="宋体" w:cs="Times New Roman"/>
        </w:rPr>
        <w:t>正常生产饲养</w:t>
      </w:r>
      <w:r>
        <w:rPr>
          <w:rFonts w:eastAsia="宋体" w:cs="Times New Roman"/>
          <w:szCs w:val="24"/>
        </w:rPr>
        <w:t>过程</w:t>
      </w:r>
      <w:r>
        <w:rPr>
          <w:rStyle w:val="111"/>
          <w:rFonts w:eastAsia="宋体" w:cs="Times New Roman"/>
        </w:rPr>
        <w:t>中出现的病死鸡采用委托</w:t>
      </w:r>
      <w:r>
        <w:rPr>
          <w:rFonts w:hint="eastAsia" w:eastAsia="宋体" w:cs="Times New Roman"/>
          <w:bCs/>
          <w:szCs w:val="24"/>
        </w:rPr>
        <w:t>泗阳北斗星动物无害化处理有限公司</w:t>
      </w:r>
      <w:r>
        <w:rPr>
          <w:rFonts w:eastAsia="宋体" w:cs="Times New Roman"/>
        </w:rPr>
        <w:t>进行无害化处置</w:t>
      </w:r>
      <w:r>
        <w:rPr>
          <w:rStyle w:val="111"/>
          <w:rFonts w:eastAsia="宋体" w:cs="Times New Roman"/>
        </w:rPr>
        <w:t>，当发生重大疫情时，尸体要严格按照《畜禽养殖污染防治管理办法》和《重大动物疫情应急条例》进行处置。</w:t>
      </w:r>
    </w:p>
    <w:p w14:paraId="06333625">
      <w:pPr>
        <w:pStyle w:val="49"/>
        <w:snapToGrid/>
        <w:spacing w:line="480" w:lineRule="exact"/>
        <w:ind w:firstLine="482"/>
        <w:outlineLvl w:val="1"/>
        <w:rPr>
          <w:rStyle w:val="111"/>
          <w:rFonts w:eastAsia="宋体" w:cs="Times New Roman"/>
          <w:b/>
          <w:bCs/>
        </w:rPr>
      </w:pPr>
      <w:bookmarkStart w:id="155" w:name="_Toc14007"/>
      <w:bookmarkStart w:id="156" w:name="_Toc15653"/>
      <w:bookmarkStart w:id="157" w:name="_Toc22570"/>
      <w:bookmarkStart w:id="158" w:name="_Toc22669"/>
      <w:r>
        <w:rPr>
          <w:rStyle w:val="111"/>
          <w:rFonts w:eastAsia="宋体" w:cs="Times New Roman"/>
          <w:b/>
          <w:bCs/>
        </w:rPr>
        <w:t>1、发生疫情时的紧急防治措施</w:t>
      </w:r>
      <w:bookmarkEnd w:id="155"/>
      <w:bookmarkEnd w:id="156"/>
      <w:bookmarkEnd w:id="157"/>
      <w:bookmarkEnd w:id="158"/>
    </w:p>
    <w:p w14:paraId="72DD3199">
      <w:pPr>
        <w:pStyle w:val="49"/>
        <w:snapToGrid/>
        <w:spacing w:line="480" w:lineRule="exact"/>
        <w:ind w:firstLine="480"/>
        <w:rPr>
          <w:rStyle w:val="111"/>
          <w:rFonts w:eastAsia="宋体" w:cs="Times New Roman"/>
        </w:rPr>
      </w:pPr>
      <w:r>
        <w:rPr>
          <w:rStyle w:val="111"/>
          <w:rFonts w:eastAsia="宋体" w:cs="Times New Roman"/>
        </w:rPr>
        <w:t>（1）应立即组成防疫小组，尽快做出确切诊断，并在第一时间迅速向有关上级部门报告疫情。</w:t>
      </w:r>
    </w:p>
    <w:p w14:paraId="749DF5D8">
      <w:pPr>
        <w:pStyle w:val="48"/>
        <w:snapToGrid/>
        <w:spacing w:line="480" w:lineRule="exact"/>
        <w:rPr>
          <w:rStyle w:val="111"/>
          <w:rFonts w:eastAsia="宋体" w:cs="Times New Roman"/>
        </w:rPr>
      </w:pPr>
      <w:r>
        <w:rPr>
          <w:rStyle w:val="111"/>
          <w:rFonts w:eastAsia="宋体" w:cs="Times New Roman"/>
        </w:rPr>
        <w:t>（2）迅速隔离病鸡，对危害较重的传染病应及时划区封锁，建立封锁带，出入人员和车辆要严格消毒，同时严格消毒污染环境。解除封锁的条件是在最后一头病鸡痊愈或屠宰后两个潜伏期内再无新病例出现，经过全面大消毒，报上级主管部门批准，方可解除封锁。</w:t>
      </w:r>
    </w:p>
    <w:p w14:paraId="7D6410F7">
      <w:pPr>
        <w:pStyle w:val="49"/>
        <w:snapToGrid/>
        <w:spacing w:line="480" w:lineRule="exact"/>
        <w:ind w:firstLine="480"/>
        <w:rPr>
          <w:rStyle w:val="111"/>
          <w:rFonts w:eastAsia="宋体" w:cs="Times New Roman"/>
        </w:rPr>
      </w:pPr>
      <w:r>
        <w:rPr>
          <w:rStyle w:val="111"/>
          <w:rFonts w:eastAsia="宋体" w:cs="Times New Roman"/>
        </w:rPr>
        <w:t>（3）对病鸡及封锁区内的鸡只实行合理的综合防制措施，包括疫苗的紧急接种、抗生素疗法、高免血清的特异性疗法、化学疗法、增强体质和生理机能的辅助疗法等。</w:t>
      </w:r>
    </w:p>
    <w:p w14:paraId="37757EBF">
      <w:pPr>
        <w:pStyle w:val="49"/>
        <w:snapToGrid/>
        <w:spacing w:line="480" w:lineRule="exact"/>
        <w:ind w:firstLine="480"/>
        <w:rPr>
          <w:rStyle w:val="111"/>
          <w:rFonts w:eastAsia="宋体" w:cs="Times New Roman"/>
        </w:rPr>
      </w:pPr>
      <w:r>
        <w:rPr>
          <w:rStyle w:val="111"/>
          <w:rFonts w:eastAsia="宋体" w:cs="Times New Roman"/>
        </w:rPr>
        <w:t>（4）对病鸡</w:t>
      </w:r>
      <w:r>
        <w:rPr>
          <w:rFonts w:eastAsia="宋体" w:cs="Times New Roman"/>
          <w:szCs w:val="24"/>
        </w:rPr>
        <w:t>最大限度</w:t>
      </w:r>
      <w:r>
        <w:rPr>
          <w:rStyle w:val="111"/>
          <w:rFonts w:eastAsia="宋体" w:cs="Times New Roman"/>
        </w:rPr>
        <w:t>进行医治，对可能的死亡应提前最好准备，若发生病死鸡，尸体要严格按照《畜禽养殖污染防治管理办法》和《重大动物疫情应急条例》进行处置。</w:t>
      </w:r>
    </w:p>
    <w:p w14:paraId="5E7E8401">
      <w:pPr>
        <w:pStyle w:val="48"/>
        <w:snapToGrid/>
        <w:spacing w:line="480" w:lineRule="exact"/>
        <w:rPr>
          <w:rStyle w:val="111"/>
          <w:rFonts w:eastAsia="宋体" w:cs="Times New Roman"/>
        </w:rPr>
      </w:pPr>
      <w:r>
        <w:rPr>
          <w:rStyle w:val="111"/>
          <w:rFonts w:eastAsia="宋体" w:cs="Times New Roman"/>
        </w:rPr>
        <w:t>①发生一类动物疫病时，当地县级以上人民政府畜牧兽医行政管理部门应当立即派人到现场，划定疫点、疫区、受威胁区，采集病料，调查疫源，及时报请同级人民政府决定对疫区实行封锁，将疫情等情况逐级上报国务院畜牧兽医行政管理部门。</w:t>
      </w:r>
    </w:p>
    <w:p w14:paraId="45DEF308">
      <w:pPr>
        <w:pStyle w:val="48"/>
        <w:snapToGrid/>
        <w:spacing w:line="480" w:lineRule="exact"/>
        <w:rPr>
          <w:rStyle w:val="111"/>
          <w:rFonts w:eastAsia="宋体" w:cs="Times New Roman"/>
        </w:rPr>
      </w:pPr>
      <w:r>
        <w:rPr>
          <w:rStyle w:val="111"/>
          <w:rFonts w:eastAsia="宋体" w:cs="Times New Roman"/>
        </w:rPr>
        <w:t>②县级以上人民政府应当立即组织有关部门和单位采取隔离、扑杀、销毁、消毒、紧急免疫接种等强制性控制、扑灭措施，迅速扑灭疫病，并通报毗邻地区。</w:t>
      </w:r>
    </w:p>
    <w:p w14:paraId="042698CD">
      <w:pPr>
        <w:pStyle w:val="48"/>
        <w:snapToGrid/>
        <w:spacing w:line="480" w:lineRule="exact"/>
        <w:rPr>
          <w:rStyle w:val="111"/>
          <w:rFonts w:eastAsia="宋体" w:cs="Times New Roman"/>
        </w:rPr>
      </w:pPr>
      <w:r>
        <w:rPr>
          <w:rStyle w:val="111"/>
          <w:rFonts w:eastAsia="宋体" w:cs="Times New Roman"/>
        </w:rPr>
        <w:t>③在封锁期间，禁止染疫和疑似染疫的动物、动物产品流出疫区，禁止非疫区的动物进入疫区，并根据扑灭动物疫病的需要对出入封锁区的人员、运输工具及有关物品采取消毒和其他限制性措施。</w:t>
      </w:r>
    </w:p>
    <w:p w14:paraId="55C0810F">
      <w:pPr>
        <w:pStyle w:val="48"/>
        <w:snapToGrid/>
        <w:spacing w:line="480" w:lineRule="exact"/>
        <w:rPr>
          <w:rStyle w:val="111"/>
          <w:rFonts w:eastAsia="宋体" w:cs="Times New Roman"/>
        </w:rPr>
      </w:pPr>
      <w:r>
        <w:rPr>
          <w:rStyle w:val="111"/>
          <w:rFonts w:eastAsia="宋体" w:cs="Times New Roman"/>
        </w:rPr>
        <w:t>④疫区范围涉及两个以上行政区域的，由有关行政区域共同的上一级人民政府决定对疫区实行封锁，或者由各有关行政区域的上一级人民政府共同决定对疫区实行封锁。</w:t>
      </w:r>
    </w:p>
    <w:p w14:paraId="519760DF">
      <w:pPr>
        <w:pStyle w:val="48"/>
        <w:snapToGrid/>
        <w:spacing w:line="480" w:lineRule="exact"/>
        <w:rPr>
          <w:rStyle w:val="111"/>
          <w:rFonts w:eastAsia="宋体" w:cs="Times New Roman"/>
        </w:rPr>
      </w:pPr>
      <w:r>
        <w:rPr>
          <w:rStyle w:val="111"/>
          <w:rFonts w:eastAsia="宋体" w:cs="Times New Roman"/>
        </w:rPr>
        <w:t>⑤发生二类动物疫病时，当地县级以上人民政府畜牧兽医行政管理部门应当划定疫点、疫区、受威胁区。</w:t>
      </w:r>
    </w:p>
    <w:p w14:paraId="38A1DB06">
      <w:pPr>
        <w:pStyle w:val="48"/>
        <w:snapToGrid/>
        <w:spacing w:line="480" w:lineRule="exact"/>
        <w:rPr>
          <w:rStyle w:val="111"/>
          <w:rFonts w:eastAsia="宋体" w:cs="Times New Roman"/>
        </w:rPr>
      </w:pPr>
      <w:r>
        <w:rPr>
          <w:rStyle w:val="111"/>
          <w:rFonts w:eastAsia="宋体" w:cs="Times New Roman"/>
        </w:rPr>
        <w:t>⑥县级以上人民政府应当根据需要组织有关部门和单位采取隔离、扑杀、销毁、消毒、紧急免疫接种、限制易感染的动物、动物产品及有关物品出入等控制、扑灭措施。</w:t>
      </w:r>
    </w:p>
    <w:p w14:paraId="61BC48D5">
      <w:pPr>
        <w:pStyle w:val="48"/>
        <w:snapToGrid/>
        <w:spacing w:line="480" w:lineRule="exact"/>
        <w:rPr>
          <w:rStyle w:val="111"/>
          <w:rFonts w:eastAsia="宋体" w:cs="Times New Roman"/>
        </w:rPr>
      </w:pPr>
      <w:bookmarkStart w:id="159" w:name="_Toc654"/>
      <w:bookmarkStart w:id="160" w:name="_Toc21214"/>
      <w:bookmarkStart w:id="161" w:name="_Toc23350"/>
      <w:r>
        <w:rPr>
          <w:rStyle w:val="111"/>
          <w:rFonts w:eastAsia="宋体" w:cs="Times New Roman"/>
        </w:rPr>
        <w:t>⑦疫点、疫区、受威胁区和疫区封锁的解除，由原决定机关宣布。</w:t>
      </w:r>
      <w:bookmarkEnd w:id="159"/>
      <w:bookmarkEnd w:id="160"/>
      <w:bookmarkEnd w:id="161"/>
    </w:p>
    <w:p w14:paraId="3341188C">
      <w:pPr>
        <w:pStyle w:val="48"/>
        <w:snapToGrid/>
        <w:spacing w:line="480" w:lineRule="exact"/>
        <w:rPr>
          <w:rStyle w:val="111"/>
          <w:rFonts w:eastAsia="宋体" w:cs="Times New Roman"/>
        </w:rPr>
      </w:pPr>
      <w:r>
        <w:rPr>
          <w:rStyle w:val="111"/>
          <w:rFonts w:eastAsia="宋体" w:cs="Times New Roman"/>
        </w:rPr>
        <w:t>⑧发生三类动物疫病时，县级、乡级人民政府应当按照动物疫病预防计划和国务院畜牧兽医行政管理部门的有关规定，组织防治和净化。</w:t>
      </w:r>
    </w:p>
    <w:p w14:paraId="3BE96DB0">
      <w:pPr>
        <w:pStyle w:val="48"/>
        <w:snapToGrid/>
        <w:spacing w:line="480" w:lineRule="exact"/>
        <w:rPr>
          <w:rStyle w:val="111"/>
          <w:rFonts w:eastAsia="宋体" w:cs="Times New Roman"/>
        </w:rPr>
      </w:pPr>
      <w:r>
        <w:rPr>
          <w:rStyle w:val="111"/>
          <w:rFonts w:eastAsia="宋体" w:cs="Times New Roman"/>
        </w:rPr>
        <w:t>⑨为控制、扑灭重大动物疫情，动物防疫监督机构可以派人参加当地依法设立的现有检查站执行监督检查任务；必要时，经省、自治区、直辖市人民政府批准，可以设立临时性的动物防疫监督检查站，执行监督检查任务。</w:t>
      </w:r>
    </w:p>
    <w:p w14:paraId="1CB08D9B">
      <w:pPr>
        <w:pStyle w:val="48"/>
        <w:snapToGrid/>
        <w:spacing w:line="480" w:lineRule="exact"/>
        <w:rPr>
          <w:rStyle w:val="111"/>
          <w:rFonts w:eastAsia="宋体" w:cs="Times New Roman"/>
        </w:rPr>
      </w:pPr>
      <w:r>
        <w:rPr>
          <w:rStyle w:val="111"/>
          <w:rFonts w:eastAsia="宋体" w:cs="Times New Roman"/>
        </w:rPr>
        <w:t>⑩发生人畜共患疫病时，有关畜牧兽医行政管理部门应当与卫生行政部门及有关单位互相通报疫情。畜牧兽医行政管理部门、卫生行政部门及有关单位应当及时采取控制、扑灭措施。疫区内有关单位和个人，应当遵守县级以上人民政府及其畜牧兽医行政管理部门依法作出的有关控制、扑灭动物疫病的规定。</w:t>
      </w:r>
    </w:p>
    <w:p w14:paraId="7433B07A">
      <w:pPr>
        <w:pStyle w:val="48"/>
        <w:snapToGrid/>
        <w:spacing w:line="480" w:lineRule="exact"/>
        <w:ind w:firstLine="482"/>
        <w:outlineLvl w:val="1"/>
        <w:rPr>
          <w:rStyle w:val="111"/>
          <w:rFonts w:eastAsia="宋体" w:cs="Times New Roman"/>
          <w:b/>
          <w:bCs/>
        </w:rPr>
      </w:pPr>
      <w:bookmarkStart w:id="162" w:name="_Toc27006"/>
      <w:bookmarkStart w:id="163" w:name="_Toc7343"/>
      <w:bookmarkStart w:id="164" w:name="_Toc733"/>
      <w:bookmarkStart w:id="165" w:name="_Toc12051"/>
      <w:r>
        <w:rPr>
          <w:rStyle w:val="111"/>
          <w:rFonts w:eastAsia="宋体" w:cs="Times New Roman"/>
          <w:b/>
          <w:bCs/>
        </w:rPr>
        <w:t>2、相关规定</w:t>
      </w:r>
      <w:bookmarkEnd w:id="162"/>
      <w:bookmarkEnd w:id="163"/>
      <w:bookmarkEnd w:id="164"/>
      <w:bookmarkEnd w:id="165"/>
    </w:p>
    <w:p w14:paraId="750EBA62">
      <w:pPr>
        <w:pStyle w:val="48"/>
        <w:snapToGrid/>
        <w:spacing w:line="480" w:lineRule="exact"/>
        <w:rPr>
          <w:rStyle w:val="111"/>
          <w:rFonts w:eastAsia="宋体" w:cs="Times New Roman"/>
        </w:rPr>
      </w:pPr>
      <w:r>
        <w:rPr>
          <w:rStyle w:val="111"/>
          <w:rFonts w:eastAsia="宋体" w:cs="Times New Roman"/>
        </w:rPr>
        <w:t>肉鸡养殖场应严格执行《畜禽养殖污染防治管理办法》(国家环境保护总局第9号令)中的有关规定，建立疫情监测和防疫体系。养殖场污染防治设施必须与主体工程同时设计、同时施工、同时使用；鸡粪综合利用措施必须在养殖场投入运营的同时予以落实。</w:t>
      </w:r>
    </w:p>
    <w:p w14:paraId="6E7E1D70">
      <w:pPr>
        <w:pStyle w:val="48"/>
        <w:adjustRightInd/>
        <w:snapToGrid/>
        <w:spacing w:line="480" w:lineRule="exact"/>
        <w:rPr>
          <w:rStyle w:val="111"/>
          <w:rFonts w:eastAsia="宋体" w:cs="Times New Roman"/>
        </w:rPr>
      </w:pPr>
      <w:r>
        <w:rPr>
          <w:rStyle w:val="111"/>
          <w:rFonts w:eastAsia="宋体" w:cs="Times New Roman"/>
        </w:rPr>
        <w:t>环境保护行政主管部门在对肉鸡养殖场污染防治设施进行竣工验收时，其验收内容主要为鸡粪等废渣综合利用措施的落实情况、对鸡粪处置场所应采取水泥硬化地面等措施，防止畜禽废渣渗漏、散落、溢流、雨水淋失、恶息气味等对周围环境造成污染和危害。运输废渣，必须采取防渗漏、防流失、防遗撒及其他防止污染环境的措施，妥善处置贮运工具清洗废水。</w:t>
      </w:r>
    </w:p>
    <w:p w14:paraId="0A096ACD">
      <w:pPr>
        <w:pStyle w:val="7"/>
        <w:spacing w:line="480" w:lineRule="exact"/>
      </w:pPr>
      <w:r>
        <w:rPr>
          <w:rFonts w:hint="eastAsia"/>
        </w:rPr>
        <w:t>6</w:t>
      </w:r>
      <w:r>
        <w:t>.2.5 土壤</w:t>
      </w:r>
      <w:r>
        <w:rPr>
          <w:rFonts w:hint="eastAsia"/>
        </w:rPr>
        <w:t>及地下水污染防治措施评述</w:t>
      </w:r>
    </w:p>
    <w:p w14:paraId="646C37FC">
      <w:pPr>
        <w:adjustRightInd w:val="0"/>
        <w:spacing w:line="480" w:lineRule="exact"/>
        <w:ind w:firstLine="482" w:firstLineChars="200"/>
        <w:outlineLvl w:val="1"/>
        <w:rPr>
          <w:rFonts w:ascii="Times New Roman" w:hAnsi="Times New Roman" w:cs="Times New Roman"/>
          <w:b/>
          <w:bCs/>
          <w:szCs w:val="24"/>
        </w:rPr>
      </w:pPr>
      <w:bookmarkStart w:id="166" w:name="_Toc9750"/>
      <w:bookmarkStart w:id="167" w:name="_Toc3980"/>
      <w:bookmarkStart w:id="168" w:name="_Toc13946"/>
      <w:bookmarkStart w:id="169" w:name="_Toc17837"/>
      <w:r>
        <w:rPr>
          <w:rFonts w:ascii="Times New Roman" w:hAnsi="Times New Roman" w:cs="Times New Roman"/>
          <w:b/>
          <w:bCs/>
          <w:szCs w:val="24"/>
        </w:rPr>
        <w:t>1、防污原则</w:t>
      </w:r>
      <w:bookmarkEnd w:id="166"/>
      <w:bookmarkEnd w:id="167"/>
      <w:bookmarkEnd w:id="168"/>
      <w:bookmarkEnd w:id="169"/>
    </w:p>
    <w:p w14:paraId="642669F8">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textAlignment w:val="auto"/>
        <w:rPr>
          <w:rFonts w:ascii="Times New Roman" w:hAnsi="Times New Roman" w:cs="Times New Roman"/>
          <w:szCs w:val="24"/>
        </w:rPr>
      </w:pPr>
      <w:r>
        <w:rPr>
          <w:rFonts w:ascii="Times New Roman" w:hAnsi="Times New Roman" w:cs="Times New Roman"/>
          <w:szCs w:val="24"/>
        </w:rPr>
        <w:t>为防止项目运营期间产生的污染物以及含污介质的下渗对场区地下水</w:t>
      </w:r>
      <w:r>
        <w:rPr>
          <w:rFonts w:hint="eastAsia" w:ascii="Times New Roman" w:hAnsi="Times New Roman" w:cs="Times New Roman"/>
          <w:szCs w:val="24"/>
        </w:rPr>
        <w:t>及土壤</w:t>
      </w:r>
      <w:r>
        <w:rPr>
          <w:rFonts w:ascii="Times New Roman" w:hAnsi="Times New Roman" w:cs="Times New Roman"/>
          <w:szCs w:val="24"/>
        </w:rPr>
        <w:t>造成污染，应从原料</w:t>
      </w:r>
      <w:r>
        <w:rPr>
          <w:rFonts w:hint="eastAsia" w:ascii="Times New Roman" w:hAnsi="Times New Roman" w:cs="Times New Roman"/>
          <w:szCs w:val="24"/>
        </w:rPr>
        <w:t>及“三废”</w:t>
      </w:r>
      <w:r>
        <w:rPr>
          <w:rFonts w:ascii="Times New Roman" w:hAnsi="Times New Roman" w:cs="Times New Roman"/>
          <w:szCs w:val="24"/>
        </w:rPr>
        <w:t>的储存、装卸、运输、</w:t>
      </w:r>
      <w:r>
        <w:rPr>
          <w:rFonts w:hint="eastAsia" w:ascii="Times New Roman" w:hAnsi="Times New Roman" w:cs="Times New Roman"/>
          <w:szCs w:val="24"/>
        </w:rPr>
        <w:t>养殖</w:t>
      </w:r>
      <w:r>
        <w:rPr>
          <w:rFonts w:ascii="Times New Roman" w:hAnsi="Times New Roman" w:cs="Times New Roman"/>
          <w:szCs w:val="24"/>
        </w:rPr>
        <w:t>、污染处理措施等各个环节和过程进行有效控制，避免污染物泄/渗漏，同时对可能会泄漏地表的区域</w:t>
      </w:r>
      <w:r>
        <w:rPr>
          <w:rFonts w:hint="eastAsia" w:ascii="Times New Roman" w:hAnsi="Times New Roman" w:cs="Times New Roman"/>
          <w:szCs w:val="24"/>
        </w:rPr>
        <w:t>采取</w:t>
      </w:r>
      <w:r>
        <w:rPr>
          <w:rFonts w:ascii="Times New Roman" w:hAnsi="Times New Roman" w:cs="Times New Roman"/>
          <w:szCs w:val="24"/>
        </w:rPr>
        <w:t>一定的防渗措施。从源头到末端全方位有效控制措施。</w:t>
      </w:r>
    </w:p>
    <w:p w14:paraId="229CBC78">
      <w:pPr>
        <w:keepNext w:val="0"/>
        <w:keepLines w:val="0"/>
        <w:pageBreakBefore w:val="0"/>
        <w:widowControl w:val="0"/>
        <w:kinsoku/>
        <w:wordWrap/>
        <w:overflowPunct/>
        <w:topLinePunct w:val="0"/>
        <w:autoSpaceDE/>
        <w:autoSpaceDN/>
        <w:bidi w:val="0"/>
        <w:adjustRightInd w:val="0"/>
        <w:snapToGrid/>
        <w:spacing w:line="480" w:lineRule="exact"/>
        <w:ind w:firstLine="482" w:firstLineChars="200"/>
        <w:outlineLvl w:val="1"/>
        <w:rPr>
          <w:rFonts w:ascii="Times New Roman" w:hAnsi="Times New Roman" w:cs="Times New Roman"/>
          <w:b/>
          <w:bCs/>
          <w:szCs w:val="24"/>
        </w:rPr>
      </w:pPr>
      <w:bookmarkStart w:id="170" w:name="_Toc13838"/>
      <w:bookmarkStart w:id="171" w:name="_Toc8899"/>
      <w:bookmarkStart w:id="172" w:name="_Toc209"/>
      <w:bookmarkStart w:id="173" w:name="_Toc4940"/>
      <w:r>
        <w:rPr>
          <w:rFonts w:ascii="Times New Roman" w:hAnsi="Times New Roman" w:cs="Times New Roman"/>
          <w:b/>
          <w:bCs/>
          <w:szCs w:val="24"/>
        </w:rPr>
        <w:t>2、总体方案</w:t>
      </w:r>
      <w:bookmarkEnd w:id="170"/>
      <w:bookmarkEnd w:id="171"/>
      <w:bookmarkEnd w:id="172"/>
      <w:bookmarkEnd w:id="173"/>
    </w:p>
    <w:p w14:paraId="5D578360">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outlineLvl w:val="1"/>
        <w:rPr>
          <w:szCs w:val="24"/>
        </w:rPr>
      </w:pPr>
      <w:bookmarkStart w:id="174" w:name="_Toc29917"/>
      <w:bookmarkStart w:id="175" w:name="_Toc18635"/>
      <w:bookmarkStart w:id="176" w:name="_Toc6929"/>
      <w:bookmarkStart w:id="177" w:name="_Toc5078"/>
      <w:r>
        <w:rPr>
          <w:rFonts w:hint="eastAsia"/>
          <w:szCs w:val="24"/>
        </w:rPr>
        <w:t>（1）源头</w:t>
      </w:r>
      <w:r>
        <w:rPr>
          <w:szCs w:val="24"/>
        </w:rPr>
        <w:t>控制</w:t>
      </w:r>
      <w:bookmarkEnd w:id="174"/>
      <w:bookmarkEnd w:id="175"/>
      <w:bookmarkEnd w:id="176"/>
      <w:bookmarkEnd w:id="177"/>
    </w:p>
    <w:p w14:paraId="6115D677">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rPr>
          <w:rFonts w:eastAsia="宋体"/>
          <w:szCs w:val="24"/>
        </w:rPr>
      </w:pPr>
      <w:r>
        <w:rPr>
          <w:rFonts w:hint="eastAsia"/>
          <w:szCs w:val="24"/>
        </w:rPr>
        <w:t>本项目</w:t>
      </w:r>
      <w:r>
        <w:rPr>
          <w:szCs w:val="24"/>
        </w:rPr>
        <w:t>属于污染影响型建设项目，从源头控制措施主要体现在</w:t>
      </w:r>
      <w:r>
        <w:rPr>
          <w:rFonts w:hint="eastAsia"/>
          <w:szCs w:val="24"/>
        </w:rPr>
        <w:t>以下</w:t>
      </w:r>
      <w:r>
        <w:rPr>
          <w:szCs w:val="24"/>
        </w:rPr>
        <w:t>几个方面</w:t>
      </w:r>
      <w:r>
        <w:rPr>
          <w:rFonts w:hint="eastAsia"/>
          <w:szCs w:val="24"/>
        </w:rPr>
        <w:t>：</w:t>
      </w:r>
    </w:p>
    <w:p w14:paraId="25F3AD84">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rPr>
          <w:szCs w:val="24"/>
        </w:rPr>
      </w:pPr>
      <w:r>
        <w:rPr>
          <w:rFonts w:hint="eastAsia"/>
          <w:szCs w:val="24"/>
        </w:rPr>
        <w:t>①</w:t>
      </w:r>
      <w:r>
        <w:rPr>
          <w:szCs w:val="24"/>
        </w:rPr>
        <w:t>本项目</w:t>
      </w:r>
      <w:r>
        <w:rPr>
          <w:rFonts w:hint="eastAsia"/>
          <w:szCs w:val="24"/>
        </w:rPr>
        <w:t>肉鸡养殖过程使用不含有重金属的饲料，采用标准化养殖工艺清洁水平属于国内先进水平；</w:t>
      </w:r>
    </w:p>
    <w:p w14:paraId="524E91C5">
      <w:pPr>
        <w:keepNext w:val="0"/>
        <w:keepLines w:val="0"/>
        <w:pageBreakBefore w:val="0"/>
        <w:widowControl w:val="0"/>
        <w:kinsoku/>
        <w:wordWrap/>
        <w:overflowPunct/>
        <w:topLinePunct w:val="0"/>
        <w:autoSpaceDE/>
        <w:autoSpaceDN/>
        <w:bidi w:val="0"/>
        <w:adjustRightInd w:val="0"/>
        <w:snapToGrid/>
        <w:spacing w:line="480" w:lineRule="exact"/>
        <w:ind w:firstLine="480" w:firstLineChars="200"/>
        <w:rPr>
          <w:rFonts w:eastAsia="MS Mincho"/>
          <w:szCs w:val="24"/>
          <w:lang w:eastAsia="ja-JP"/>
        </w:rPr>
      </w:pPr>
      <w:r>
        <w:rPr>
          <w:rFonts w:hint="eastAsia"/>
          <w:szCs w:val="24"/>
          <w:lang w:eastAsia="ja-JP"/>
        </w:rPr>
        <w:t>②</w:t>
      </w:r>
      <w:r>
        <w:rPr>
          <w:rFonts w:hint="eastAsia"/>
          <w:szCs w:val="24"/>
        </w:rPr>
        <w:t>本项目产生的废水收集后经污水处理站处理后用于周边农田灌溉，不外排。</w:t>
      </w:r>
    </w:p>
    <w:p w14:paraId="3D2909D5">
      <w:pPr>
        <w:keepNext w:val="0"/>
        <w:keepLines w:val="0"/>
        <w:pageBreakBefore w:val="0"/>
        <w:widowControl w:val="0"/>
        <w:kinsoku/>
        <w:wordWrap/>
        <w:overflowPunct/>
        <w:topLinePunct w:val="0"/>
        <w:autoSpaceDE/>
        <w:autoSpaceDN/>
        <w:bidi w:val="0"/>
        <w:snapToGrid/>
        <w:spacing w:line="480" w:lineRule="exact"/>
        <w:ind w:firstLine="480" w:firstLineChars="200"/>
        <w:outlineLvl w:val="1"/>
        <w:rPr>
          <w:rFonts w:ascii="Times New Roman" w:hAnsi="Times New Roman" w:cs="Times New Roman"/>
          <w:szCs w:val="24"/>
        </w:rPr>
      </w:pPr>
      <w:bookmarkStart w:id="178" w:name="_Toc17891"/>
      <w:bookmarkStart w:id="179" w:name="_Toc1125"/>
      <w:bookmarkStart w:id="180" w:name="_Toc6204"/>
      <w:bookmarkStart w:id="181" w:name="_Toc10297"/>
      <w:r>
        <w:rPr>
          <w:rFonts w:hint="eastAsia"/>
          <w:szCs w:val="24"/>
        </w:rPr>
        <w:t>（2）过程</w:t>
      </w:r>
      <w:r>
        <w:rPr>
          <w:szCs w:val="24"/>
        </w:rPr>
        <w:t>防控措施</w:t>
      </w:r>
      <w:bookmarkEnd w:id="178"/>
      <w:bookmarkEnd w:id="179"/>
      <w:bookmarkEnd w:id="180"/>
      <w:bookmarkEnd w:id="181"/>
    </w:p>
    <w:p w14:paraId="4AB6F175">
      <w:pPr>
        <w:keepNext w:val="0"/>
        <w:keepLines w:val="0"/>
        <w:pageBreakBefore w:val="0"/>
        <w:widowControl w:val="0"/>
        <w:kinsoku/>
        <w:wordWrap/>
        <w:overflowPunct/>
        <w:topLinePunct w:val="0"/>
        <w:autoSpaceDE/>
        <w:autoSpaceDN/>
        <w:bidi w:val="0"/>
        <w:snapToGrid/>
        <w:spacing w:line="480" w:lineRule="exact"/>
        <w:ind w:firstLine="480" w:firstLineChars="200"/>
        <w:rPr>
          <w:rFonts w:ascii="Times New Roman" w:hAnsi="Times New Roman" w:cs="Times New Roman"/>
          <w:szCs w:val="24"/>
        </w:rPr>
      </w:pPr>
      <w:r>
        <w:rPr>
          <w:rFonts w:ascii="Times New Roman" w:hAnsi="Times New Roman" w:cs="Times New Roman"/>
          <w:szCs w:val="24"/>
        </w:rPr>
        <w:t>结合场区各生产功能单元可能泄漏至地面区域的污染物性质和生产单元的构筑方式，将场区划分为重点污染</w:t>
      </w:r>
      <w:r>
        <w:rPr>
          <w:rFonts w:hint="eastAsia" w:ascii="Times New Roman" w:hAnsi="Times New Roman" w:cs="Times New Roman"/>
          <w:szCs w:val="24"/>
        </w:rPr>
        <w:t>防渗区</w:t>
      </w:r>
      <w:r>
        <w:rPr>
          <w:rFonts w:ascii="Times New Roman" w:hAnsi="Times New Roman" w:cs="Times New Roman"/>
          <w:szCs w:val="24"/>
        </w:rPr>
        <w:t>、一般污染</w:t>
      </w:r>
      <w:r>
        <w:rPr>
          <w:rFonts w:hint="eastAsia" w:ascii="Times New Roman" w:hAnsi="Times New Roman" w:cs="Times New Roman"/>
          <w:szCs w:val="24"/>
        </w:rPr>
        <w:t>防渗区</w:t>
      </w:r>
      <w:r>
        <w:rPr>
          <w:rFonts w:ascii="Times New Roman" w:hAnsi="Times New Roman" w:cs="Times New Roman"/>
          <w:szCs w:val="24"/>
        </w:rPr>
        <w:t>和</w:t>
      </w:r>
      <w:r>
        <w:rPr>
          <w:rFonts w:hint="eastAsia" w:ascii="Times New Roman" w:hAnsi="Times New Roman" w:cs="Times New Roman"/>
          <w:szCs w:val="24"/>
        </w:rPr>
        <w:t>简单防渗区</w:t>
      </w:r>
      <w:r>
        <w:rPr>
          <w:rFonts w:ascii="Times New Roman" w:hAnsi="Times New Roman" w:cs="Times New Roman"/>
          <w:szCs w:val="24"/>
        </w:rPr>
        <w:t>。</w:t>
      </w:r>
    </w:p>
    <w:p w14:paraId="5DDB171D">
      <w:pPr>
        <w:keepNext w:val="0"/>
        <w:keepLines w:val="0"/>
        <w:pageBreakBefore w:val="0"/>
        <w:widowControl w:val="0"/>
        <w:kinsoku/>
        <w:wordWrap/>
        <w:overflowPunct/>
        <w:topLinePunct w:val="0"/>
        <w:autoSpaceDE/>
        <w:autoSpaceDN/>
        <w:bidi w:val="0"/>
        <w:snapToGrid/>
        <w:spacing w:line="480" w:lineRule="exact"/>
        <w:ind w:firstLine="480" w:firstLineChars="200"/>
        <w:rPr>
          <w:rFonts w:ascii="Times New Roman" w:hAnsi="Times New Roman" w:cs="Times New Roman"/>
          <w:szCs w:val="24"/>
        </w:rPr>
      </w:pPr>
      <w:r>
        <w:rPr>
          <w:rFonts w:hint="eastAsia"/>
          <w:szCs w:val="24"/>
        </w:rPr>
        <w:t>①</w:t>
      </w:r>
      <w:r>
        <w:rPr>
          <w:rFonts w:ascii="Times New Roman" w:hAnsi="Times New Roman" w:cs="Times New Roman"/>
          <w:szCs w:val="24"/>
        </w:rPr>
        <w:t>重点污染</w:t>
      </w:r>
      <w:r>
        <w:rPr>
          <w:rFonts w:hint="eastAsia" w:ascii="Times New Roman" w:hAnsi="Times New Roman" w:cs="Times New Roman"/>
          <w:szCs w:val="24"/>
        </w:rPr>
        <w:t>防渗区</w:t>
      </w:r>
    </w:p>
    <w:p w14:paraId="0C134C54">
      <w:pPr>
        <w:keepNext w:val="0"/>
        <w:keepLines w:val="0"/>
        <w:pageBreakBefore w:val="0"/>
        <w:widowControl w:val="0"/>
        <w:kinsoku/>
        <w:wordWrap/>
        <w:overflowPunct/>
        <w:topLinePunct w:val="0"/>
        <w:autoSpaceDE/>
        <w:autoSpaceDN/>
        <w:bidi w:val="0"/>
        <w:snapToGrid/>
        <w:spacing w:line="480" w:lineRule="exact"/>
        <w:ind w:firstLine="480" w:firstLineChars="200"/>
        <w:rPr>
          <w:rFonts w:ascii="Times New Roman" w:hAnsi="Times New Roman" w:cs="Times New Roman"/>
          <w:szCs w:val="24"/>
        </w:rPr>
      </w:pPr>
      <w:r>
        <w:rPr>
          <w:rFonts w:ascii="Times New Roman" w:hAnsi="Times New Roman" w:cs="Times New Roman"/>
          <w:szCs w:val="24"/>
        </w:rPr>
        <w:t>重点污染</w:t>
      </w:r>
      <w:r>
        <w:rPr>
          <w:rFonts w:hint="eastAsia" w:ascii="Times New Roman" w:hAnsi="Times New Roman" w:cs="Times New Roman"/>
          <w:szCs w:val="24"/>
        </w:rPr>
        <w:t>防渗区</w:t>
      </w:r>
      <w:r>
        <w:rPr>
          <w:rFonts w:ascii="Times New Roman" w:hAnsi="Times New Roman" w:cs="Times New Roman"/>
          <w:szCs w:val="24"/>
        </w:rPr>
        <w:t>指位于地下或者半地下的生产功能单元，污染地下水环境的污染物泄漏后不容易被及时发现和处理的区域或部位，包括</w:t>
      </w:r>
      <w:r>
        <w:rPr>
          <w:rFonts w:hint="eastAsia" w:ascii="Times New Roman" w:hAnsi="Times New Roman" w:cs="Times New Roman"/>
          <w:szCs w:val="24"/>
        </w:rPr>
        <w:t>场区污水管线、污水处理区、事故应急池、鸡舍、鸡粪临时堆场、危废暂存间等</w:t>
      </w:r>
      <w:r>
        <w:rPr>
          <w:rFonts w:ascii="Times New Roman" w:hAnsi="Times New Roman" w:cs="Times New Roman"/>
          <w:szCs w:val="24"/>
        </w:rPr>
        <w:t>。</w:t>
      </w:r>
    </w:p>
    <w:p w14:paraId="424410DA">
      <w:pPr>
        <w:keepNext w:val="0"/>
        <w:keepLines w:val="0"/>
        <w:pageBreakBefore w:val="0"/>
        <w:widowControl w:val="0"/>
        <w:kinsoku/>
        <w:wordWrap/>
        <w:overflowPunct/>
        <w:topLinePunct w:val="0"/>
        <w:autoSpaceDE/>
        <w:autoSpaceDN/>
        <w:bidi w:val="0"/>
        <w:snapToGrid/>
        <w:spacing w:line="480" w:lineRule="exact"/>
        <w:ind w:firstLine="480" w:firstLineChars="200"/>
        <w:rPr>
          <w:rFonts w:ascii="Times New Roman" w:hAnsi="Times New Roman" w:cs="Times New Roman"/>
          <w:szCs w:val="24"/>
        </w:rPr>
      </w:pPr>
      <w:r>
        <w:rPr>
          <w:rFonts w:hint="eastAsia"/>
          <w:szCs w:val="24"/>
          <w:lang w:eastAsia="ja-JP"/>
        </w:rPr>
        <w:t>②</w:t>
      </w:r>
      <w:r>
        <w:rPr>
          <w:rFonts w:ascii="Times New Roman" w:hAnsi="Times New Roman" w:cs="Times New Roman"/>
          <w:szCs w:val="24"/>
        </w:rPr>
        <w:t>一般污染</w:t>
      </w:r>
      <w:r>
        <w:rPr>
          <w:rFonts w:hint="eastAsia" w:ascii="Times New Roman" w:hAnsi="Times New Roman" w:cs="Times New Roman"/>
          <w:szCs w:val="24"/>
        </w:rPr>
        <w:t>防渗区</w:t>
      </w:r>
    </w:p>
    <w:p w14:paraId="4B0BE969">
      <w:pPr>
        <w:keepNext w:val="0"/>
        <w:keepLines w:val="0"/>
        <w:pageBreakBefore w:val="0"/>
        <w:widowControl w:val="0"/>
        <w:kinsoku/>
        <w:wordWrap/>
        <w:overflowPunct/>
        <w:topLinePunct w:val="0"/>
        <w:autoSpaceDE/>
        <w:autoSpaceDN/>
        <w:bidi w:val="0"/>
        <w:snapToGrid/>
        <w:spacing w:line="480" w:lineRule="exact"/>
        <w:ind w:firstLine="480" w:firstLineChars="200"/>
        <w:rPr>
          <w:rFonts w:ascii="Times New Roman" w:hAnsi="Times New Roman" w:cs="Times New Roman"/>
          <w:szCs w:val="24"/>
        </w:rPr>
      </w:pPr>
      <w:r>
        <w:rPr>
          <w:rFonts w:ascii="Times New Roman" w:hAnsi="Times New Roman" w:cs="Times New Roman"/>
          <w:szCs w:val="24"/>
        </w:rPr>
        <w:t>一般污染</w:t>
      </w:r>
      <w:r>
        <w:rPr>
          <w:rFonts w:hint="eastAsia" w:ascii="Times New Roman" w:hAnsi="Times New Roman" w:cs="Times New Roman"/>
          <w:szCs w:val="24"/>
        </w:rPr>
        <w:t>防渗区</w:t>
      </w:r>
      <w:r>
        <w:rPr>
          <w:rFonts w:ascii="Times New Roman" w:hAnsi="Times New Roman" w:cs="Times New Roman"/>
          <w:szCs w:val="24"/>
        </w:rPr>
        <w:t>指其余污染比较小的区域，如</w:t>
      </w:r>
      <w:r>
        <w:rPr>
          <w:rFonts w:hint="eastAsia" w:ascii="Times New Roman" w:hAnsi="Times New Roman" w:cs="Times New Roman"/>
          <w:szCs w:val="24"/>
        </w:rPr>
        <w:t>一般</w:t>
      </w:r>
      <w:r>
        <w:rPr>
          <w:rFonts w:ascii="Times New Roman" w:hAnsi="Times New Roman" w:cs="Times New Roman"/>
          <w:szCs w:val="24"/>
        </w:rPr>
        <w:t>固废仓库</w:t>
      </w:r>
      <w:r>
        <w:rPr>
          <w:rFonts w:hint="eastAsia" w:ascii="Times New Roman" w:hAnsi="Times New Roman" w:cs="Times New Roman"/>
          <w:szCs w:val="24"/>
        </w:rPr>
        <w:t>、原料仓库、尾水暂存池</w:t>
      </w:r>
      <w:r>
        <w:rPr>
          <w:rFonts w:ascii="Times New Roman" w:hAnsi="Times New Roman" w:cs="Times New Roman"/>
          <w:szCs w:val="24"/>
        </w:rPr>
        <w:t>等，建议其渗透系数</w:t>
      </w:r>
      <w:r>
        <w:rPr>
          <w:rFonts w:hint="eastAsia" w:ascii="Times New Roman" w:hAnsi="Times New Roman" w:cs="Times New Roman"/>
          <w:szCs w:val="24"/>
        </w:rPr>
        <w:t>不大于</w:t>
      </w:r>
      <w:r>
        <w:rPr>
          <w:rFonts w:ascii="Times New Roman" w:hAnsi="Times New Roman" w:cs="Times New Roman"/>
          <w:szCs w:val="24"/>
        </w:rPr>
        <w:t>10</w:t>
      </w:r>
      <w:r>
        <w:rPr>
          <w:rFonts w:ascii="Times New Roman" w:hAnsi="Times New Roman" w:cs="Times New Roman"/>
          <w:szCs w:val="24"/>
          <w:vertAlign w:val="superscript"/>
        </w:rPr>
        <w:t>-7</w:t>
      </w:r>
      <w:r>
        <w:rPr>
          <w:rFonts w:ascii="Times New Roman" w:hAnsi="Times New Roman" w:cs="Times New Roman"/>
          <w:szCs w:val="24"/>
        </w:rPr>
        <w:t>cm/s。</w:t>
      </w:r>
    </w:p>
    <w:p w14:paraId="7E3C7105">
      <w:pPr>
        <w:keepNext w:val="0"/>
        <w:keepLines w:val="0"/>
        <w:pageBreakBefore w:val="0"/>
        <w:widowControl w:val="0"/>
        <w:kinsoku/>
        <w:wordWrap/>
        <w:overflowPunct/>
        <w:topLinePunct w:val="0"/>
        <w:autoSpaceDE/>
        <w:autoSpaceDN/>
        <w:bidi w:val="0"/>
        <w:adjustRightInd/>
        <w:snapToGrid/>
        <w:spacing w:line="460" w:lineRule="exact"/>
        <w:ind w:firstLine="480" w:firstLineChars="200"/>
        <w:rPr>
          <w:rFonts w:ascii="Times New Roman" w:hAnsi="Times New Roman" w:cs="Times New Roman"/>
          <w:szCs w:val="24"/>
        </w:rPr>
      </w:pPr>
      <w:r>
        <w:rPr>
          <w:rFonts w:ascii="Times New Roman" w:hAnsi="Times New Roman" w:cs="Times New Roman"/>
          <w:szCs w:val="24"/>
        </w:rPr>
        <w:t>③</w:t>
      </w:r>
      <w:r>
        <w:rPr>
          <w:rFonts w:hint="eastAsia" w:ascii="Times New Roman" w:hAnsi="Times New Roman" w:cs="Times New Roman"/>
          <w:szCs w:val="24"/>
        </w:rPr>
        <w:t>简单防渗区</w:t>
      </w:r>
    </w:p>
    <w:p w14:paraId="0CF17CB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baseline"/>
        <w:rPr>
          <w:rFonts w:ascii="Times New Roman" w:hAnsi="Times New Roman" w:cs="Times New Roman"/>
          <w:szCs w:val="24"/>
        </w:rPr>
      </w:pPr>
      <w:r>
        <w:rPr>
          <w:rFonts w:ascii="Times New Roman" w:hAnsi="Times New Roman" w:cs="Times New Roman"/>
          <w:szCs w:val="24"/>
        </w:rPr>
        <w:t>指不会对地下水环境造成污染或者可能会产生轻微污染的其它建筑区，如</w:t>
      </w:r>
      <w:r>
        <w:rPr>
          <w:rFonts w:hint="eastAsia" w:ascii="Times New Roman" w:hAnsi="Times New Roman" w:cs="Times New Roman"/>
          <w:szCs w:val="24"/>
        </w:rPr>
        <w:t>办公活动室</w:t>
      </w:r>
      <w:r>
        <w:rPr>
          <w:rFonts w:ascii="Times New Roman" w:hAnsi="Times New Roman" w:cs="Times New Roman"/>
          <w:szCs w:val="24"/>
        </w:rPr>
        <w:t>、绿化区等，划为</w:t>
      </w:r>
      <w:r>
        <w:rPr>
          <w:rFonts w:hint="eastAsia" w:ascii="Times New Roman" w:hAnsi="Times New Roman" w:cs="Times New Roman"/>
          <w:szCs w:val="24"/>
        </w:rPr>
        <w:t>简单防渗区</w:t>
      </w:r>
      <w:r>
        <w:rPr>
          <w:rFonts w:ascii="Times New Roman" w:hAnsi="Times New Roman" w:cs="Times New Roman"/>
          <w:szCs w:val="24"/>
        </w:rPr>
        <w:t>。</w:t>
      </w:r>
    </w:p>
    <w:p w14:paraId="0CABCDF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baseline"/>
        <w:rPr>
          <w:rFonts w:ascii="Times New Roman" w:hAnsi="Times New Roman" w:cs="Times New Roman"/>
          <w:b/>
        </w:rPr>
      </w:pPr>
      <w:r>
        <w:rPr>
          <w:rFonts w:ascii="Times New Roman" w:hAnsi="Times New Roman" w:cs="Times New Roman"/>
          <w:szCs w:val="24"/>
        </w:rPr>
        <w:t>根据不同的分区采取相应的防渗措施，分区情况见表6.</w:t>
      </w:r>
      <w:r>
        <w:rPr>
          <w:rFonts w:hint="eastAsia" w:ascii="Times New Roman" w:hAnsi="Times New Roman" w:cs="Times New Roman"/>
          <w:szCs w:val="24"/>
        </w:rPr>
        <w:t>2</w:t>
      </w:r>
      <w:r>
        <w:rPr>
          <w:rFonts w:ascii="Times New Roman" w:hAnsi="Times New Roman" w:cs="Times New Roman"/>
          <w:szCs w:val="24"/>
        </w:rPr>
        <w:t>-</w:t>
      </w:r>
      <w:r>
        <w:rPr>
          <w:rFonts w:hint="eastAsia" w:ascii="Times New Roman" w:hAnsi="Times New Roman" w:cs="Times New Roman"/>
          <w:szCs w:val="24"/>
        </w:rPr>
        <w:t>1</w:t>
      </w:r>
      <w:r>
        <w:rPr>
          <w:rFonts w:hint="eastAsia" w:ascii="Times New Roman" w:hAnsi="Times New Roman" w:cs="Times New Roman"/>
          <w:szCs w:val="24"/>
          <w:lang w:val="en-US" w:eastAsia="zh-CN"/>
        </w:rPr>
        <w:t>0</w:t>
      </w:r>
      <w:r>
        <w:rPr>
          <w:rFonts w:hint="eastAsia" w:ascii="Times New Roman" w:hAnsi="Times New Roman" w:cs="Times New Roman"/>
          <w:szCs w:val="24"/>
        </w:rPr>
        <w:t>及</w:t>
      </w:r>
      <w:r>
        <w:rPr>
          <w:rFonts w:hint="eastAsia" w:ascii="Times New Roman" w:hAnsi="Times New Roman" w:cs="Times New Roman"/>
          <w:b/>
          <w:bCs/>
          <w:szCs w:val="24"/>
        </w:rPr>
        <w:t>图6.2-</w:t>
      </w:r>
      <w:r>
        <w:rPr>
          <w:rFonts w:hint="eastAsia" w:ascii="Times New Roman" w:hAnsi="Times New Roman" w:cs="Times New Roman"/>
          <w:b/>
          <w:bCs/>
          <w:szCs w:val="24"/>
          <w:lang w:val="en-US" w:eastAsia="zh-CN"/>
        </w:rPr>
        <w:t>5</w:t>
      </w:r>
      <w:r>
        <w:rPr>
          <w:rFonts w:ascii="Times New Roman" w:hAnsi="Times New Roman" w:cs="Times New Roman"/>
          <w:szCs w:val="24"/>
        </w:rPr>
        <w:t>。</w:t>
      </w:r>
    </w:p>
    <w:p w14:paraId="4DB878AD">
      <w:pPr>
        <w:keepNext w:val="0"/>
        <w:keepLines w:val="0"/>
        <w:pageBreakBefore w:val="0"/>
        <w:widowControl w:val="0"/>
        <w:kinsoku/>
        <w:wordWrap/>
        <w:overflowPunct/>
        <w:topLinePunct w:val="0"/>
        <w:autoSpaceDE/>
        <w:autoSpaceDN/>
        <w:bidi w:val="0"/>
        <w:adjustRightInd/>
        <w:snapToGrid/>
        <w:spacing w:line="460" w:lineRule="exact"/>
        <w:jc w:val="center"/>
        <w:rPr>
          <w:rFonts w:ascii="Times New Roman" w:hAnsi="Times New Roman" w:cs="Times New Roman"/>
          <w:b/>
          <w:szCs w:val="24"/>
        </w:rPr>
      </w:pPr>
      <w:r>
        <w:rPr>
          <w:rFonts w:ascii="Times New Roman" w:hAnsi="Times New Roman" w:cs="Times New Roman"/>
          <w:b/>
          <w:szCs w:val="24"/>
        </w:rPr>
        <w:t>表6.</w:t>
      </w:r>
      <w:r>
        <w:rPr>
          <w:rFonts w:hint="eastAsia" w:ascii="Times New Roman" w:hAnsi="Times New Roman" w:cs="Times New Roman"/>
          <w:b/>
          <w:szCs w:val="24"/>
        </w:rPr>
        <w:t>2</w:t>
      </w:r>
      <w:r>
        <w:rPr>
          <w:rFonts w:ascii="Times New Roman" w:hAnsi="Times New Roman" w:cs="Times New Roman"/>
          <w:b/>
          <w:szCs w:val="24"/>
        </w:rPr>
        <w:t>-</w:t>
      </w:r>
      <w:r>
        <w:rPr>
          <w:rFonts w:hint="eastAsia" w:ascii="Times New Roman" w:hAnsi="Times New Roman" w:cs="Times New Roman"/>
          <w:b/>
          <w:szCs w:val="24"/>
        </w:rPr>
        <w:t>1</w:t>
      </w:r>
      <w:r>
        <w:rPr>
          <w:rFonts w:hint="eastAsia" w:ascii="Times New Roman" w:hAnsi="Times New Roman" w:cs="Times New Roman"/>
          <w:b/>
          <w:szCs w:val="24"/>
          <w:lang w:val="en-US" w:eastAsia="zh-CN"/>
        </w:rPr>
        <w:t>0</w:t>
      </w:r>
      <w:r>
        <w:rPr>
          <w:rFonts w:hint="eastAsia" w:ascii="Times New Roman" w:hAnsi="Times New Roman" w:cs="Times New Roman"/>
          <w:b/>
          <w:szCs w:val="24"/>
        </w:rPr>
        <w:t>建设项目场区</w:t>
      </w:r>
      <w:r>
        <w:rPr>
          <w:rFonts w:ascii="Times New Roman" w:hAnsi="Times New Roman" w:cs="Times New Roman"/>
          <w:b/>
          <w:szCs w:val="24"/>
        </w:rPr>
        <w:t>防渗分区表</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13"/>
        <w:gridCol w:w="1606"/>
        <w:gridCol w:w="4047"/>
        <w:gridCol w:w="2902"/>
      </w:tblGrid>
      <w:tr w14:paraId="4AE74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83" w:type="pct"/>
            <w:tcMar>
              <w:left w:w="0" w:type="dxa"/>
              <w:right w:w="0" w:type="dxa"/>
            </w:tcMar>
            <w:vAlign w:val="center"/>
          </w:tcPr>
          <w:p w14:paraId="3E9A1D8A">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序号</w:t>
            </w:r>
          </w:p>
        </w:tc>
        <w:tc>
          <w:tcPr>
            <w:tcW w:w="885" w:type="pct"/>
            <w:tcMar>
              <w:left w:w="0" w:type="dxa"/>
              <w:right w:w="0" w:type="dxa"/>
            </w:tcMar>
            <w:vAlign w:val="center"/>
          </w:tcPr>
          <w:p w14:paraId="31AA2714">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项目</w:t>
            </w:r>
          </w:p>
        </w:tc>
        <w:tc>
          <w:tcPr>
            <w:tcW w:w="2230" w:type="pct"/>
            <w:tcMar>
              <w:left w:w="0" w:type="dxa"/>
              <w:right w:w="0" w:type="dxa"/>
            </w:tcMar>
            <w:vAlign w:val="center"/>
          </w:tcPr>
          <w:p w14:paraId="4E8767F0">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保护措施</w:t>
            </w:r>
          </w:p>
        </w:tc>
        <w:tc>
          <w:tcPr>
            <w:tcW w:w="1599" w:type="pct"/>
            <w:tcMar>
              <w:left w:w="0" w:type="dxa"/>
              <w:right w:w="0" w:type="dxa"/>
            </w:tcMar>
            <w:vAlign w:val="center"/>
          </w:tcPr>
          <w:p w14:paraId="7D3C7D43">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达到效果</w:t>
            </w:r>
          </w:p>
        </w:tc>
      </w:tr>
      <w:tr w14:paraId="40633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83" w:type="pct"/>
            <w:tcMar>
              <w:left w:w="0" w:type="dxa"/>
              <w:right w:w="0" w:type="dxa"/>
            </w:tcMar>
            <w:vAlign w:val="center"/>
          </w:tcPr>
          <w:p w14:paraId="0661936A">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885" w:type="pct"/>
            <w:tcMar>
              <w:left w:w="0" w:type="dxa"/>
              <w:right w:w="0" w:type="dxa"/>
            </w:tcMar>
            <w:vAlign w:val="center"/>
          </w:tcPr>
          <w:p w14:paraId="7219B704">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污水处理区、事故应急池</w:t>
            </w:r>
          </w:p>
        </w:tc>
        <w:tc>
          <w:tcPr>
            <w:tcW w:w="2230" w:type="pct"/>
            <w:tcMar>
              <w:left w:w="0" w:type="dxa"/>
              <w:right w:w="0" w:type="dxa"/>
            </w:tcMar>
            <w:vAlign w:val="center"/>
          </w:tcPr>
          <w:p w14:paraId="404A1CA5">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基层防渗，不小于300mm厚的粘土防护层，在清场夯压的基础上采用HDPE膜防渗，严格做好防渗措施</w:t>
            </w:r>
          </w:p>
        </w:tc>
        <w:tc>
          <w:tcPr>
            <w:tcW w:w="1599" w:type="pct"/>
            <w:vMerge w:val="restart"/>
            <w:tcMar>
              <w:left w:w="0" w:type="dxa"/>
              <w:right w:w="0" w:type="dxa"/>
            </w:tcMar>
            <w:vAlign w:val="center"/>
          </w:tcPr>
          <w:p w14:paraId="3401F44D">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污水处理区及事故应急池均符合《混凝土结构设计规范》（GB50010）的要求，具备“防渗、防雨、防溢”的三防措施；鸡粪临时堆场应具备防渗、防风、防雨的“三防”措施，雨污分流满足《畜禽养殖业污染防治技术规范》（HJ/T81-2001）要求</w:t>
            </w:r>
          </w:p>
        </w:tc>
      </w:tr>
      <w:tr w14:paraId="178FD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83" w:type="pct"/>
            <w:tcMar>
              <w:left w:w="0" w:type="dxa"/>
              <w:right w:w="0" w:type="dxa"/>
            </w:tcMar>
            <w:vAlign w:val="center"/>
          </w:tcPr>
          <w:p w14:paraId="2D83F654">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885" w:type="pct"/>
            <w:tcMar>
              <w:left w:w="0" w:type="dxa"/>
              <w:right w:w="0" w:type="dxa"/>
            </w:tcMar>
            <w:vAlign w:val="center"/>
          </w:tcPr>
          <w:p w14:paraId="760F0701">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鸡舍</w:t>
            </w:r>
          </w:p>
        </w:tc>
        <w:tc>
          <w:tcPr>
            <w:tcW w:w="2230" w:type="pct"/>
            <w:tcMar>
              <w:left w:w="0" w:type="dxa"/>
              <w:right w:w="0" w:type="dxa"/>
            </w:tcMar>
            <w:vAlign w:val="center"/>
          </w:tcPr>
          <w:p w14:paraId="36C07368">
            <w:pPr>
              <w:tabs>
                <w:tab w:val="right" w:leader="dot" w:pos="8647"/>
              </w:tabs>
              <w:spacing w:line="300" w:lineRule="exact"/>
              <w:jc w:val="center"/>
              <w:rPr>
                <w:rFonts w:ascii="Times New Roman" w:hAnsi="Times New Roman" w:eastAsia="宋体" w:cs="Times New Roman"/>
                <w:bCs/>
                <w:sz w:val="21"/>
                <w:szCs w:val="21"/>
              </w:rPr>
            </w:pPr>
            <w:bookmarkStart w:id="182" w:name="_Hlk497341778"/>
            <w:r>
              <w:rPr>
                <w:rFonts w:ascii="Times New Roman" w:hAnsi="Times New Roman" w:eastAsia="宋体" w:cs="Times New Roman"/>
                <w:bCs/>
                <w:sz w:val="21"/>
                <w:szCs w:val="21"/>
              </w:rPr>
              <w:t>基层防渗，不小于1.0m厚的粘土防护层，采用混凝土防渗措施</w:t>
            </w:r>
            <w:bookmarkEnd w:id="182"/>
          </w:p>
        </w:tc>
        <w:tc>
          <w:tcPr>
            <w:tcW w:w="1599" w:type="pct"/>
            <w:vMerge w:val="continue"/>
            <w:tcMar>
              <w:left w:w="0" w:type="dxa"/>
              <w:right w:w="0" w:type="dxa"/>
            </w:tcMar>
            <w:vAlign w:val="center"/>
          </w:tcPr>
          <w:p w14:paraId="28003608">
            <w:pPr>
              <w:tabs>
                <w:tab w:val="right" w:leader="dot" w:pos="8647"/>
              </w:tabs>
              <w:spacing w:line="300" w:lineRule="exact"/>
              <w:jc w:val="center"/>
              <w:rPr>
                <w:rFonts w:ascii="Times New Roman" w:hAnsi="Times New Roman" w:eastAsia="宋体" w:cs="Times New Roman"/>
                <w:bCs/>
                <w:sz w:val="21"/>
                <w:szCs w:val="21"/>
              </w:rPr>
            </w:pPr>
          </w:p>
        </w:tc>
      </w:tr>
      <w:tr w14:paraId="57FBF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83" w:type="pct"/>
            <w:tcMar>
              <w:left w:w="0" w:type="dxa"/>
              <w:right w:w="0" w:type="dxa"/>
            </w:tcMar>
            <w:vAlign w:val="center"/>
          </w:tcPr>
          <w:p w14:paraId="7584FAD8">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885" w:type="pct"/>
            <w:tcMar>
              <w:left w:w="0" w:type="dxa"/>
              <w:right w:w="0" w:type="dxa"/>
            </w:tcMar>
            <w:vAlign w:val="center"/>
          </w:tcPr>
          <w:p w14:paraId="0EE8BA89">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鸡粪临时堆场</w:t>
            </w:r>
          </w:p>
        </w:tc>
        <w:tc>
          <w:tcPr>
            <w:tcW w:w="2230" w:type="pct"/>
            <w:tcMar>
              <w:left w:w="0" w:type="dxa"/>
              <w:right w:w="0" w:type="dxa"/>
            </w:tcMar>
            <w:vAlign w:val="center"/>
          </w:tcPr>
          <w:p w14:paraId="7FE1C6A4">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地基垫层可采用450mm的混垫层，并按照水压计算设计地面防渗层，可采用抗渗标号为S30的钢筋混凝土结构，厚度为300mm，底面和池壁壁面铺设HDPE(高密度聚乙烯)，采用该措施后，其渗透系数不大于1.0×10</w:t>
            </w:r>
            <w:r>
              <w:rPr>
                <w:rFonts w:ascii="Times New Roman" w:hAnsi="Times New Roman" w:eastAsia="宋体" w:cs="Times New Roman"/>
                <w:bCs/>
                <w:sz w:val="21"/>
                <w:szCs w:val="21"/>
                <w:vertAlign w:val="superscript"/>
              </w:rPr>
              <w:t>-10</w:t>
            </w:r>
            <w:r>
              <w:rPr>
                <w:rFonts w:ascii="Times New Roman" w:hAnsi="Times New Roman" w:eastAsia="宋体" w:cs="Times New Roman"/>
                <w:bCs/>
                <w:sz w:val="21"/>
                <w:szCs w:val="21"/>
              </w:rPr>
              <w:t>cm/s</w:t>
            </w:r>
          </w:p>
        </w:tc>
        <w:tc>
          <w:tcPr>
            <w:tcW w:w="1599" w:type="pct"/>
            <w:vMerge w:val="continue"/>
            <w:tcMar>
              <w:left w:w="0" w:type="dxa"/>
              <w:right w:w="0" w:type="dxa"/>
            </w:tcMar>
            <w:vAlign w:val="center"/>
          </w:tcPr>
          <w:p w14:paraId="3721454A">
            <w:pPr>
              <w:tabs>
                <w:tab w:val="right" w:leader="dot" w:pos="8647"/>
              </w:tabs>
              <w:spacing w:line="300" w:lineRule="exact"/>
              <w:jc w:val="center"/>
              <w:rPr>
                <w:rFonts w:ascii="Times New Roman" w:hAnsi="Times New Roman" w:eastAsia="宋体" w:cs="Times New Roman"/>
                <w:bCs/>
                <w:sz w:val="21"/>
                <w:szCs w:val="21"/>
              </w:rPr>
            </w:pPr>
          </w:p>
        </w:tc>
      </w:tr>
      <w:tr w14:paraId="1C468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83" w:type="pct"/>
            <w:tcMar>
              <w:left w:w="0" w:type="dxa"/>
              <w:right w:w="0" w:type="dxa"/>
            </w:tcMar>
            <w:vAlign w:val="center"/>
          </w:tcPr>
          <w:p w14:paraId="52A16CF2">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885" w:type="pct"/>
            <w:tcMar>
              <w:left w:w="0" w:type="dxa"/>
              <w:right w:w="0" w:type="dxa"/>
            </w:tcMar>
            <w:vAlign w:val="center"/>
          </w:tcPr>
          <w:p w14:paraId="11934C07">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场区污水管网</w:t>
            </w:r>
          </w:p>
        </w:tc>
        <w:tc>
          <w:tcPr>
            <w:tcW w:w="2230" w:type="pct"/>
            <w:tcMar>
              <w:left w:w="0" w:type="dxa"/>
              <w:right w:w="0" w:type="dxa"/>
            </w:tcMar>
            <w:vAlign w:val="center"/>
          </w:tcPr>
          <w:p w14:paraId="2B11C078">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雨污分流、按照畜禽养殖业污染防治技术规范要求进行建设，采用暗管输送。</w:t>
            </w:r>
          </w:p>
        </w:tc>
        <w:tc>
          <w:tcPr>
            <w:tcW w:w="1599" w:type="pct"/>
            <w:vMerge w:val="continue"/>
            <w:tcMar>
              <w:left w:w="0" w:type="dxa"/>
              <w:right w:w="0" w:type="dxa"/>
            </w:tcMar>
            <w:vAlign w:val="center"/>
          </w:tcPr>
          <w:p w14:paraId="3F4CE880">
            <w:pPr>
              <w:tabs>
                <w:tab w:val="right" w:leader="dot" w:pos="8647"/>
              </w:tabs>
              <w:spacing w:line="300" w:lineRule="exact"/>
              <w:jc w:val="center"/>
              <w:rPr>
                <w:rFonts w:ascii="Times New Roman" w:hAnsi="Times New Roman" w:eastAsia="宋体" w:cs="Times New Roman"/>
                <w:bCs/>
                <w:sz w:val="21"/>
                <w:szCs w:val="21"/>
              </w:rPr>
            </w:pPr>
          </w:p>
        </w:tc>
      </w:tr>
      <w:tr w14:paraId="4A3AA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83" w:type="pct"/>
            <w:tcMar>
              <w:left w:w="0" w:type="dxa"/>
              <w:right w:w="0" w:type="dxa"/>
            </w:tcMar>
            <w:vAlign w:val="center"/>
          </w:tcPr>
          <w:p w14:paraId="7D912EC1">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885" w:type="pct"/>
            <w:tcMar>
              <w:left w:w="0" w:type="dxa"/>
              <w:right w:w="0" w:type="dxa"/>
            </w:tcMar>
            <w:vAlign w:val="center"/>
          </w:tcPr>
          <w:p w14:paraId="121BEB85">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危废暂存间</w:t>
            </w:r>
          </w:p>
        </w:tc>
        <w:tc>
          <w:tcPr>
            <w:tcW w:w="2230" w:type="pct"/>
            <w:tcMar>
              <w:left w:w="0" w:type="dxa"/>
              <w:right w:w="0" w:type="dxa"/>
            </w:tcMar>
            <w:vAlign w:val="center"/>
          </w:tcPr>
          <w:p w14:paraId="59D98A15">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防渗层为至少1米厚粘土层，另外再采用混凝土地坪，渗透系数≤10</w:t>
            </w:r>
            <w:r>
              <w:rPr>
                <w:rFonts w:ascii="Times New Roman" w:hAnsi="Times New Roman" w:eastAsia="宋体" w:cs="Times New Roman"/>
                <w:bCs/>
                <w:sz w:val="21"/>
                <w:szCs w:val="21"/>
                <w:vertAlign w:val="superscript"/>
              </w:rPr>
              <w:t>-7</w:t>
            </w:r>
            <w:r>
              <w:rPr>
                <w:rFonts w:ascii="Times New Roman" w:hAnsi="Times New Roman" w:eastAsia="宋体" w:cs="Times New Roman"/>
                <w:bCs/>
                <w:sz w:val="21"/>
                <w:szCs w:val="21"/>
              </w:rPr>
              <w:t>cm/s，</w:t>
            </w:r>
          </w:p>
        </w:tc>
        <w:tc>
          <w:tcPr>
            <w:tcW w:w="1599" w:type="pct"/>
            <w:tcMar>
              <w:left w:w="0" w:type="dxa"/>
              <w:right w:w="0" w:type="dxa"/>
            </w:tcMar>
            <w:vAlign w:val="center"/>
          </w:tcPr>
          <w:p w14:paraId="1023875E">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符合《危险废物贮存污染控制标准》（GB18597-2023）要求</w:t>
            </w:r>
          </w:p>
        </w:tc>
      </w:tr>
      <w:tr w14:paraId="2E02E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83" w:type="pct"/>
            <w:tcMar>
              <w:left w:w="0" w:type="dxa"/>
              <w:right w:w="0" w:type="dxa"/>
            </w:tcMar>
            <w:vAlign w:val="center"/>
          </w:tcPr>
          <w:p w14:paraId="410FA679">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885" w:type="pct"/>
            <w:tcMar>
              <w:left w:w="0" w:type="dxa"/>
              <w:right w:w="0" w:type="dxa"/>
            </w:tcMar>
            <w:vAlign w:val="center"/>
          </w:tcPr>
          <w:p w14:paraId="3B5EE8FF">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仓储区、一般固废仓库</w:t>
            </w:r>
          </w:p>
        </w:tc>
        <w:tc>
          <w:tcPr>
            <w:tcW w:w="2230" w:type="pct"/>
            <w:tcMar>
              <w:left w:w="0" w:type="dxa"/>
              <w:right w:w="0" w:type="dxa"/>
            </w:tcMar>
            <w:vAlign w:val="center"/>
          </w:tcPr>
          <w:p w14:paraId="14FA10EF">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仓储区、一般固废仓库</w:t>
            </w:r>
            <w:r>
              <w:rPr>
                <w:rFonts w:ascii="Times New Roman" w:hAnsi="Times New Roman" w:eastAsia="宋体" w:cs="Times New Roman"/>
                <w:bCs/>
                <w:sz w:val="21"/>
                <w:szCs w:val="21"/>
                <w:lang w:val="zh-CN"/>
              </w:rPr>
              <w:t>等一般污染区的地面均采用水泥硬化，</w:t>
            </w:r>
            <w:r>
              <w:rPr>
                <w:rFonts w:ascii="Times New Roman" w:hAnsi="Times New Roman" w:eastAsia="宋体" w:cs="Times New Roman"/>
                <w:bCs/>
                <w:sz w:val="21"/>
                <w:szCs w:val="21"/>
              </w:rPr>
              <w:t>其渗透系数不大于1.0×10</w:t>
            </w:r>
            <w:r>
              <w:rPr>
                <w:rFonts w:ascii="Times New Roman" w:hAnsi="Times New Roman" w:eastAsia="宋体" w:cs="Times New Roman"/>
                <w:bCs/>
                <w:sz w:val="21"/>
                <w:szCs w:val="21"/>
                <w:vertAlign w:val="superscript"/>
              </w:rPr>
              <w:t>-7</w:t>
            </w:r>
            <w:r>
              <w:rPr>
                <w:rFonts w:ascii="Times New Roman" w:hAnsi="Times New Roman" w:eastAsia="宋体" w:cs="Times New Roman"/>
                <w:bCs/>
                <w:sz w:val="21"/>
                <w:szCs w:val="21"/>
              </w:rPr>
              <w:t>cm/s，相当于不小于1.5m厚的粘土防护层</w:t>
            </w:r>
          </w:p>
        </w:tc>
        <w:tc>
          <w:tcPr>
            <w:tcW w:w="1599" w:type="pct"/>
            <w:tcMar>
              <w:left w:w="0" w:type="dxa"/>
              <w:right w:w="0" w:type="dxa"/>
            </w:tcMar>
            <w:vAlign w:val="center"/>
          </w:tcPr>
          <w:p w14:paraId="2F365792">
            <w:pPr>
              <w:tabs>
                <w:tab w:val="right" w:leader="dot" w:pos="8647"/>
              </w:tabs>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lang w:val="zh-CN"/>
              </w:rPr>
              <w:t>其防渗效果(即允许最大渗漏水量)为0.06~0.17m</w:t>
            </w:r>
            <w:r>
              <w:rPr>
                <w:rFonts w:ascii="Times New Roman" w:hAnsi="Times New Roman" w:eastAsia="宋体" w:cs="Times New Roman"/>
                <w:bCs/>
                <w:sz w:val="21"/>
                <w:szCs w:val="21"/>
                <w:vertAlign w:val="superscript"/>
                <w:lang w:val="zh-CN"/>
              </w:rPr>
              <w:t>3</w:t>
            </w:r>
            <w:r>
              <w:rPr>
                <w:rFonts w:ascii="Times New Roman" w:hAnsi="Times New Roman" w:eastAsia="宋体" w:cs="Times New Roman"/>
                <w:bCs/>
                <w:sz w:val="21"/>
                <w:szCs w:val="21"/>
                <w:lang w:val="zh-CN"/>
              </w:rPr>
              <w:t>/(m</w:t>
            </w:r>
            <w:r>
              <w:rPr>
                <w:rFonts w:ascii="Times New Roman" w:hAnsi="Times New Roman" w:eastAsia="宋体" w:cs="Times New Roman"/>
                <w:bCs/>
                <w:sz w:val="21"/>
                <w:szCs w:val="21"/>
                <w:vertAlign w:val="superscript"/>
                <w:lang w:val="zh-CN"/>
              </w:rPr>
              <w:t>2</w:t>
            </w:r>
            <w:r>
              <w:rPr>
                <w:rFonts w:ascii="Times New Roman" w:hAnsi="Times New Roman" w:eastAsia="宋体" w:cs="Times New Roman"/>
                <w:bCs/>
                <w:sz w:val="21"/>
                <w:szCs w:val="21"/>
                <w:lang w:val="zh-CN"/>
              </w:rPr>
              <w:t>•d)，使用年限为8~30年</w:t>
            </w:r>
          </w:p>
        </w:tc>
      </w:tr>
    </w:tbl>
    <w:p w14:paraId="429DC52C">
      <w:pPr>
        <w:pageBreakBefore w:val="0"/>
        <w:widowControl w:val="0"/>
        <w:kinsoku/>
        <w:wordWrap/>
        <w:overflowPunct/>
        <w:topLinePunct w:val="0"/>
        <w:autoSpaceDE/>
        <w:autoSpaceDN/>
        <w:bidi w:val="0"/>
        <w:adjustRightInd/>
        <w:snapToGrid/>
        <w:spacing w:line="500" w:lineRule="exact"/>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（3）防渗区域填土垫高措施</w:t>
      </w:r>
    </w:p>
    <w:p w14:paraId="1AD38AF7">
      <w:pPr>
        <w:pageBreakBefore w:val="0"/>
        <w:widowControl w:val="0"/>
        <w:kinsoku/>
        <w:wordWrap/>
        <w:overflowPunct/>
        <w:topLinePunct w:val="0"/>
        <w:autoSpaceDE/>
        <w:autoSpaceDN/>
        <w:bidi w:val="0"/>
        <w:adjustRightInd/>
        <w:snapToGrid/>
        <w:spacing w:line="500" w:lineRule="exact"/>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根据《一般工业固体废物贮存和填埋污染控制标准》（GB18599-2020），场地应选在防渗性能好的地基上，天然基础层地表距地下水位的距离不得小于1.5m。因此，为了满足标准要求，拟建项目采取以下两方面的措施：</w:t>
      </w:r>
    </w:p>
    <w:p w14:paraId="0E154679">
      <w:pPr>
        <w:pageBreakBefore w:val="0"/>
        <w:widowControl w:val="0"/>
        <w:kinsoku/>
        <w:wordWrap/>
        <w:overflowPunct/>
        <w:topLinePunct w:val="0"/>
        <w:autoSpaceDE/>
        <w:autoSpaceDN/>
        <w:bidi w:val="0"/>
        <w:adjustRightInd/>
        <w:snapToGrid/>
        <w:spacing w:line="500" w:lineRule="exact"/>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1）在防渗区域平整过程中通过填土的方式增加表土层距离地下水位的距离，确保表土层距离地下水位的距离不得小于1.5m，并在表土层上直接做防渗处理。</w:t>
      </w:r>
    </w:p>
    <w:p w14:paraId="1387A133">
      <w:pPr>
        <w:pageBreakBefore w:val="0"/>
        <w:widowControl w:val="0"/>
        <w:kinsoku/>
        <w:wordWrap/>
        <w:overflowPunct/>
        <w:topLinePunct w:val="0"/>
        <w:autoSpaceDE/>
        <w:autoSpaceDN/>
        <w:bidi w:val="0"/>
        <w:adjustRightInd/>
        <w:snapToGrid/>
        <w:spacing w:line="500" w:lineRule="exact"/>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2）为了防止地下水对防渗膜的顶托而使膜易受破坏，须将厂区地下水及时导出，使地下水水位低于防渗结构层的标高，故设计在水平防渗膜底下设置地下水集排系统。顺应天然地下水流向，设置的地下水集排系统总体方向为由北向南，在防渗层下面设置了土工复合排水网，使每个防渗部位的地下水都可以及时导出。</w:t>
      </w:r>
    </w:p>
    <w:p w14:paraId="48F2F541">
      <w:pPr>
        <w:pageBreakBefore w:val="0"/>
        <w:widowControl w:val="0"/>
        <w:kinsoku/>
        <w:wordWrap/>
        <w:overflowPunct/>
        <w:topLinePunct w:val="0"/>
        <w:autoSpaceDE/>
        <w:autoSpaceDN/>
        <w:bidi w:val="0"/>
        <w:adjustRightInd/>
        <w:snapToGrid/>
        <w:spacing w:line="500" w:lineRule="exact"/>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本环评要求项目建设单位严格做好防渗、防泄漏措施，对于偶然泄漏的污水进行收集和处理，防止泄漏污水污染地下水的事件发生。此外，为预防地下水体污染，应建立地下水污染预警系统，在本项目场区内设置监控井，定期对地下水进行监测，防止本项目对地下水产生不利影响。</w:t>
      </w:r>
    </w:p>
    <w:p w14:paraId="4E169D4C">
      <w:pPr>
        <w:pageBreakBefore w:val="0"/>
        <w:widowControl w:val="0"/>
        <w:kinsoku/>
        <w:wordWrap/>
        <w:overflowPunct/>
        <w:topLinePunct w:val="0"/>
        <w:autoSpaceDE/>
        <w:autoSpaceDN/>
        <w:bidi w:val="0"/>
        <w:adjustRightInd/>
        <w:snapToGrid/>
        <w:spacing w:line="500" w:lineRule="exact"/>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综上所述，本项目地下水污染防治措施可行。</w:t>
      </w:r>
    </w:p>
    <w:p w14:paraId="656BA645">
      <w:pPr>
        <w:pStyle w:val="7"/>
        <w:pageBreakBefore w:val="0"/>
        <w:widowControl w:val="0"/>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.2.6 </w:t>
      </w:r>
      <w:r>
        <w:rPr>
          <w:rFonts w:hint="eastAsia"/>
          <w:color w:val="000000" w:themeColor="text1"/>
          <w14:textFill>
            <w14:solidFill>
              <w14:schemeClr w14:val="tx1"/>
            </w14:solidFill>
          </w14:textFill>
        </w:rPr>
        <w:t>环境风险防范措施和应急预案</w:t>
      </w:r>
    </w:p>
    <w:p w14:paraId="6D9BD252">
      <w:pPr>
        <w:pageBreakBefore w:val="0"/>
        <w:widowControl w:val="0"/>
        <w:kinsoku/>
        <w:wordWrap/>
        <w:overflowPunct/>
        <w:topLinePunct w:val="0"/>
        <w:autoSpaceDE/>
        <w:autoSpaceDN/>
        <w:bidi w:val="0"/>
        <w:adjustRightInd/>
        <w:snapToGrid/>
        <w:spacing w:line="500" w:lineRule="exact"/>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根据建设项目环境风险分析的结果，对建设项目进行风险管理，采取有关的风险防范措施以降低事故的发生概率，建立事故应急预案以减轻事故的危害后果，尽最大可能地降低项目的环境风险。</w:t>
      </w:r>
    </w:p>
    <w:p w14:paraId="1D0A23D6">
      <w:pPr>
        <w:pStyle w:val="8"/>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.2.6.1 </w:t>
      </w:r>
      <w:r>
        <w:rPr>
          <w:rFonts w:hint="eastAsia"/>
          <w:color w:val="000000" w:themeColor="text1"/>
          <w14:textFill>
            <w14:solidFill>
              <w14:schemeClr w14:val="tx1"/>
            </w14:solidFill>
          </w14:textFill>
        </w:rPr>
        <w:t>环境风险防范措施</w:t>
      </w:r>
    </w:p>
    <w:p w14:paraId="4AFBA948">
      <w:pPr>
        <w:spacing w:line="480" w:lineRule="exact"/>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1、总图布置</w:t>
      </w:r>
    </w:p>
    <w:p w14:paraId="49669EA5">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总图布置要按照功能区分区布置，各功能区之间设置环形通道，并与厂外道路连接，利于安全疏散和消防。厂区人流和货运流明确分开，不与人流及其它货流混行或平交。消防道路的路面宽度不小于6m，路面内缘转弯半径不宜小于12m，路面上净空高度不应低于5m。</w:t>
      </w:r>
    </w:p>
    <w:p w14:paraId="4117B8B6">
      <w:pPr>
        <w:spacing w:line="480" w:lineRule="exact"/>
        <w:ind w:firstLine="482" w:firstLineChars="200"/>
        <w:rPr>
          <w:b/>
          <w:bCs/>
          <w:color w:val="000000" w:themeColor="text1"/>
          <w14:textFill>
            <w14:solidFill>
              <w14:schemeClr w14:val="tx1"/>
            </w14:solidFill>
          </w14:textFill>
        </w:rPr>
      </w:pPr>
      <w:bookmarkStart w:id="183" w:name="_Toc18107"/>
      <w:bookmarkStart w:id="184" w:name="_Toc15770"/>
      <w:r>
        <w:rPr>
          <w:rFonts w:hint="eastAsia"/>
          <w:b/>
          <w:bCs/>
          <w:color w:val="000000" w:themeColor="text1"/>
          <w14:textFill>
            <w14:solidFill>
              <w14:schemeClr w14:val="tx1"/>
            </w14:solidFill>
          </w14:textFill>
        </w:rPr>
        <w:t>2、柴油泄漏风险防范措施</w:t>
      </w:r>
      <w:bookmarkEnd w:id="183"/>
      <w:bookmarkEnd w:id="184"/>
    </w:p>
    <w:p w14:paraId="7021F566">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本项目备用发电机涉及到柴油的使用，项目运营过程必须严格按照柴油使用的操作规程进行。由于环境风险具有突发性和破坏性（有时体现为灾难性）的特点，所以必须采取有效措施加以防范，加强控制和管理，杜绝、减轻和避免环境风险。具体防范措施如下： </w:t>
      </w:r>
    </w:p>
    <w:p w14:paraId="3ECA0B48">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（1）防火</w:t>
      </w:r>
    </w:p>
    <w:p w14:paraId="1AAEA935">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①涉及柴油输送的工艺管道上设有专业安全阀；</w:t>
      </w:r>
    </w:p>
    <w:p w14:paraId="3E34CC1D">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②关键阀门选用先进阀门，以减少跑冒滴漏的可能性；</w:t>
      </w:r>
    </w:p>
    <w:p w14:paraId="397391C1">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③柴油储桶周边设置禁火区，进入禁火区域工作人员必须穿防静电鞋和防静电服，严禁携带打火机、火柴，不准使用能产生火花的工具；</w:t>
      </w:r>
    </w:p>
    <w:p w14:paraId="3C8CA8AB">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④项目围墙外围张贴安全警示语，预防周边居民于项目周边旱地燃烧作物等。</w:t>
      </w:r>
    </w:p>
    <w:p w14:paraId="55058A40">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（2）防泄漏</w:t>
      </w:r>
    </w:p>
    <w:p w14:paraId="58F37487">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①可燃气体泄漏浓度检测系统</w:t>
      </w:r>
    </w:p>
    <w:p w14:paraId="4E157182">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柴油发电机房设置可燃气体泄漏浓度检测探头，当出现可燃气体泄漏时，自动发出报警，便于操作人员及时采取措施。</w:t>
      </w:r>
    </w:p>
    <w:p w14:paraId="6CF3B011">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②闭路电视监视系统</w:t>
      </w:r>
    </w:p>
    <w:p w14:paraId="3A040632">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在柴油发电机房设置监视摄像头，用于实时图像监视油桶、阀门、管线情况，及时发现事故隐患。</w:t>
      </w:r>
    </w:p>
    <w:p w14:paraId="6AA7DA0A">
      <w:pPr>
        <w:pStyle w:val="48"/>
        <w:adjustRightInd/>
        <w:snapToGrid/>
        <w:spacing w:line="480" w:lineRule="exact"/>
        <w:ind w:firstLine="482"/>
        <w:outlineLvl w:val="1"/>
        <w:rPr>
          <w:rStyle w:val="111"/>
          <w:b/>
          <w:bCs/>
        </w:rPr>
      </w:pPr>
      <w:bookmarkStart w:id="185" w:name="_Toc19545"/>
      <w:bookmarkStart w:id="186" w:name="_Toc7459"/>
      <w:bookmarkStart w:id="187" w:name="_Toc25675"/>
      <w:r>
        <w:rPr>
          <w:rStyle w:val="111"/>
          <w:rFonts w:hint="eastAsia"/>
          <w:b/>
          <w:bCs/>
        </w:rPr>
        <w:t>3</w:t>
      </w:r>
      <w:r>
        <w:rPr>
          <w:rStyle w:val="111"/>
          <w:b/>
          <w:bCs/>
        </w:rPr>
        <w:t>、饲养及病死</w:t>
      </w:r>
      <w:r>
        <w:rPr>
          <w:rStyle w:val="111"/>
          <w:rFonts w:hint="eastAsia"/>
          <w:b/>
          <w:bCs/>
        </w:rPr>
        <w:t>鸡</w:t>
      </w:r>
      <w:r>
        <w:rPr>
          <w:rStyle w:val="111"/>
          <w:b/>
          <w:bCs/>
        </w:rPr>
        <w:t>尸体处置</w:t>
      </w:r>
      <w:r>
        <w:rPr>
          <w:rStyle w:val="111"/>
          <w:rFonts w:hint="eastAsia"/>
          <w:b/>
          <w:bCs/>
        </w:rPr>
        <w:t>风险</w:t>
      </w:r>
      <w:r>
        <w:rPr>
          <w:rStyle w:val="111"/>
          <w:b/>
          <w:bCs/>
        </w:rPr>
        <w:t>防范措施</w:t>
      </w:r>
      <w:bookmarkEnd w:id="185"/>
      <w:bookmarkEnd w:id="186"/>
      <w:bookmarkEnd w:id="187"/>
    </w:p>
    <w:p w14:paraId="5EF25AAB">
      <w:pPr>
        <w:pStyle w:val="48"/>
        <w:adjustRightInd/>
        <w:snapToGrid/>
        <w:spacing w:line="480" w:lineRule="exact"/>
        <w:rPr>
          <w:rStyle w:val="111"/>
        </w:rPr>
      </w:pPr>
      <w:r>
        <w:rPr>
          <w:rStyle w:val="111"/>
        </w:rPr>
        <w:t>由于病死</w:t>
      </w:r>
      <w:r>
        <w:rPr>
          <w:rStyle w:val="111"/>
          <w:rFonts w:hint="eastAsia"/>
        </w:rPr>
        <w:t>鸡</w:t>
      </w:r>
      <w:r>
        <w:rPr>
          <w:rStyle w:val="111"/>
        </w:rPr>
        <w:t>的尸体上携带有一定量的病菌，如不加以处理会使病菌得以传播，对周围环境产生一定</w:t>
      </w:r>
      <w:r>
        <w:rPr>
          <w:rStyle w:val="111"/>
          <w:rFonts w:hint="eastAsia"/>
        </w:rPr>
        <w:t>的</w:t>
      </w:r>
      <w:r>
        <w:rPr>
          <w:rStyle w:val="111"/>
        </w:rPr>
        <w:t>影响。为降低病死</w:t>
      </w:r>
      <w:r>
        <w:rPr>
          <w:rStyle w:val="111"/>
          <w:rFonts w:hint="eastAsia"/>
        </w:rPr>
        <w:t>鸡</w:t>
      </w:r>
      <w:r>
        <w:rPr>
          <w:rStyle w:val="111"/>
        </w:rPr>
        <w:t>对周围环境的影响，需采取严格的安全防范措施。</w:t>
      </w:r>
    </w:p>
    <w:p w14:paraId="1B55BCCB">
      <w:pPr>
        <w:pStyle w:val="48"/>
        <w:adjustRightInd/>
        <w:snapToGrid/>
        <w:spacing w:line="480" w:lineRule="exact"/>
        <w:rPr>
          <w:rStyle w:val="111"/>
        </w:rPr>
      </w:pPr>
      <w:r>
        <w:rPr>
          <w:rStyle w:val="111"/>
          <w:rFonts w:hint="eastAsia"/>
        </w:rPr>
        <w:t>①</w:t>
      </w:r>
      <w:r>
        <w:rPr>
          <w:rStyle w:val="111"/>
        </w:rPr>
        <w:t>应定期检查</w:t>
      </w:r>
      <w:r>
        <w:rPr>
          <w:rStyle w:val="111"/>
          <w:rFonts w:hint="eastAsia"/>
        </w:rPr>
        <w:t>鸡</w:t>
      </w:r>
      <w:r>
        <w:rPr>
          <w:rStyle w:val="111"/>
        </w:rPr>
        <w:t>群健康状况，做到及时发现、及时隔离、及时救治，严格控制疾病大面积传播。</w:t>
      </w:r>
    </w:p>
    <w:p w14:paraId="71427FD2">
      <w:pPr>
        <w:pStyle w:val="48"/>
        <w:adjustRightInd/>
        <w:snapToGrid/>
        <w:spacing w:line="480" w:lineRule="exact"/>
        <w:rPr>
          <w:rStyle w:val="111"/>
        </w:rPr>
      </w:pPr>
      <w:r>
        <w:rPr>
          <w:rStyle w:val="111"/>
        </w:rPr>
        <w:t>实践证明，通过科学饲养管理及积极防疫，防患未然，才符合自然规律。</w:t>
      </w:r>
    </w:p>
    <w:p w14:paraId="714E754A">
      <w:pPr>
        <w:pStyle w:val="48"/>
        <w:adjustRightInd/>
        <w:snapToGrid/>
        <w:spacing w:line="480" w:lineRule="exact"/>
        <w:rPr>
          <w:rStyle w:val="111"/>
        </w:rPr>
      </w:pPr>
      <w:r>
        <w:rPr>
          <w:rStyle w:val="111"/>
          <w:rFonts w:hint="eastAsia"/>
        </w:rPr>
        <w:t>②</w:t>
      </w:r>
      <w:r>
        <w:rPr>
          <w:rStyle w:val="111"/>
        </w:rPr>
        <w:t>病死</w:t>
      </w:r>
      <w:r>
        <w:rPr>
          <w:rStyle w:val="111"/>
          <w:rFonts w:hint="eastAsia"/>
        </w:rPr>
        <w:t>鸡</w:t>
      </w:r>
      <w:r>
        <w:rPr>
          <w:rStyle w:val="111"/>
        </w:rPr>
        <w:t>严格执行无害化处理的章程，委托</w:t>
      </w:r>
      <w:r>
        <w:rPr>
          <w:rFonts w:hint="eastAsia" w:eastAsia="宋体" w:cs="Times New Roman"/>
          <w:bCs/>
          <w:szCs w:val="24"/>
        </w:rPr>
        <w:t>泗阳北斗星动物无害化处理有限公司</w:t>
      </w:r>
      <w:r>
        <w:rPr>
          <w:rStyle w:val="111"/>
        </w:rPr>
        <w:t>进行处置。</w:t>
      </w:r>
    </w:p>
    <w:p w14:paraId="6FA2029A">
      <w:pPr>
        <w:pStyle w:val="48"/>
        <w:adjustRightInd/>
        <w:snapToGrid/>
        <w:spacing w:line="480" w:lineRule="exact"/>
        <w:rPr>
          <w:rStyle w:val="111"/>
        </w:rPr>
      </w:pPr>
      <w:r>
        <w:rPr>
          <w:rStyle w:val="111"/>
          <w:rFonts w:hint="eastAsia"/>
        </w:rPr>
        <w:t>③</w:t>
      </w:r>
      <w:r>
        <w:rPr>
          <w:rStyle w:val="111"/>
        </w:rPr>
        <w:t>加强对职工的思想教育，以提高工作人员的责任心和工作主动性；操作人员要进行岗位系统培训，熟悉工作程序、规程、加强岗位责任制；对事故易发生部位，除本岗工人及时检查外，应设安全巡检员，及时发现问题解决问题。</w:t>
      </w:r>
    </w:p>
    <w:p w14:paraId="19879B3D">
      <w:pPr>
        <w:pStyle w:val="48"/>
        <w:adjustRightInd/>
        <w:snapToGrid/>
        <w:spacing w:line="480" w:lineRule="exact"/>
        <w:ind w:firstLine="482"/>
        <w:outlineLvl w:val="1"/>
        <w:rPr>
          <w:rStyle w:val="111"/>
          <w:b/>
          <w:bCs/>
        </w:rPr>
      </w:pPr>
      <w:bookmarkStart w:id="188" w:name="_Toc5199"/>
      <w:bookmarkStart w:id="189" w:name="_Toc4920"/>
      <w:bookmarkStart w:id="190" w:name="_Toc29749"/>
      <w:r>
        <w:rPr>
          <w:rStyle w:val="111"/>
          <w:rFonts w:hint="eastAsia"/>
          <w:b/>
          <w:bCs/>
        </w:rPr>
        <w:t>4</w:t>
      </w:r>
      <w:r>
        <w:rPr>
          <w:rStyle w:val="111"/>
          <w:b/>
          <w:bCs/>
        </w:rPr>
        <w:t>、饲养设备安全防范措施</w:t>
      </w:r>
      <w:bookmarkEnd w:id="188"/>
      <w:bookmarkEnd w:id="189"/>
      <w:bookmarkEnd w:id="190"/>
    </w:p>
    <w:p w14:paraId="2C5369DD">
      <w:pPr>
        <w:pStyle w:val="48"/>
        <w:adjustRightInd/>
        <w:snapToGrid/>
        <w:spacing w:line="480" w:lineRule="exact"/>
        <w:rPr>
          <w:rStyle w:val="111"/>
        </w:rPr>
      </w:pPr>
      <w:r>
        <w:rPr>
          <w:rStyle w:val="111"/>
          <w:rFonts w:hint="eastAsia"/>
        </w:rPr>
        <w:t>①</w:t>
      </w:r>
      <w:r>
        <w:rPr>
          <w:rStyle w:val="111"/>
        </w:rPr>
        <w:t>所有专用设备应根据工艺要求、物料性质，按照《生产设备安全卫生设计总则》(GB5083)进行。通用机械和设备选型应符合国家或行业技术标准。</w:t>
      </w:r>
    </w:p>
    <w:p w14:paraId="19C79347">
      <w:pPr>
        <w:pStyle w:val="48"/>
        <w:adjustRightInd/>
        <w:snapToGrid/>
        <w:spacing w:line="480" w:lineRule="exact"/>
        <w:rPr>
          <w:rStyle w:val="111"/>
        </w:rPr>
      </w:pPr>
      <w:r>
        <w:rPr>
          <w:rStyle w:val="111"/>
          <w:rFonts w:hint="eastAsia"/>
        </w:rPr>
        <w:t>②</w:t>
      </w:r>
      <w:r>
        <w:rPr>
          <w:rStyle w:val="111"/>
        </w:rPr>
        <w:t>各类管道应考虑管道振动、脆性破裂，温度应力失稳腐蚀破裂及密封泄漏等因素。并采取相应的安全措施加以控制。必须安全可靠，便于操作。</w:t>
      </w:r>
    </w:p>
    <w:p w14:paraId="76E9E986">
      <w:pPr>
        <w:pStyle w:val="48"/>
        <w:adjustRightInd/>
        <w:snapToGrid/>
        <w:spacing w:line="480" w:lineRule="exact"/>
        <w:rPr>
          <w:rStyle w:val="111"/>
        </w:rPr>
      </w:pPr>
      <w:r>
        <w:rPr>
          <w:rStyle w:val="111"/>
          <w:rFonts w:hint="eastAsia"/>
        </w:rPr>
        <w:t>③</w:t>
      </w:r>
      <w:r>
        <w:rPr>
          <w:rStyle w:val="111"/>
        </w:rPr>
        <w:t>设备本体及基础、管道及其支、吊架和基础应采用非燃材料，设备和管道保温层应采用非燃材料。</w:t>
      </w:r>
    </w:p>
    <w:p w14:paraId="7B1EEB98">
      <w:pPr>
        <w:pStyle w:val="49"/>
        <w:adjustRightInd/>
        <w:snapToGrid/>
        <w:spacing w:line="480" w:lineRule="exact"/>
        <w:ind w:firstLine="482"/>
        <w:outlineLvl w:val="1"/>
        <w:rPr>
          <w:b/>
          <w:bCs/>
        </w:rPr>
      </w:pPr>
      <w:bookmarkStart w:id="191" w:name="_Toc26385"/>
      <w:bookmarkStart w:id="192" w:name="_Toc16009"/>
      <w:bookmarkStart w:id="193" w:name="_Toc27832"/>
      <w:r>
        <w:rPr>
          <w:rFonts w:hint="eastAsia"/>
          <w:b/>
          <w:bCs/>
        </w:rPr>
        <w:t>5、事故状态下排水系统及方式的控制措施</w:t>
      </w:r>
      <w:bookmarkEnd w:id="191"/>
      <w:bookmarkEnd w:id="192"/>
      <w:bookmarkEnd w:id="193"/>
    </w:p>
    <w:p w14:paraId="4C3A46ED">
      <w:pPr>
        <w:autoSpaceDE w:val="0"/>
        <w:autoSpaceDN w:val="0"/>
        <w:spacing w:line="480" w:lineRule="exact"/>
        <w:ind w:firstLine="480" w:firstLineChars="200"/>
        <w:rPr>
          <w:rFonts w:ascii="Times New Roman" w:hAnsi="Times New Roman" w:eastAsia="宋体" w:cs="Times New Roman"/>
          <w:szCs w:val="24"/>
        </w:rPr>
      </w:pPr>
      <w:r>
        <w:rPr>
          <w:rFonts w:hint="eastAsia" w:ascii="Times New Roman" w:hAnsi="Times New Roman" w:eastAsia="宋体" w:cs="Times New Roman"/>
          <w:szCs w:val="24"/>
        </w:rPr>
        <w:t>本建设</w:t>
      </w:r>
      <w:r>
        <w:rPr>
          <w:rFonts w:ascii="Times New Roman" w:hAnsi="Times New Roman" w:eastAsia="宋体" w:cs="Times New Roman"/>
          <w:szCs w:val="24"/>
        </w:rPr>
        <w:t>项目</w:t>
      </w:r>
      <w:r>
        <w:rPr>
          <w:rFonts w:hint="eastAsia" w:ascii="Times New Roman" w:hAnsi="Times New Roman" w:eastAsia="宋体" w:cs="Times New Roman"/>
          <w:szCs w:val="24"/>
          <w:lang w:val="en-US" w:eastAsia="zh-CN"/>
        </w:rPr>
        <w:t>厂区实行雨污分流，</w:t>
      </w:r>
      <w:r>
        <w:rPr>
          <w:rFonts w:hint="eastAsia" w:ascii="Times New Roman" w:hAnsi="Times New Roman" w:eastAsia="宋体" w:cs="Times New Roman"/>
          <w:szCs w:val="24"/>
        </w:rPr>
        <w:t>运营期间有废水产生</w:t>
      </w:r>
      <w:r>
        <w:rPr>
          <w:rFonts w:ascii="Times New Roman" w:hAnsi="Times New Roman" w:eastAsia="宋体" w:cs="Times New Roman"/>
          <w:szCs w:val="24"/>
        </w:rPr>
        <w:t>，发生事故后，可通过下渗、地表径流和地下径流污染项目周围地表水或地下水；若污水处理</w:t>
      </w:r>
      <w:r>
        <w:rPr>
          <w:rFonts w:hint="eastAsia" w:ascii="Times New Roman" w:hAnsi="Times New Roman" w:eastAsia="宋体" w:cs="Times New Roman"/>
          <w:szCs w:val="24"/>
        </w:rPr>
        <w:t>系统</w:t>
      </w:r>
      <w:r>
        <w:rPr>
          <w:rFonts w:ascii="Times New Roman" w:hAnsi="Times New Roman" w:eastAsia="宋体" w:cs="Times New Roman"/>
          <w:szCs w:val="24"/>
        </w:rPr>
        <w:t>发生故障，则会导致废水排出下渗，污染地表水、地下水，而这些事故均有可能对项目区地下水、周围河流等产生影响。因此，必须采取防范措施。</w:t>
      </w:r>
    </w:p>
    <w:p w14:paraId="092CFD75">
      <w:pPr>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采取的水环境风险防范措施：</w:t>
      </w:r>
    </w:p>
    <w:p w14:paraId="7688B217">
      <w:pPr>
        <w:spacing w:line="480" w:lineRule="exact"/>
        <w:ind w:firstLine="480" w:firstLineChars="200"/>
        <w:rPr>
          <w:rFonts w:ascii="Times New Roman" w:hAnsi="Times New Roman" w:eastAsia="宋体" w:cs="Times New Roman"/>
          <w:szCs w:val="24"/>
        </w:rPr>
      </w:pPr>
      <w:r>
        <w:rPr>
          <w:rStyle w:val="111"/>
          <w:rFonts w:hint="eastAsia"/>
          <w:szCs w:val="24"/>
        </w:rPr>
        <w:t>①</w:t>
      </w:r>
      <w:r>
        <w:rPr>
          <w:rFonts w:ascii="Times New Roman" w:hAnsi="Times New Roman" w:eastAsia="宋体" w:cs="Times New Roman"/>
          <w:szCs w:val="24"/>
        </w:rPr>
        <w:t>防渗措施</w:t>
      </w:r>
    </w:p>
    <w:p w14:paraId="59ACE3A6">
      <w:pPr>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项目区内一般区域采用水泥硬化路面，</w:t>
      </w:r>
      <w:r>
        <w:rPr>
          <w:rFonts w:hint="eastAsia" w:ascii="Times New Roman" w:hAnsi="Times New Roman" w:cs="Times New Roman"/>
          <w:szCs w:val="24"/>
        </w:rPr>
        <w:t>场区污水管线、污水处理区、事故应急池、鸡舍、鸡粪暂存库、危废暂存间</w:t>
      </w:r>
      <w:r>
        <w:rPr>
          <w:rFonts w:ascii="Times New Roman" w:hAnsi="Times New Roman" w:eastAsia="宋体" w:cs="Times New Roman"/>
          <w:szCs w:val="24"/>
        </w:rPr>
        <w:t>等采取重点防渗，</w:t>
      </w:r>
      <w:r>
        <w:rPr>
          <w:rFonts w:hint="eastAsia" w:ascii="Times New Roman" w:hAnsi="Times New Roman" w:eastAsia="宋体" w:cs="Times New Roman"/>
          <w:szCs w:val="24"/>
        </w:rPr>
        <w:t>一般</w:t>
      </w:r>
      <w:r>
        <w:rPr>
          <w:rFonts w:ascii="Times New Roman" w:hAnsi="Times New Roman" w:eastAsia="宋体" w:cs="Times New Roman"/>
          <w:szCs w:val="24"/>
        </w:rPr>
        <w:t>固废贮存场所防渗效果应满足</w:t>
      </w:r>
      <w:r>
        <w:rPr>
          <w:rFonts w:ascii="Times New Roman" w:hAnsi="Times New Roman" w:eastAsia="宋体" w:cs="Times New Roman"/>
          <w:kern w:val="0"/>
          <w:szCs w:val="24"/>
        </w:rPr>
        <w:t>《一般工业固体废物贮存和填埋污染控制标准》（GB18599-2020)</w:t>
      </w:r>
      <w:r>
        <w:rPr>
          <w:rFonts w:ascii="Times New Roman" w:hAnsi="Times New Roman" w:eastAsia="宋体" w:cs="Times New Roman"/>
          <w:szCs w:val="24"/>
        </w:rPr>
        <w:t>中的相关要求。</w:t>
      </w:r>
    </w:p>
    <w:p w14:paraId="0A7656FB">
      <w:pPr>
        <w:spacing w:line="480" w:lineRule="exact"/>
        <w:ind w:firstLine="480" w:firstLineChars="200"/>
        <w:rPr>
          <w:rFonts w:ascii="Times New Roman" w:hAnsi="Times New Roman" w:eastAsia="宋体" w:cs="Times New Roman"/>
          <w:szCs w:val="24"/>
        </w:rPr>
      </w:pPr>
      <w:r>
        <w:rPr>
          <w:rStyle w:val="111"/>
          <w:rFonts w:hint="eastAsia"/>
          <w:szCs w:val="24"/>
        </w:rPr>
        <w:t>②</w:t>
      </w:r>
      <w:r>
        <w:rPr>
          <w:rFonts w:ascii="Times New Roman" w:hAnsi="Times New Roman" w:eastAsia="宋体" w:cs="Times New Roman"/>
          <w:szCs w:val="24"/>
        </w:rPr>
        <w:t>采取防范措施后，风险事故水环境风险分析</w:t>
      </w:r>
    </w:p>
    <w:p w14:paraId="77126BEB">
      <w:pPr>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项目区采取严格的防渗措施，并设有完善的废水收集系统，概率较大的泄漏事故发生后，污染物可全部通过废水收集系统进入事故应急池，不会出现泄漏的物质和消防水漫流的情况，从而不会通过下渗污染项目区周围地下水，也不会通过地下径流污染河水。事故应急池有效容积应按《水体环境风险防控要点》</w:t>
      </w:r>
      <w:r>
        <w:rPr>
          <w:rFonts w:hint="eastAsia" w:ascii="Times New Roman" w:hAnsi="Times New Roman" w:eastAsia="宋体" w:cs="Times New Roman"/>
          <w:szCs w:val="24"/>
        </w:rPr>
        <w:t>（</w:t>
      </w:r>
      <w:r>
        <w:rPr>
          <w:rFonts w:ascii="Times New Roman" w:hAnsi="Times New Roman" w:eastAsia="宋体" w:cs="Times New Roman"/>
          <w:szCs w:val="24"/>
        </w:rPr>
        <w:t>试行</w:t>
      </w:r>
      <w:r>
        <w:rPr>
          <w:rFonts w:hint="eastAsia" w:ascii="Times New Roman" w:hAnsi="Times New Roman" w:eastAsia="宋体" w:cs="Times New Roman"/>
          <w:szCs w:val="24"/>
        </w:rPr>
        <w:t>）</w:t>
      </w:r>
      <w:r>
        <w:rPr>
          <w:rFonts w:ascii="Times New Roman" w:hAnsi="Times New Roman" w:eastAsia="宋体" w:cs="Times New Roman"/>
          <w:szCs w:val="24"/>
        </w:rPr>
        <w:t>中公式计算：</w:t>
      </w:r>
    </w:p>
    <w:p w14:paraId="7FCF9A57">
      <w:pPr>
        <w:spacing w:line="480" w:lineRule="exact"/>
        <w:ind w:left="480" w:hanging="480" w:hangingChars="200"/>
        <w:jc w:val="center"/>
        <w:rPr>
          <w:rFonts w:ascii="Times New Roman" w:hAnsi="Times New Roman" w:eastAsia="宋体" w:cs="Times New Roman"/>
          <w:szCs w:val="24"/>
        </w:rPr>
      </w:pPr>
      <w:r>
        <w:rPr>
          <w:rFonts w:ascii="Times New Roman" w:hAnsi="Times New Roman" w:eastAsia="宋体" w:cs="Times New Roman"/>
          <w:szCs w:val="24"/>
        </w:rPr>
        <w:t>V总=（V</w:t>
      </w:r>
      <w:r>
        <w:rPr>
          <w:rFonts w:ascii="Times New Roman" w:hAnsi="Times New Roman" w:eastAsia="宋体" w:cs="Times New Roman"/>
          <w:szCs w:val="24"/>
          <w:vertAlign w:val="subscript"/>
        </w:rPr>
        <w:t>1</w:t>
      </w:r>
      <w:r>
        <w:rPr>
          <w:rFonts w:ascii="Times New Roman" w:hAnsi="Times New Roman" w:eastAsia="宋体" w:cs="Times New Roman"/>
          <w:szCs w:val="24"/>
        </w:rPr>
        <w:t>+V</w:t>
      </w:r>
      <w:r>
        <w:rPr>
          <w:rFonts w:ascii="Times New Roman" w:hAnsi="Times New Roman" w:eastAsia="宋体" w:cs="Times New Roman"/>
          <w:szCs w:val="24"/>
          <w:vertAlign w:val="subscript"/>
        </w:rPr>
        <w:t>2</w:t>
      </w:r>
      <w:r>
        <w:rPr>
          <w:rFonts w:ascii="Times New Roman" w:hAnsi="Times New Roman" w:eastAsia="宋体" w:cs="Times New Roman"/>
          <w:szCs w:val="24"/>
        </w:rPr>
        <w:t>-V</w:t>
      </w:r>
      <w:r>
        <w:rPr>
          <w:rFonts w:ascii="Times New Roman" w:hAnsi="Times New Roman" w:eastAsia="宋体" w:cs="Times New Roman"/>
          <w:szCs w:val="24"/>
          <w:vertAlign w:val="subscript"/>
        </w:rPr>
        <w:t>3</w:t>
      </w:r>
      <w:r>
        <w:rPr>
          <w:rFonts w:ascii="Times New Roman" w:hAnsi="Times New Roman" w:eastAsia="宋体" w:cs="Times New Roman"/>
          <w:szCs w:val="24"/>
        </w:rPr>
        <w:t>）max+V</w:t>
      </w:r>
      <w:r>
        <w:rPr>
          <w:rFonts w:ascii="Times New Roman" w:hAnsi="Times New Roman" w:eastAsia="宋体" w:cs="Times New Roman"/>
          <w:szCs w:val="24"/>
          <w:vertAlign w:val="subscript"/>
        </w:rPr>
        <w:t>4</w:t>
      </w:r>
      <w:r>
        <w:rPr>
          <w:rFonts w:ascii="Times New Roman" w:hAnsi="Times New Roman" w:eastAsia="宋体" w:cs="Times New Roman"/>
          <w:szCs w:val="24"/>
        </w:rPr>
        <w:t>+V</w:t>
      </w:r>
      <w:r>
        <w:rPr>
          <w:rFonts w:ascii="Times New Roman" w:hAnsi="Times New Roman" w:eastAsia="宋体" w:cs="Times New Roman"/>
          <w:szCs w:val="24"/>
          <w:vertAlign w:val="subscript"/>
        </w:rPr>
        <w:t>5</w:t>
      </w:r>
    </w:p>
    <w:p w14:paraId="26B1A222">
      <w:pPr>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V</w:t>
      </w:r>
      <w:r>
        <w:rPr>
          <w:rFonts w:ascii="Times New Roman" w:hAnsi="Times New Roman" w:eastAsia="宋体" w:cs="Times New Roman"/>
          <w:szCs w:val="24"/>
          <w:vertAlign w:val="subscript"/>
        </w:rPr>
        <w:t>1</w:t>
      </w:r>
      <w:r>
        <w:rPr>
          <w:rFonts w:ascii="Times New Roman" w:hAnsi="Times New Roman" w:eastAsia="宋体" w:cs="Times New Roman"/>
          <w:szCs w:val="24"/>
        </w:rPr>
        <w:t>---收集系统范围内发生事故的一个罐组或一套装置的物料量（注：储存相同物料的罐组按一个最大储罐计，装置物料量按存留最大物料量的一台反应器或中间储罐计）；</w:t>
      </w:r>
    </w:p>
    <w:p w14:paraId="0628C8DD">
      <w:pPr>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V</w:t>
      </w:r>
      <w:r>
        <w:rPr>
          <w:rFonts w:ascii="Times New Roman" w:hAnsi="Times New Roman" w:eastAsia="宋体" w:cs="Times New Roman"/>
          <w:szCs w:val="24"/>
          <w:vertAlign w:val="subscript"/>
        </w:rPr>
        <w:t>2</w:t>
      </w:r>
      <w:r>
        <w:rPr>
          <w:rFonts w:ascii="Times New Roman" w:hAnsi="Times New Roman" w:eastAsia="宋体" w:cs="Times New Roman"/>
          <w:szCs w:val="24"/>
        </w:rPr>
        <w:t>---发生事故的储罐或装置的消防水量，m</w:t>
      </w:r>
      <w:r>
        <w:rPr>
          <w:rFonts w:ascii="Times New Roman" w:hAnsi="Times New Roman" w:eastAsia="宋体" w:cs="Times New Roman"/>
          <w:szCs w:val="24"/>
          <w:vertAlign w:val="superscript"/>
        </w:rPr>
        <w:t>3</w:t>
      </w:r>
      <w:r>
        <w:rPr>
          <w:rFonts w:ascii="Times New Roman" w:hAnsi="Times New Roman" w:eastAsia="宋体" w:cs="Times New Roman"/>
          <w:szCs w:val="24"/>
        </w:rPr>
        <w:t>；</w:t>
      </w:r>
    </w:p>
    <w:p w14:paraId="0D1B6722">
      <w:pPr>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V</w:t>
      </w:r>
      <w:r>
        <w:rPr>
          <w:rFonts w:ascii="Times New Roman" w:hAnsi="Times New Roman" w:eastAsia="宋体" w:cs="Times New Roman"/>
          <w:szCs w:val="24"/>
          <w:vertAlign w:val="subscript"/>
        </w:rPr>
        <w:t>3</w:t>
      </w:r>
      <w:r>
        <w:rPr>
          <w:rFonts w:ascii="Times New Roman" w:hAnsi="Times New Roman" w:eastAsia="宋体" w:cs="Times New Roman"/>
          <w:szCs w:val="24"/>
        </w:rPr>
        <w:t xml:space="preserve"> ---发生事故时可以传输到其他储存或处理设施的物料量，m</w:t>
      </w:r>
      <w:r>
        <w:rPr>
          <w:rFonts w:ascii="Times New Roman" w:hAnsi="Times New Roman" w:eastAsia="宋体" w:cs="Times New Roman"/>
          <w:szCs w:val="24"/>
          <w:vertAlign w:val="superscript"/>
        </w:rPr>
        <w:t>3</w:t>
      </w:r>
      <w:r>
        <w:rPr>
          <w:rFonts w:ascii="Times New Roman" w:hAnsi="Times New Roman" w:eastAsia="宋体" w:cs="Times New Roman"/>
          <w:szCs w:val="24"/>
        </w:rPr>
        <w:t>；</w:t>
      </w:r>
    </w:p>
    <w:p w14:paraId="499CCBAD">
      <w:pPr>
        <w:spacing w:line="480" w:lineRule="exact"/>
        <w:ind w:firstLine="480" w:firstLineChars="200"/>
        <w:rPr>
          <w:rFonts w:ascii="Times New Roman" w:hAnsi="Times New Roman" w:eastAsia="宋体" w:cs="Times New Roman"/>
          <w:szCs w:val="24"/>
        </w:rPr>
      </w:pPr>
      <w:r>
        <w:rPr>
          <w:rFonts w:ascii="Times New Roman" w:hAnsi="Times New Roman" w:eastAsia="宋体" w:cs="Times New Roman"/>
          <w:szCs w:val="24"/>
        </w:rPr>
        <w:t>V</w:t>
      </w:r>
      <w:r>
        <w:rPr>
          <w:rFonts w:ascii="Times New Roman" w:hAnsi="Times New Roman" w:eastAsia="宋体" w:cs="Times New Roman"/>
          <w:szCs w:val="24"/>
          <w:vertAlign w:val="subscript"/>
        </w:rPr>
        <w:t>4</w:t>
      </w:r>
      <w:r>
        <w:rPr>
          <w:rFonts w:ascii="Times New Roman" w:hAnsi="Times New Roman" w:eastAsia="宋体" w:cs="Times New Roman"/>
          <w:szCs w:val="24"/>
        </w:rPr>
        <w:t xml:space="preserve"> ---发生事故时仍必须进入该收集系统的生产废水量，m</w:t>
      </w:r>
      <w:r>
        <w:rPr>
          <w:rFonts w:ascii="Times New Roman" w:hAnsi="Times New Roman" w:eastAsia="宋体" w:cs="Times New Roman"/>
          <w:szCs w:val="24"/>
          <w:vertAlign w:val="superscript"/>
        </w:rPr>
        <w:t>3</w:t>
      </w:r>
      <w:r>
        <w:rPr>
          <w:rFonts w:ascii="Times New Roman" w:hAnsi="Times New Roman" w:eastAsia="宋体" w:cs="Times New Roman"/>
          <w:szCs w:val="24"/>
        </w:rPr>
        <w:t>;</w:t>
      </w:r>
    </w:p>
    <w:p w14:paraId="2B11F95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zCs w:val="24"/>
        </w:rPr>
      </w:pPr>
      <w:r>
        <w:rPr>
          <w:rFonts w:ascii="Times New Roman" w:hAnsi="Times New Roman" w:eastAsia="宋体" w:cs="Times New Roman"/>
          <w:szCs w:val="24"/>
        </w:rPr>
        <w:t>V</w:t>
      </w:r>
      <w:r>
        <w:rPr>
          <w:rFonts w:ascii="Times New Roman" w:hAnsi="Times New Roman" w:eastAsia="宋体" w:cs="Times New Roman"/>
          <w:szCs w:val="24"/>
          <w:vertAlign w:val="subscript"/>
        </w:rPr>
        <w:t xml:space="preserve">5 </w:t>
      </w:r>
      <w:r>
        <w:rPr>
          <w:rFonts w:ascii="Times New Roman" w:hAnsi="Times New Roman" w:eastAsia="宋体" w:cs="Times New Roman"/>
          <w:szCs w:val="24"/>
        </w:rPr>
        <w:t>---发生事故时可能进入该收集系统的降雨量，m</w:t>
      </w:r>
      <w:r>
        <w:rPr>
          <w:rFonts w:ascii="Times New Roman" w:hAnsi="Times New Roman" w:eastAsia="宋体" w:cs="Times New Roman"/>
          <w:szCs w:val="24"/>
          <w:vertAlign w:val="superscript"/>
        </w:rPr>
        <w:t>3</w:t>
      </w:r>
      <w:r>
        <w:rPr>
          <w:rFonts w:ascii="Times New Roman" w:hAnsi="Times New Roman" w:eastAsia="宋体" w:cs="Times New Roman"/>
          <w:szCs w:val="24"/>
        </w:rPr>
        <w:t>；</w:t>
      </w:r>
    </w:p>
    <w:p w14:paraId="42F08E0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zCs w:val="24"/>
        </w:rPr>
      </w:pPr>
      <w:r>
        <w:rPr>
          <w:rFonts w:ascii="Times New Roman" w:hAnsi="Times New Roman" w:eastAsia="宋体" w:cs="Times New Roman"/>
          <w:szCs w:val="24"/>
        </w:rPr>
        <w:t>综合考虑本项目发生事故的可能性及事故的类型，本评价主要考虑发生事故时产生的消防水量、集水池破裂发生泄露和该收集系统的降雨量，本项目</w:t>
      </w:r>
      <w:r>
        <w:rPr>
          <w:rFonts w:hint="eastAsia" w:ascii="Times New Roman" w:hAnsi="Times New Roman" w:eastAsia="宋体" w:cs="Times New Roman"/>
          <w:szCs w:val="24"/>
        </w:rPr>
        <w:t>不设置储罐，单桶柴油容积为250L，因此</w:t>
      </w:r>
      <w:r>
        <w:rPr>
          <w:rFonts w:ascii="Times New Roman" w:hAnsi="Times New Roman" w:eastAsia="宋体" w:cs="Times New Roman"/>
          <w:szCs w:val="24"/>
        </w:rPr>
        <w:t>V</w:t>
      </w:r>
      <w:r>
        <w:rPr>
          <w:rFonts w:ascii="Times New Roman" w:hAnsi="Times New Roman" w:eastAsia="宋体" w:cs="Times New Roman"/>
          <w:szCs w:val="24"/>
          <w:vertAlign w:val="subscript"/>
        </w:rPr>
        <w:t>1</w:t>
      </w:r>
      <w:r>
        <w:rPr>
          <w:rFonts w:ascii="Times New Roman" w:hAnsi="Times New Roman" w:eastAsia="宋体" w:cs="Times New Roman"/>
          <w:szCs w:val="24"/>
        </w:rPr>
        <w:t>取值为</w:t>
      </w:r>
      <w:r>
        <w:rPr>
          <w:rFonts w:hint="eastAsia" w:ascii="Times New Roman" w:hAnsi="Times New Roman" w:eastAsia="宋体" w:cs="Times New Roman"/>
          <w:szCs w:val="24"/>
        </w:rPr>
        <w:t>0.25；</w:t>
      </w:r>
      <w:r>
        <w:rPr>
          <w:rFonts w:ascii="Times New Roman" w:hAnsi="Times New Roman" w:eastAsia="宋体" w:cs="Times New Roman"/>
          <w:szCs w:val="24"/>
        </w:rPr>
        <w:t>V</w:t>
      </w:r>
      <w:r>
        <w:rPr>
          <w:rFonts w:ascii="Times New Roman" w:hAnsi="Times New Roman" w:eastAsia="宋体" w:cs="Times New Roman"/>
          <w:szCs w:val="24"/>
          <w:vertAlign w:val="subscript"/>
        </w:rPr>
        <w:t>2</w:t>
      </w:r>
      <w:r>
        <w:rPr>
          <w:rFonts w:ascii="Times New Roman" w:hAnsi="Times New Roman" w:eastAsia="宋体" w:cs="Times New Roman"/>
          <w:szCs w:val="24"/>
        </w:rPr>
        <w:t>根据《建筑设计防火规范》（</w:t>
      </w:r>
      <w:r>
        <w:rPr>
          <w:rFonts w:hint="eastAsia" w:ascii="Times New Roman" w:hAnsi="Times New Roman" w:eastAsia="宋体" w:cs="Times New Roman"/>
          <w:szCs w:val="24"/>
        </w:rPr>
        <w:t>GB50016-2023</w:t>
      </w:r>
      <w:r>
        <w:rPr>
          <w:rFonts w:ascii="Times New Roman" w:hAnsi="Times New Roman" w:eastAsia="宋体" w:cs="Times New Roman"/>
          <w:szCs w:val="24"/>
        </w:rPr>
        <w:t>）第</w:t>
      </w:r>
      <w:r>
        <w:rPr>
          <w:rFonts w:hint="eastAsia" w:ascii="Times New Roman" w:hAnsi="Times New Roman" w:eastAsia="宋体" w:cs="Times New Roman"/>
          <w:szCs w:val="24"/>
        </w:rPr>
        <w:t>8.2章节</w:t>
      </w:r>
      <w:r>
        <w:rPr>
          <w:rFonts w:ascii="Times New Roman" w:hAnsi="Times New Roman" w:eastAsia="宋体" w:cs="Times New Roman"/>
          <w:szCs w:val="24"/>
        </w:rPr>
        <w:t>建筑物的室外消火栓用水量不应小于</w:t>
      </w:r>
      <w:r>
        <w:rPr>
          <w:rFonts w:hint="eastAsia" w:ascii="Times New Roman" w:hAnsi="Times New Roman" w:eastAsia="宋体" w:cs="Times New Roman"/>
          <w:szCs w:val="24"/>
        </w:rPr>
        <w:t>20</w:t>
      </w:r>
      <w:r>
        <w:rPr>
          <w:rFonts w:ascii="Times New Roman" w:hAnsi="Times New Roman" w:eastAsia="宋体" w:cs="Times New Roman"/>
          <w:szCs w:val="24"/>
        </w:rPr>
        <w:t>L/s</w:t>
      </w:r>
      <w:r>
        <w:rPr>
          <w:rFonts w:hint="eastAsia" w:ascii="Times New Roman" w:hAnsi="Times New Roman" w:eastAsia="宋体" w:cs="Times New Roman"/>
          <w:szCs w:val="24"/>
        </w:rPr>
        <w:t>，</w:t>
      </w:r>
      <w:r>
        <w:rPr>
          <w:rFonts w:ascii="Times New Roman" w:hAnsi="Times New Roman" w:eastAsia="宋体" w:cs="Times New Roman"/>
          <w:szCs w:val="24"/>
        </w:rPr>
        <w:t>本项目</w:t>
      </w:r>
      <w:r>
        <w:rPr>
          <w:rFonts w:hint="eastAsia" w:ascii="Times New Roman" w:hAnsi="Times New Roman" w:eastAsia="宋体" w:cs="Times New Roman"/>
          <w:szCs w:val="24"/>
        </w:rPr>
        <w:t>鸡</w:t>
      </w:r>
      <w:r>
        <w:rPr>
          <w:rFonts w:ascii="Times New Roman" w:hAnsi="Times New Roman" w:eastAsia="宋体" w:cs="Times New Roman"/>
          <w:szCs w:val="24"/>
        </w:rPr>
        <w:t>舍、生活办公区采用砖混结构，因此以一次事故消防灭火所需时间为</w:t>
      </w:r>
      <w:r>
        <w:rPr>
          <w:rFonts w:hint="eastAsia" w:ascii="Times New Roman" w:hAnsi="Times New Roman" w:eastAsia="宋体" w:cs="Times New Roman"/>
          <w:szCs w:val="24"/>
        </w:rPr>
        <w:t>1</w:t>
      </w:r>
      <w:r>
        <w:rPr>
          <w:rFonts w:ascii="Times New Roman" w:hAnsi="Times New Roman" w:eastAsia="宋体" w:cs="Times New Roman"/>
          <w:szCs w:val="24"/>
        </w:rPr>
        <w:t>h计算，发生事故时产生消防废水量为</w:t>
      </w:r>
      <w:r>
        <w:rPr>
          <w:rFonts w:hint="eastAsia" w:ascii="Times New Roman" w:hAnsi="Times New Roman" w:eastAsia="宋体" w:cs="Times New Roman"/>
          <w:szCs w:val="24"/>
        </w:rPr>
        <w:t>72</w:t>
      </w:r>
      <w:r>
        <w:rPr>
          <w:rFonts w:ascii="Times New Roman" w:hAnsi="Times New Roman" w:eastAsia="宋体" w:cs="Times New Roman"/>
          <w:szCs w:val="24"/>
        </w:rPr>
        <w:t>m</w:t>
      </w:r>
      <w:r>
        <w:rPr>
          <w:rFonts w:ascii="Times New Roman" w:hAnsi="Times New Roman" w:eastAsia="宋体" w:cs="Times New Roman"/>
          <w:szCs w:val="24"/>
          <w:vertAlign w:val="superscript"/>
        </w:rPr>
        <w:t>3</w:t>
      </w:r>
      <w:r>
        <w:rPr>
          <w:rFonts w:hint="eastAsia" w:ascii="Times New Roman" w:hAnsi="Times New Roman" w:eastAsia="宋体" w:cs="Times New Roman"/>
          <w:szCs w:val="24"/>
        </w:rPr>
        <w:t>，因此</w:t>
      </w:r>
      <w:r>
        <w:rPr>
          <w:rFonts w:ascii="Times New Roman" w:hAnsi="Times New Roman" w:eastAsia="宋体" w:cs="Times New Roman"/>
          <w:szCs w:val="24"/>
        </w:rPr>
        <w:t>V</w:t>
      </w:r>
      <w:r>
        <w:rPr>
          <w:rFonts w:hint="eastAsia" w:ascii="Times New Roman" w:hAnsi="Times New Roman" w:eastAsia="宋体" w:cs="Times New Roman"/>
          <w:szCs w:val="24"/>
          <w:vertAlign w:val="subscript"/>
        </w:rPr>
        <w:t>2</w:t>
      </w:r>
      <w:r>
        <w:rPr>
          <w:rFonts w:ascii="Times New Roman" w:hAnsi="Times New Roman" w:eastAsia="宋体" w:cs="Times New Roman"/>
          <w:szCs w:val="24"/>
        </w:rPr>
        <w:t>取值为</w:t>
      </w:r>
      <w:r>
        <w:rPr>
          <w:rFonts w:hint="eastAsia" w:ascii="Times New Roman" w:hAnsi="Times New Roman" w:eastAsia="宋体" w:cs="Times New Roman"/>
          <w:szCs w:val="24"/>
        </w:rPr>
        <w:t>72；</w:t>
      </w:r>
      <w:r>
        <w:rPr>
          <w:rFonts w:ascii="Times New Roman" w:hAnsi="Times New Roman" w:eastAsia="宋体" w:cs="Times New Roman"/>
          <w:szCs w:val="24"/>
        </w:rPr>
        <w:t>V</w:t>
      </w:r>
      <w:r>
        <w:rPr>
          <w:rFonts w:ascii="Times New Roman" w:hAnsi="Times New Roman" w:eastAsia="宋体" w:cs="Times New Roman"/>
          <w:szCs w:val="24"/>
          <w:vertAlign w:val="subscript"/>
        </w:rPr>
        <w:t>3</w:t>
      </w:r>
      <w:r>
        <w:rPr>
          <w:rFonts w:ascii="Times New Roman" w:hAnsi="Times New Roman" w:eastAsia="宋体" w:cs="Times New Roman"/>
          <w:szCs w:val="24"/>
        </w:rPr>
        <w:t>取值为0，V</w:t>
      </w:r>
      <w:r>
        <w:rPr>
          <w:rFonts w:ascii="Times New Roman" w:hAnsi="Times New Roman" w:eastAsia="宋体" w:cs="Times New Roman"/>
          <w:szCs w:val="24"/>
          <w:vertAlign w:val="subscript"/>
        </w:rPr>
        <w:t>4</w:t>
      </w:r>
      <w:r>
        <w:rPr>
          <w:rFonts w:ascii="Times New Roman" w:hAnsi="Times New Roman" w:eastAsia="宋体" w:cs="Times New Roman"/>
          <w:szCs w:val="24"/>
        </w:rPr>
        <w:t>取值</w:t>
      </w:r>
      <w:r>
        <w:rPr>
          <w:rFonts w:hint="eastAsia" w:ascii="Times New Roman" w:hAnsi="Times New Roman" w:eastAsia="宋体" w:cs="Times New Roman"/>
          <w:szCs w:val="24"/>
        </w:rPr>
        <w:t>单次单个鸡舍冲洗废水量14.6</w:t>
      </w:r>
      <w:r>
        <w:rPr>
          <w:rFonts w:ascii="Times New Roman" w:hAnsi="Times New Roman" w:eastAsia="宋体" w:cs="Times New Roman"/>
          <w:szCs w:val="24"/>
        </w:rPr>
        <w:t>m</w:t>
      </w:r>
      <w:r>
        <w:rPr>
          <w:rFonts w:ascii="Times New Roman" w:hAnsi="Times New Roman" w:eastAsia="宋体" w:cs="Times New Roman"/>
          <w:szCs w:val="24"/>
          <w:vertAlign w:val="superscript"/>
        </w:rPr>
        <w:t>3</w:t>
      </w:r>
      <w:r>
        <w:rPr>
          <w:rFonts w:hint="eastAsia" w:ascii="Times New Roman" w:hAnsi="Times New Roman" w:eastAsia="宋体" w:cs="Times New Roman"/>
          <w:szCs w:val="24"/>
        </w:rPr>
        <w:t>；</w:t>
      </w:r>
      <w:r>
        <w:rPr>
          <w:rFonts w:ascii="Times New Roman" w:hAnsi="Times New Roman" w:eastAsia="宋体" w:cs="Times New Roman"/>
          <w:szCs w:val="24"/>
        </w:rPr>
        <w:t>发生事故时可能进入该收集系统的降雨量</w:t>
      </w:r>
      <w:r>
        <w:rPr>
          <w:rFonts w:hint="eastAsia" w:ascii="Times New Roman" w:hAnsi="Times New Roman" w:eastAsia="宋体" w:cs="Times New Roman"/>
          <w:szCs w:val="24"/>
        </w:rPr>
        <w:t>36.7</w:t>
      </w:r>
      <w:r>
        <w:rPr>
          <w:rFonts w:ascii="Times New Roman" w:hAnsi="Times New Roman" w:eastAsia="宋体" w:cs="Times New Roman"/>
          <w:szCs w:val="24"/>
        </w:rPr>
        <w:t>m</w:t>
      </w:r>
      <w:r>
        <w:rPr>
          <w:rFonts w:ascii="Times New Roman" w:hAnsi="Times New Roman" w:eastAsia="宋体" w:cs="Times New Roman"/>
          <w:szCs w:val="24"/>
          <w:vertAlign w:val="superscript"/>
        </w:rPr>
        <w:t>3</w:t>
      </w:r>
      <w:r>
        <w:rPr>
          <w:rFonts w:hint="eastAsia" w:ascii="Times New Roman" w:hAnsi="Times New Roman" w:eastAsia="宋体" w:cs="Times New Roman"/>
          <w:szCs w:val="24"/>
        </w:rPr>
        <w:t>，因此V</w:t>
      </w:r>
      <w:r>
        <w:rPr>
          <w:rFonts w:hint="eastAsia" w:ascii="Times New Roman" w:hAnsi="Times New Roman" w:eastAsia="宋体" w:cs="Times New Roman"/>
          <w:szCs w:val="24"/>
          <w:vertAlign w:val="subscript"/>
        </w:rPr>
        <w:t>5</w:t>
      </w:r>
      <w:r>
        <w:rPr>
          <w:rFonts w:ascii="Times New Roman" w:hAnsi="Times New Roman" w:eastAsia="宋体" w:cs="Times New Roman"/>
          <w:szCs w:val="24"/>
        </w:rPr>
        <w:t>取值为</w:t>
      </w:r>
      <w:r>
        <w:rPr>
          <w:rFonts w:hint="eastAsia" w:ascii="Times New Roman" w:hAnsi="Times New Roman" w:eastAsia="宋体" w:cs="Times New Roman"/>
          <w:szCs w:val="24"/>
        </w:rPr>
        <w:t>36.7</w:t>
      </w:r>
      <w:r>
        <w:rPr>
          <w:rFonts w:ascii="Times New Roman" w:hAnsi="Times New Roman" w:eastAsia="宋体" w:cs="Times New Roman"/>
          <w:szCs w:val="24"/>
        </w:rPr>
        <w:t>m</w:t>
      </w:r>
      <w:r>
        <w:rPr>
          <w:rFonts w:ascii="Times New Roman" w:hAnsi="Times New Roman" w:eastAsia="宋体" w:cs="Times New Roman"/>
          <w:szCs w:val="24"/>
          <w:vertAlign w:val="superscript"/>
        </w:rPr>
        <w:t>3</w:t>
      </w:r>
      <w:r>
        <w:rPr>
          <w:rFonts w:ascii="Times New Roman" w:hAnsi="Times New Roman" w:eastAsia="宋体" w:cs="Times New Roman"/>
          <w:szCs w:val="24"/>
        </w:rPr>
        <w:t>。</w:t>
      </w:r>
    </w:p>
    <w:p w14:paraId="7619F925">
      <w:pPr>
        <w:pStyle w:val="11"/>
        <w:spacing w:line="480" w:lineRule="exact"/>
        <w:ind w:firstLine="480"/>
        <w:jc w:val="center"/>
        <w:rPr>
          <w:rFonts w:eastAsia="宋体" w:cs="Times New Roman"/>
          <w:sz w:val="24"/>
          <w:szCs w:val="24"/>
        </w:rPr>
      </w:pPr>
      <w:r>
        <w:rPr>
          <w:rFonts w:eastAsia="宋体" w:cs="Times New Roman"/>
          <w:sz w:val="24"/>
          <w:szCs w:val="24"/>
        </w:rPr>
        <w:t>V</w:t>
      </w:r>
      <w:r>
        <w:rPr>
          <w:rFonts w:eastAsia="宋体" w:cs="Times New Roman"/>
          <w:sz w:val="24"/>
          <w:szCs w:val="24"/>
          <w:vertAlign w:val="subscript"/>
        </w:rPr>
        <w:t>总</w:t>
      </w:r>
      <w:r>
        <w:rPr>
          <w:rFonts w:eastAsia="宋体" w:cs="Times New Roman"/>
          <w:sz w:val="24"/>
          <w:szCs w:val="24"/>
        </w:rPr>
        <w:t>＝（V</w:t>
      </w:r>
      <w:r>
        <w:rPr>
          <w:rFonts w:eastAsia="宋体" w:cs="Times New Roman"/>
          <w:sz w:val="24"/>
          <w:szCs w:val="24"/>
          <w:vertAlign w:val="subscript"/>
        </w:rPr>
        <w:t>1</w:t>
      </w:r>
      <w:r>
        <w:rPr>
          <w:rFonts w:eastAsia="宋体" w:cs="Times New Roman"/>
          <w:sz w:val="24"/>
          <w:szCs w:val="24"/>
        </w:rPr>
        <w:t>＋V</w:t>
      </w:r>
      <w:r>
        <w:rPr>
          <w:rFonts w:eastAsia="宋体" w:cs="Times New Roman"/>
          <w:sz w:val="24"/>
          <w:szCs w:val="24"/>
          <w:vertAlign w:val="subscript"/>
        </w:rPr>
        <w:t>2</w:t>
      </w:r>
      <w:r>
        <w:rPr>
          <w:rFonts w:eastAsia="宋体" w:cs="Times New Roman"/>
          <w:sz w:val="24"/>
          <w:szCs w:val="24"/>
        </w:rPr>
        <w:t>－V</w:t>
      </w:r>
      <w:r>
        <w:rPr>
          <w:rFonts w:eastAsia="宋体" w:cs="Times New Roman"/>
          <w:sz w:val="24"/>
          <w:szCs w:val="24"/>
          <w:vertAlign w:val="subscript"/>
        </w:rPr>
        <w:t>3</w:t>
      </w:r>
      <w:r>
        <w:rPr>
          <w:rFonts w:eastAsia="宋体" w:cs="Times New Roman"/>
          <w:sz w:val="24"/>
          <w:szCs w:val="24"/>
        </w:rPr>
        <w:t>）max＋V</w:t>
      </w:r>
      <w:r>
        <w:rPr>
          <w:rFonts w:eastAsia="宋体" w:cs="Times New Roman"/>
          <w:sz w:val="24"/>
          <w:szCs w:val="24"/>
          <w:vertAlign w:val="subscript"/>
        </w:rPr>
        <w:t>4</w:t>
      </w:r>
      <w:r>
        <w:rPr>
          <w:rFonts w:eastAsia="宋体" w:cs="Times New Roman"/>
          <w:sz w:val="24"/>
          <w:szCs w:val="24"/>
        </w:rPr>
        <w:t>+V</w:t>
      </w:r>
      <w:r>
        <w:rPr>
          <w:rFonts w:eastAsia="宋体" w:cs="Times New Roman"/>
          <w:sz w:val="24"/>
          <w:szCs w:val="24"/>
          <w:vertAlign w:val="subscript"/>
        </w:rPr>
        <w:t>5</w:t>
      </w:r>
      <w:r>
        <w:rPr>
          <w:rFonts w:eastAsia="宋体" w:cs="Times New Roman"/>
          <w:sz w:val="24"/>
          <w:szCs w:val="24"/>
        </w:rPr>
        <w:t>＝</w:t>
      </w:r>
      <w:r>
        <w:rPr>
          <w:rFonts w:hint="eastAsia" w:eastAsia="宋体" w:cs="Times New Roman"/>
          <w:sz w:val="24"/>
          <w:szCs w:val="24"/>
        </w:rPr>
        <w:t>123.55</w:t>
      </w:r>
      <w:r>
        <w:rPr>
          <w:rFonts w:eastAsia="宋体" w:cs="Times New Roman"/>
          <w:sz w:val="24"/>
          <w:szCs w:val="24"/>
        </w:rPr>
        <w:t>m</w:t>
      </w:r>
      <w:r>
        <w:rPr>
          <w:rFonts w:eastAsia="宋体" w:cs="Times New Roman"/>
          <w:sz w:val="24"/>
          <w:szCs w:val="24"/>
          <w:vertAlign w:val="superscript"/>
        </w:rPr>
        <w:t>3</w:t>
      </w:r>
    </w:p>
    <w:p w14:paraId="20C98D7B">
      <w:pPr>
        <w:spacing w:line="460" w:lineRule="exact"/>
        <w:ind w:firstLine="480" w:firstLineChars="200"/>
        <w:rPr>
          <w:rFonts w:ascii="Times New Roman" w:hAnsi="Times New Roman" w:eastAsia="宋体" w:cs="Times New Roman"/>
          <w:szCs w:val="24"/>
        </w:rPr>
      </w:pPr>
      <w:bookmarkStart w:id="194" w:name="_Hlk7952815"/>
      <w:r>
        <w:rPr>
          <w:rFonts w:ascii="Times New Roman" w:hAnsi="Times New Roman" w:eastAsia="宋体" w:cs="Times New Roman"/>
          <w:color w:val="000000"/>
          <w:szCs w:val="24"/>
        </w:rPr>
        <w:t>根据计算结果可知，厂区事故废水最大量为</w:t>
      </w:r>
      <w:r>
        <w:rPr>
          <w:rFonts w:hint="eastAsia" w:ascii="Times New Roman" w:hAnsi="Times New Roman" w:eastAsia="宋体" w:cs="Times New Roman"/>
          <w:color w:val="000000"/>
          <w:szCs w:val="24"/>
        </w:rPr>
        <w:t>123.55</w:t>
      </w:r>
      <w:r>
        <w:rPr>
          <w:rFonts w:ascii="Times New Roman" w:hAnsi="Times New Roman" w:eastAsia="宋体" w:cs="Times New Roman"/>
          <w:color w:val="000000"/>
          <w:szCs w:val="24"/>
        </w:rPr>
        <w:t>m</w:t>
      </w:r>
      <w:r>
        <w:rPr>
          <w:rFonts w:ascii="Times New Roman" w:hAnsi="Times New Roman" w:eastAsia="宋体" w:cs="Times New Roman"/>
          <w:color w:val="000000"/>
          <w:szCs w:val="24"/>
          <w:vertAlign w:val="superscript"/>
        </w:rPr>
        <w:t>3</w:t>
      </w:r>
      <w:r>
        <w:rPr>
          <w:rFonts w:ascii="Times New Roman" w:hAnsi="Times New Roman" w:eastAsia="宋体" w:cs="Times New Roman"/>
          <w:color w:val="000000"/>
          <w:szCs w:val="24"/>
        </w:rPr>
        <w:t>。企业拟在厂区</w:t>
      </w:r>
      <w:r>
        <w:rPr>
          <w:rFonts w:hint="eastAsia" w:ascii="Times New Roman" w:hAnsi="Times New Roman" w:eastAsia="宋体" w:cs="Times New Roman"/>
          <w:color w:val="000000"/>
          <w:szCs w:val="24"/>
        </w:rPr>
        <w:t>北侧</w:t>
      </w:r>
      <w:r>
        <w:rPr>
          <w:rFonts w:ascii="Times New Roman" w:hAnsi="Times New Roman" w:eastAsia="宋体" w:cs="Times New Roman"/>
          <w:color w:val="000000"/>
          <w:szCs w:val="24"/>
        </w:rPr>
        <w:t>设置容积为</w:t>
      </w:r>
      <w:r>
        <w:rPr>
          <w:rFonts w:hint="eastAsia" w:ascii="Times New Roman" w:hAnsi="Times New Roman" w:eastAsia="宋体" w:cs="Times New Roman"/>
          <w:color w:val="000000"/>
          <w:szCs w:val="24"/>
        </w:rPr>
        <w:t>15</w:t>
      </w:r>
      <w:r>
        <w:rPr>
          <w:rFonts w:ascii="Times New Roman" w:hAnsi="Times New Roman" w:eastAsia="宋体" w:cs="Times New Roman"/>
          <w:color w:val="000000"/>
          <w:szCs w:val="24"/>
        </w:rPr>
        <w:t>0m</w:t>
      </w:r>
      <w:r>
        <w:rPr>
          <w:rFonts w:ascii="Times New Roman" w:hAnsi="Times New Roman" w:eastAsia="宋体" w:cs="Times New Roman"/>
          <w:color w:val="000000"/>
          <w:szCs w:val="24"/>
          <w:vertAlign w:val="superscript"/>
        </w:rPr>
        <w:t>3</w:t>
      </w:r>
      <w:r>
        <w:rPr>
          <w:rFonts w:ascii="Times New Roman" w:hAnsi="Times New Roman" w:eastAsia="宋体" w:cs="Times New Roman"/>
          <w:color w:val="000000"/>
          <w:szCs w:val="24"/>
        </w:rPr>
        <w:t>的事故应急池可满足本项目事故废水暂存的需要，项目事故池配备提升泵等相关措施，事故应急池保持常年排空状态。发生火灾</w:t>
      </w:r>
      <w:r>
        <w:rPr>
          <w:rFonts w:hint="eastAsia" w:ascii="Times New Roman" w:hAnsi="Times New Roman" w:eastAsia="宋体" w:cs="Times New Roman"/>
          <w:color w:val="000000"/>
          <w:szCs w:val="24"/>
        </w:rPr>
        <w:t>等</w:t>
      </w:r>
      <w:r>
        <w:rPr>
          <w:rFonts w:ascii="Times New Roman" w:hAnsi="Times New Roman" w:eastAsia="宋体" w:cs="Times New Roman"/>
          <w:color w:val="000000"/>
          <w:szCs w:val="24"/>
        </w:rPr>
        <w:t>事故时，消防废水应自流进事故池，事故结束后分批少量进入厂区污水处理系统进行处理，以避免对外环境的污染，禁止事故废水未经处理直接排放。</w:t>
      </w:r>
      <w:bookmarkEnd w:id="194"/>
      <w:r>
        <w:rPr>
          <w:rFonts w:hint="eastAsia" w:ascii="Times New Roman" w:hAnsi="Times New Roman" w:eastAsia="宋体" w:cs="Times New Roman"/>
          <w:color w:val="000000"/>
          <w:szCs w:val="24"/>
        </w:rPr>
        <w:t>项目</w:t>
      </w:r>
      <w:r>
        <w:rPr>
          <w:rFonts w:ascii="Times New Roman" w:hAnsi="Times New Roman" w:eastAsia="宋体" w:cs="Times New Roman"/>
          <w:szCs w:val="24"/>
        </w:rPr>
        <w:t>事故废水收集及处理流程见</w:t>
      </w:r>
      <w:r>
        <w:rPr>
          <w:rFonts w:ascii="Times New Roman" w:hAnsi="Times New Roman" w:eastAsia="宋体" w:cs="Times New Roman"/>
          <w:b/>
          <w:bCs/>
          <w:szCs w:val="24"/>
        </w:rPr>
        <w:t>图6.</w:t>
      </w:r>
      <w:r>
        <w:rPr>
          <w:rFonts w:hint="eastAsia" w:ascii="Times New Roman" w:hAnsi="Times New Roman" w:eastAsia="宋体" w:cs="Times New Roman"/>
          <w:b/>
          <w:bCs/>
          <w:szCs w:val="24"/>
        </w:rPr>
        <w:t>2-</w:t>
      </w:r>
      <w:r>
        <w:rPr>
          <w:rFonts w:hint="eastAsia" w:ascii="Times New Roman" w:hAnsi="Times New Roman" w:eastAsia="宋体" w:cs="Times New Roman"/>
          <w:b/>
          <w:bCs/>
          <w:szCs w:val="24"/>
          <w:lang w:val="en-US" w:eastAsia="zh-CN"/>
        </w:rPr>
        <w:t>6</w:t>
      </w:r>
      <w:r>
        <w:rPr>
          <w:rFonts w:ascii="Times New Roman" w:hAnsi="Times New Roman" w:eastAsia="宋体" w:cs="Times New Roman"/>
          <w:szCs w:val="24"/>
        </w:rPr>
        <w:t>。</w:t>
      </w:r>
    </w:p>
    <w:p w14:paraId="748191D5">
      <w:pPr>
        <w:rPr>
          <w:b/>
        </w:rPr>
      </w:pPr>
      <w:r>
        <mc:AlternateContent>
          <mc:Choice Requires="wpc">
            <w:drawing>
              <wp:anchor distT="0" distB="0" distL="114300" distR="114300" simplePos="0" relativeHeight="251665408" behindDoc="1" locked="0" layoutInCell="1" allowOverlap="1">
                <wp:simplePos x="0" y="0"/>
                <wp:positionH relativeFrom="column">
                  <wp:posOffset>408940</wp:posOffset>
                </wp:positionH>
                <wp:positionV relativeFrom="paragraph">
                  <wp:posOffset>16510</wp:posOffset>
                </wp:positionV>
                <wp:extent cx="4686300" cy="611505"/>
                <wp:effectExtent l="0" t="0" r="0" b="0"/>
                <wp:wrapNone/>
                <wp:docPr id="29" name="画布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文本框 7"/>
                        <wps:cNvSpPr txBox="1">
                          <a:spLocks noChangeArrowheads="1"/>
                        </wps:cNvSpPr>
                        <wps:spPr bwMode="auto">
                          <a:xfrm>
                            <a:off x="349885" y="168275"/>
                            <a:ext cx="571500" cy="198755"/>
                          </a:xfrm>
                          <a:prstGeom prst="rect">
                            <a:avLst/>
                          </a:prstGeom>
                          <a:noFill/>
                          <a:ln>
                            <a:noFill/>
                          </a:ln>
                          <a:effectLst/>
                        </wps:spPr>
                        <wps:txbx>
                          <w:txbxContent>
                            <w:p w14:paraId="1E8D3414">
                              <w:pPr>
                                <w:spacing w:line="300" w:lineRule="exact"/>
                                <w:rPr>
                                  <w:sz w:val="21"/>
                                  <w:szCs w:val="21"/>
                                </w:rPr>
                              </w:pPr>
                              <w:r>
                                <w:rPr>
                                  <w:rFonts w:hint="eastAsia"/>
                                  <w:sz w:val="21"/>
                                  <w:szCs w:val="21"/>
                                </w:rPr>
                                <w:t>事故废水</w:t>
                              </w:r>
                            </w:p>
                          </w:txbxContent>
                        </wps:txbx>
                        <wps:bodyPr rot="0" vert="horz" wrap="square" lIns="0" tIns="0" rIns="0" bIns="0" anchor="t" anchorCtr="0" upright="1">
                          <a:noAutofit/>
                        </wps:bodyPr>
                      </wps:wsp>
                      <wps:wsp>
                        <wps:cNvPr id="12" name="文本框 12"/>
                        <wps:cNvSpPr txBox="1">
                          <a:spLocks noChangeArrowheads="1"/>
                        </wps:cNvSpPr>
                        <wps:spPr bwMode="auto">
                          <a:xfrm>
                            <a:off x="1734820" y="130175"/>
                            <a:ext cx="844550" cy="297815"/>
                          </a:xfrm>
                          <a:prstGeom prst="rect">
                            <a:avLst/>
                          </a:prstGeom>
                          <a:solidFill>
                            <a:srgbClr val="FFFFFF"/>
                          </a:solidFill>
                          <a:ln w="9525">
                            <a:solidFill>
                              <a:srgbClr val="000000"/>
                            </a:solidFill>
                            <a:miter lim="800000"/>
                          </a:ln>
                          <a:effectLst/>
                        </wps:spPr>
                        <wps:txbx>
                          <w:txbxContent>
                            <w:p w14:paraId="4087BD62">
                              <w:pPr>
                                <w:spacing w:line="300" w:lineRule="exact"/>
                                <w:jc w:val="center"/>
                                <w:rPr>
                                  <w:sz w:val="21"/>
                                  <w:szCs w:val="21"/>
                                </w:rPr>
                              </w:pPr>
                              <w:r>
                                <w:rPr>
                                  <w:rFonts w:hint="eastAsia"/>
                                  <w:sz w:val="21"/>
                                  <w:szCs w:val="21"/>
                                </w:rPr>
                                <w:t>事故应急池</w:t>
                              </w:r>
                            </w:p>
                          </w:txbxContent>
                        </wps:txbx>
                        <wps:bodyPr rot="0" vert="horz" wrap="square" lIns="0" tIns="57600" rIns="0" bIns="45720" anchor="t" anchorCtr="0" upright="1">
                          <a:noAutofit/>
                        </wps:bodyPr>
                      </wps:wsp>
                      <wps:wsp>
                        <wps:cNvPr id="13" name="文本框 13"/>
                        <wps:cNvSpPr txBox="1">
                          <a:spLocks noChangeArrowheads="1"/>
                        </wps:cNvSpPr>
                        <wps:spPr bwMode="auto">
                          <a:xfrm>
                            <a:off x="1087755" y="63500"/>
                            <a:ext cx="831215" cy="198120"/>
                          </a:xfrm>
                          <a:prstGeom prst="rect">
                            <a:avLst/>
                          </a:prstGeom>
                          <a:noFill/>
                          <a:ln>
                            <a:noFill/>
                          </a:ln>
                          <a:effectLst/>
                        </wps:spPr>
                        <wps:txbx>
                          <w:txbxContent>
                            <w:p w14:paraId="659C7438">
                              <w:pPr>
                                <w:spacing w:line="300" w:lineRule="exact"/>
                                <w:rPr>
                                  <w:sz w:val="21"/>
                                  <w:szCs w:val="21"/>
                                </w:rPr>
                              </w:pPr>
                              <w:r>
                                <w:rPr>
                                  <w:rFonts w:hint="eastAsia"/>
                                  <w:sz w:val="21"/>
                                  <w:szCs w:val="21"/>
                                </w:rPr>
                                <w:t>废水管沟</w:t>
                              </w:r>
                            </w:p>
                          </w:txbxContent>
                        </wps:txbx>
                        <wps:bodyPr rot="0" vert="horz" wrap="square" lIns="0" tIns="0" rIns="0" bIns="0" anchor="t" anchorCtr="0" upright="1">
                          <a:noAutofit/>
                        </wps:bodyPr>
                      </wps:wsp>
                      <wps:wsp>
                        <wps:cNvPr id="14" name="直接连接符 14"/>
                        <wps:cNvCnPr>
                          <a:cxnSpLocks noChangeShapeType="1"/>
                        </wps:cNvCnPr>
                        <wps:spPr bwMode="auto">
                          <a:xfrm>
                            <a:off x="921385" y="267970"/>
                            <a:ext cx="813435" cy="635"/>
                          </a:xfrm>
                          <a:prstGeom prst="line">
                            <a:avLst/>
                          </a:prstGeom>
                          <a:noFill/>
                          <a:ln w="9525">
                            <a:solidFill>
                              <a:srgbClr val="000000"/>
                            </a:solidFill>
                            <a:round/>
                            <a:tailEnd type="triangle" w="med" len="med"/>
                          </a:ln>
                          <a:effectLst/>
                        </wps:spPr>
                        <wps:bodyPr/>
                      </wps:wsp>
                      <wps:wsp>
                        <wps:cNvPr id="26" name="直接连接符 26"/>
                        <wps:cNvCnPr>
                          <a:cxnSpLocks noChangeShapeType="1"/>
                        </wps:cNvCnPr>
                        <wps:spPr bwMode="auto">
                          <a:xfrm>
                            <a:off x="2588895" y="277495"/>
                            <a:ext cx="457835" cy="635"/>
                          </a:xfrm>
                          <a:prstGeom prst="line">
                            <a:avLst/>
                          </a:prstGeom>
                          <a:noFill/>
                          <a:ln w="9525">
                            <a:solidFill>
                              <a:srgbClr val="000000"/>
                            </a:solidFill>
                            <a:round/>
                            <a:tailEnd type="triangle" w="med" len="med"/>
                          </a:ln>
                          <a:effectLst/>
                        </wps:spPr>
                        <wps:bodyPr/>
                      </wps:wsp>
                      <wps:wsp>
                        <wps:cNvPr id="27" name="文本框 27"/>
                        <wps:cNvSpPr txBox="1">
                          <a:spLocks noChangeArrowheads="1"/>
                        </wps:cNvSpPr>
                        <wps:spPr bwMode="auto">
                          <a:xfrm>
                            <a:off x="2747645" y="80645"/>
                            <a:ext cx="228600" cy="197485"/>
                          </a:xfrm>
                          <a:prstGeom prst="rect">
                            <a:avLst/>
                          </a:prstGeom>
                          <a:noFill/>
                          <a:ln>
                            <a:noFill/>
                          </a:ln>
                          <a:effectLst/>
                        </wps:spPr>
                        <wps:txbx>
                          <w:txbxContent>
                            <w:p w14:paraId="0264C5D9">
                              <w:pPr>
                                <w:spacing w:line="300" w:lineRule="exact"/>
                                <w:rPr>
                                  <w:sz w:val="21"/>
                                  <w:szCs w:val="21"/>
                                </w:rPr>
                              </w:pPr>
                              <w:r>
                                <w:rPr>
                                  <w:rFonts w:hint="eastAsia"/>
                                  <w:sz w:val="21"/>
                                  <w:szCs w:val="21"/>
                                </w:rPr>
                                <w:t>泵</w:t>
                              </w:r>
                            </w:p>
                          </w:txbxContent>
                        </wps:txbx>
                        <wps:bodyPr rot="0" vert="horz" wrap="square" lIns="0" tIns="0" rIns="0" bIns="0" anchor="t" anchorCtr="0" upright="1">
                          <a:noAutofit/>
                        </wps:bodyPr>
                      </wps:wsp>
                      <wps:wsp>
                        <wps:cNvPr id="28" name="文本框 28"/>
                        <wps:cNvSpPr txBox="1">
                          <a:spLocks noChangeArrowheads="1"/>
                        </wps:cNvSpPr>
                        <wps:spPr bwMode="auto">
                          <a:xfrm>
                            <a:off x="3102610" y="165100"/>
                            <a:ext cx="1583690" cy="226695"/>
                          </a:xfrm>
                          <a:prstGeom prst="rect">
                            <a:avLst/>
                          </a:prstGeom>
                          <a:noFill/>
                          <a:ln>
                            <a:noFill/>
                          </a:ln>
                          <a:effectLst/>
                        </wps:spPr>
                        <wps:txbx>
                          <w:txbxContent>
                            <w:p w14:paraId="1D0FE3E1">
                              <w:pPr>
                                <w:spacing w:line="300" w:lineRule="exact"/>
                                <w:rPr>
                                  <w:sz w:val="21"/>
                                  <w:szCs w:val="21"/>
                                </w:rPr>
                              </w:pPr>
                              <w:r>
                                <w:rPr>
                                  <w:rFonts w:hint="eastAsia"/>
                                  <w:sz w:val="21"/>
                                  <w:szCs w:val="21"/>
                                </w:rPr>
                                <w:t>进入污水处理系统</w:t>
                              </w:r>
                            </w:p>
                          </w:txbxContent>
                        </wps:txbx>
                        <wps:bodyPr rot="0" vert="horz" wrap="square" lIns="0" tIns="0" rIns="0" bIns="0" anchor="t" anchorCtr="0" upright="1">
                          <a:noAutofit/>
                        </wps:bodyPr>
                      </wps:wsp>
                    </wpc:wpc>
                  </a:graphicData>
                </a:graphic>
              </wp:anchor>
            </w:drawing>
          </mc:Choice>
          <mc:Fallback>
            <w:pict>
              <v:group id="_x0000_s1026" o:spid="_x0000_s1026" o:spt="203" style="position:absolute;left:0pt;margin-left:32.2pt;margin-top:1.3pt;height:48.15pt;width:369pt;z-index:-251651072;mso-width-relative:page;mso-height-relative:page;" coordsize="4686300,611505" editas="canvas" o:gfxdata="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">
                <o:lock v:ext="edit" aspectratio="f"/>
                <v:shape id="_x0000_s1026" o:spid="_x0000_s1026" style="position:absolute;left:0;top:0;height:611505;width:4686300;" filled="f" stroked="f" coordsize="21600,21600" o:gfxdata="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A2w/ru1wAAAAcBAAAPAAAAAAAAAAEAIAAAACIAAABkcnMvZG93bnJldi54&#10;bWxQSwECFAAUAAAACACHTuJAHVpIsfwDAAByEgAADgAAAAAAAAABACAAAAAmAQAAZHJzL2Uyb0Rv&#10;Yy54bWxQSwUGAAAAAAYABgBZAQAAlAcAAAAA&#10;">
                  <v:fill on="f" focussize="0,0"/>
                  <v:stroke on="f"/>
                  <v:imagedata o:title=""/>
                  <o:lock v:ext="edit" aspectratio="t"/>
                </v:shape>
                <v:shape id="_x0000_s1026" o:spid="_x0000_s1026" o:spt="202" type="#_x0000_t202" style="position:absolute;left:349885;top:168275;height:198755;width:571500;" filled="f" stroked="f" coordsize="21600,21600" o:gfxdata="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S7eb9UAAAAHAQAA&#10;DwAAAAAAAAABACAAAAAiAAAAZHJzL2Rvd25yZXYueG1sUEsBAhQAFAAAAAgAh07iQKLzZ9UcAgAA&#10;HAQAAA4AAAAAAAAAAQAgAAAAJAEAAGRycy9lMm9Eb2MueG1sUEsFBgAAAAAGAAYAWQEAALIFAAAA&#10;AA==&#10;">
                  <v:fill on="f" focussize="0,0"/>
                  <v:stroke on="f"/>
                  <v:imagedata o:title=""/>
                  <o:lock v:ext="edit" aspectratio="f"/>
                  <v:textbox inset="0mm,0mm,0mm,0mm">
                    <w:txbxContent>
                      <w:p w14:paraId="1E8D3414">
                        <w:pPr>
                          <w:spacing w:line="300" w:lineRule="exact"/>
                          <w:rPr>
                            <w:sz w:val="21"/>
                            <w:szCs w:val="21"/>
                          </w:rPr>
                        </w:pPr>
                        <w:r>
                          <w:rPr>
                            <w:rFonts w:hint="eastAsia"/>
                            <w:sz w:val="21"/>
                            <w:szCs w:val="21"/>
                          </w:rPr>
                          <w:t>事故废水</w:t>
                        </w:r>
                      </w:p>
                    </w:txbxContent>
                  </v:textbox>
                </v:shape>
                <v:shape id="_x0000_s1026" o:spid="_x0000_s1026" o:spt="202" type="#_x0000_t202" style="position:absolute;left:1734820;top:130175;height:297815;width:844550;" fillcolor="#FFFFFF" filled="t" stroked="t" coordsize="21600,21600" o:gfxdata="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d/8ALVAAAABwEAAA8AAAAA&#10;AAAAAQAgAAAAIgAAAGRycy9kb3ducmV2LnhtbFBLAQIUABQAAAAIAIdO4kAHXw4vUAIAAJkEAAAO&#10;AAAAAAAAAAEAIAAAACQBAABkcnMvZTJvRG9jLnhtbFBLBQYAAAAABgAGAFkBAADmBQAAAAA=&#10;">
                  <v:fill on="t" focussize="0,0"/>
                  <v:stroke color="#000000" miterlimit="8" joinstyle="miter"/>
                  <v:imagedata o:title=""/>
                  <o:lock v:ext="edit" aspectratio="f"/>
                  <v:textbox inset="0mm,1.6mm,0mm,1.27mm">
                    <w:txbxContent>
                      <w:p w14:paraId="4087BD62">
                        <w:pPr>
                          <w:spacing w:line="300" w:lineRule="exact"/>
                          <w:jc w:val="center"/>
                          <w:rPr>
                            <w:sz w:val="21"/>
                            <w:szCs w:val="21"/>
                          </w:rPr>
                        </w:pPr>
                        <w:r>
                          <w:rPr>
                            <w:rFonts w:hint="eastAsia"/>
                            <w:sz w:val="21"/>
                            <w:szCs w:val="21"/>
                          </w:rPr>
                          <w:t>事故应急池</w:t>
                        </w:r>
                      </w:p>
                    </w:txbxContent>
                  </v:textbox>
                </v:shape>
                <v:shape id="_x0000_s1026" o:spid="_x0000_s1026" o:spt="202" type="#_x0000_t202" style="position:absolute;left:1087755;top:63500;height:198120;width:831215;" filled="f" stroked="f" coordsize="21600,21600" o:gfxdata="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Lt5v1QAAAAcBAAAP&#10;AAAAAAAAAAEAIAAAACIAAABkcnMvZG93bnJldi54bWxQSwECFAAUAAAACACHTuJAm21v2xsCAAAe&#10;BAAADgAAAAAAAAABACAAAAAkAQAAZHJzL2Uyb0RvYy54bWxQSwUGAAAAAAYABgBZAQAAsQUAAAAA&#10;">
                  <v:fill on="f" focussize="0,0"/>
                  <v:stroke on="f"/>
                  <v:imagedata o:title=""/>
                  <o:lock v:ext="edit" aspectratio="f"/>
                  <v:textbox inset="0mm,0mm,0mm,0mm">
                    <w:txbxContent>
                      <w:p w14:paraId="659C7438">
                        <w:pPr>
                          <w:spacing w:line="300" w:lineRule="exact"/>
                          <w:rPr>
                            <w:sz w:val="21"/>
                            <w:szCs w:val="21"/>
                          </w:rPr>
                        </w:pPr>
                        <w:r>
                          <w:rPr>
                            <w:rFonts w:hint="eastAsia"/>
                            <w:sz w:val="21"/>
                            <w:szCs w:val="21"/>
                          </w:rPr>
                          <w:t>废水管沟</w:t>
                        </w:r>
                      </w:p>
                    </w:txbxContent>
                  </v:textbox>
                </v:shape>
                <v:line id="_x0000_s1026" o:spid="_x0000_s1026" o:spt="20" style="position:absolute;left:921385;top:267970;height:635;width:813435;" filled="f" stroked="t" coordsize="21600,21600" o:gfxdata="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RS9Iw1wAAAAcBAAAPAAAAAAAAAAEA&#10;IAAAACIAAABkcnMvZG93bnJldi54bWxQSwECFAAUAAAACACHTuJApz86DxACAADzAwAADgAAAAAA&#10;AAABACAAAAAmAQAAZHJzL2Uyb0RvYy54bWxQSwUGAAAAAAYABgBZAQAAqAUAAAAA&#10;">
                  <v:fill on="f" focussize="0,0"/>
                  <v:stroke color="#000000" joinstyle="round" endarrow="block"/>
                  <v:imagedata o:title=""/>
                  <o:lock v:ext="edit" aspectratio="f"/>
                </v:line>
                <v:line id="_x0000_s1026" o:spid="_x0000_s1026" o:spt="20" style="position:absolute;left:2588895;top:277495;height:635;width:457835;" filled="f" stroked="t" coordsize="21600,21600" o:gfxdata="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FL0jDXAAAABwEAAA8AAAAAAAAAAQAg&#10;AAAAIgAAAGRycy9kb3ducmV2LnhtbFBLAQIUABQAAAAIAIdO4kDXSuB5DwIAAPQDAAAOAAAAAAAA&#10;AAEAIAAAACYBAABkcnMvZTJvRG9jLnhtbFBLBQYAAAAABgAGAFkBAACnBQAAAAA=&#10;">
                  <v:fill on="f" focussize="0,0"/>
                  <v:stroke color="#000000" joinstyle="round" endarrow="block"/>
                  <v:imagedata o:title=""/>
                  <o:lock v:ext="edit" aspectratio="f"/>
                </v:line>
                <v:shape id="_x0000_s1026" o:spid="_x0000_s1026" o:spt="202" type="#_x0000_t202" style="position:absolute;left:2747645;top:80645;height:197485;width:228600;" filled="f" stroked="f" coordsize="21600,21600" o:gfxdata="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S7eb9UAAAAHAQAA&#10;DwAAAAAAAAABACAAAAAiAAAAZHJzL2Rvd25yZXYueG1sUEsBAhQAFAAAAAgAh07iQM7hDhYcAgAA&#10;HgQAAA4AAAAAAAAAAQAgAAAAJAEAAGRycy9lMm9Eb2MueG1sUEsFBgAAAAAGAAYAWQEAALIFAAAA&#10;AA==&#10;">
                  <v:fill on="f" focussize="0,0"/>
                  <v:stroke on="f"/>
                  <v:imagedata o:title=""/>
                  <o:lock v:ext="edit" aspectratio="f"/>
                  <v:textbox inset="0mm,0mm,0mm,0mm">
                    <w:txbxContent>
                      <w:p w14:paraId="0264C5D9">
                        <w:pPr>
                          <w:spacing w:line="300" w:lineRule="exact"/>
                          <w:rPr>
                            <w:sz w:val="21"/>
                            <w:szCs w:val="21"/>
                          </w:rPr>
                        </w:pPr>
                        <w:r>
                          <w:rPr>
                            <w:rFonts w:hint="eastAsia"/>
                            <w:sz w:val="21"/>
                            <w:szCs w:val="21"/>
                          </w:rPr>
                          <w:t>泵</w:t>
                        </w:r>
                      </w:p>
                    </w:txbxContent>
                  </v:textbox>
                </v:shape>
                <v:shape id="_x0000_s1026" o:spid="_x0000_s1026" o:spt="202" type="#_x0000_t202" style="position:absolute;left:3102610;top:165100;height:226695;width:1583690;" filled="f" stroked="f" coordsize="21600,21600" o:gfxdata="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Eu3m/VAAAABwEA&#10;AA8AAAAAAAAAAQAgAAAAIgAAAGRycy9kb3ducmV2LnhtbFBLAQIUABQAAAAIAIdO4kBakaA5HQIA&#10;ACAEAAAOAAAAAAAAAAEAIAAAACQBAABkcnMvZTJvRG9jLnhtbFBLBQYAAAAABgAGAFkBAACzBQAA&#10;AAA=&#10;">
                  <v:fill on="f" focussize="0,0"/>
                  <v:stroke on="f"/>
                  <v:imagedata o:title=""/>
                  <o:lock v:ext="edit" aspectratio="f"/>
                  <v:textbox inset="0mm,0mm,0mm,0mm">
                    <w:txbxContent>
                      <w:p w14:paraId="1D0FE3E1">
                        <w:pPr>
                          <w:spacing w:line="300" w:lineRule="exact"/>
                          <w:rPr>
                            <w:sz w:val="21"/>
                            <w:szCs w:val="21"/>
                          </w:rPr>
                        </w:pPr>
                        <w:r>
                          <w:rPr>
                            <w:rFonts w:hint="eastAsia"/>
                            <w:sz w:val="21"/>
                            <w:szCs w:val="21"/>
                          </w:rPr>
                          <w:t>进入污水处理系统</w:t>
                        </w:r>
                      </w:p>
                    </w:txbxContent>
                  </v:textbox>
                </v:shape>
              </v:group>
            </w:pict>
          </mc:Fallback>
        </mc:AlternateContent>
      </w:r>
    </w:p>
    <w:p w14:paraId="3552097C">
      <w:pPr>
        <w:jc w:val="center"/>
        <w:rPr>
          <w:rFonts w:ascii="Times New Roman" w:hAnsi="Times New Roman" w:cs="Times New Roman"/>
          <w:b/>
        </w:rPr>
      </w:pPr>
    </w:p>
    <w:p w14:paraId="04DB5E7D">
      <w:pPr>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szCs w:val="24"/>
        </w:rPr>
      </w:pPr>
      <w:r>
        <w:rPr>
          <w:rFonts w:ascii="Times New Roman" w:hAnsi="Times New Roman" w:cs="Times New Roman"/>
          <w:b/>
          <w:szCs w:val="24"/>
        </w:rPr>
        <w:t>图6.</w:t>
      </w:r>
      <w:r>
        <w:rPr>
          <w:rFonts w:hint="eastAsia" w:ascii="Times New Roman" w:hAnsi="Times New Roman" w:cs="Times New Roman"/>
          <w:b/>
          <w:szCs w:val="24"/>
        </w:rPr>
        <w:t>2-</w:t>
      </w:r>
      <w:r>
        <w:rPr>
          <w:rFonts w:hint="eastAsia" w:ascii="Times New Roman" w:hAnsi="Times New Roman" w:cs="Times New Roman"/>
          <w:b/>
          <w:szCs w:val="24"/>
          <w:lang w:val="en-US" w:eastAsia="zh-CN"/>
        </w:rPr>
        <w:t>6</w:t>
      </w:r>
      <w:r>
        <w:rPr>
          <w:rFonts w:ascii="Times New Roman" w:hAnsi="Times New Roman" w:cs="Times New Roman"/>
          <w:b/>
          <w:szCs w:val="24"/>
        </w:rPr>
        <w:t>事故废水收集及处理流程图</w:t>
      </w:r>
    </w:p>
    <w:p w14:paraId="3874E885">
      <w:pPr>
        <w:pStyle w:val="48"/>
        <w:pageBreakBefore w:val="0"/>
        <w:widowControl w:val="0"/>
        <w:kinsoku/>
        <w:wordWrap/>
        <w:overflowPunct/>
        <w:topLinePunct w:val="0"/>
        <w:autoSpaceDE/>
        <w:autoSpaceDN/>
        <w:bidi w:val="0"/>
        <w:adjustRightInd/>
        <w:snapToGrid/>
        <w:spacing w:line="460" w:lineRule="exact"/>
        <w:textAlignment w:val="auto"/>
        <w:rPr>
          <w:rFonts w:eastAsia="宋体" w:cs="Times New Roman"/>
          <w:color w:val="000000" w:themeColor="text1"/>
          <w:szCs w:val="24"/>
          <w14:textFill>
            <w14:solidFill>
              <w14:schemeClr w14:val="tx1"/>
            </w14:solidFill>
          </w14:textFill>
        </w:rPr>
      </w:pPr>
      <w:r>
        <w:rPr>
          <w:rFonts w:eastAsia="宋体" w:cs="Times New Roman"/>
          <w:color w:val="000000" w:themeColor="text1"/>
          <w:szCs w:val="24"/>
          <w14:textFill>
            <w14:solidFill>
              <w14:schemeClr w14:val="tx1"/>
            </w14:solidFill>
          </w14:textFill>
        </w:rPr>
        <w:t>综上，在采取了相应的防范措施后，如风险事故发生，不会对项目周围的水环境产生影响。</w:t>
      </w:r>
    </w:p>
    <w:p w14:paraId="08088AA8">
      <w:pPr>
        <w:pStyle w:val="8"/>
        <w:pageBreakBefore w:val="0"/>
        <w:widowControl w:val="0"/>
        <w:kinsoku/>
        <w:wordWrap/>
        <w:overflowPunct/>
        <w:topLinePunct w:val="0"/>
        <w:autoSpaceDE/>
        <w:autoSpaceDN/>
        <w:bidi w:val="0"/>
        <w:adjustRightInd/>
        <w:snapToGrid/>
        <w:spacing w:line="46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.2.6.2 </w:t>
      </w:r>
      <w:r>
        <w:rPr>
          <w:rFonts w:hint="eastAsia"/>
          <w:color w:val="000000" w:themeColor="text1"/>
          <w14:textFill>
            <w14:solidFill>
              <w14:schemeClr w14:val="tx1"/>
            </w14:solidFill>
          </w14:textFill>
        </w:rPr>
        <w:t>养殖场防疫措施</w:t>
      </w:r>
    </w:p>
    <w:p w14:paraId="685039BD">
      <w:pPr>
        <w:pStyle w:val="48"/>
        <w:pageBreakBefore w:val="0"/>
        <w:widowControl w:val="0"/>
        <w:kinsoku/>
        <w:wordWrap/>
        <w:overflowPunct/>
        <w:topLinePunct w:val="0"/>
        <w:autoSpaceDE/>
        <w:autoSpaceDN/>
        <w:bidi w:val="0"/>
        <w:adjustRightInd/>
        <w:snapToGrid/>
        <w:spacing w:line="460" w:lineRule="exact"/>
        <w:textAlignment w:val="auto"/>
        <w:outlineLvl w:val="1"/>
        <w:rPr>
          <w:rFonts w:cs="Times New Roman"/>
          <w:szCs w:val="24"/>
        </w:rPr>
      </w:pPr>
      <w:bookmarkStart w:id="195" w:name="_Toc24068"/>
      <w:bookmarkStart w:id="196" w:name="_Toc14165"/>
      <w:bookmarkStart w:id="197" w:name="_Toc32653"/>
      <w:bookmarkStart w:id="198" w:name="_Toc4007"/>
      <w:r>
        <w:rPr>
          <w:rFonts w:hint="eastAsia" w:cs="Times New Roman"/>
          <w:szCs w:val="24"/>
        </w:rPr>
        <w:t>1、防疫设施设备</w:t>
      </w:r>
      <w:bookmarkEnd w:id="195"/>
      <w:bookmarkEnd w:id="196"/>
      <w:bookmarkEnd w:id="197"/>
      <w:bookmarkEnd w:id="198"/>
    </w:p>
    <w:p w14:paraId="21EF8726">
      <w:pPr>
        <w:pStyle w:val="48"/>
        <w:pageBreakBefore w:val="0"/>
        <w:widowControl w:val="0"/>
        <w:kinsoku/>
        <w:wordWrap/>
        <w:overflowPunct/>
        <w:topLinePunct w:val="0"/>
        <w:autoSpaceDE/>
        <w:autoSpaceDN/>
        <w:bidi w:val="0"/>
        <w:adjustRightInd/>
        <w:snapToGrid/>
        <w:spacing w:line="460" w:lineRule="exact"/>
        <w:textAlignment w:val="auto"/>
        <w:rPr>
          <w:rFonts w:eastAsia="宋体" w:cs="Times New Roman"/>
          <w:szCs w:val="24"/>
        </w:rPr>
      </w:pPr>
      <w:r>
        <w:rPr>
          <w:rFonts w:hint="eastAsia" w:cs="Times New Roman"/>
          <w:szCs w:val="24"/>
        </w:rPr>
        <w:t>（1）外来车辆进入养殖场前，需进行严格消</w:t>
      </w:r>
      <w:r>
        <w:rPr>
          <w:rFonts w:hint="eastAsia" w:cs="Times New Roman"/>
          <w:color w:val="000000"/>
          <w:szCs w:val="24"/>
        </w:rPr>
        <w:t>毒；</w:t>
      </w:r>
    </w:p>
    <w:p w14:paraId="547D8DF1">
      <w:pPr>
        <w:pStyle w:val="48"/>
        <w:keepNext w:val="0"/>
        <w:keepLines w:val="0"/>
        <w:pageBreakBefore w:val="0"/>
        <w:widowControl w:val="0"/>
        <w:kinsoku/>
        <w:wordWrap/>
        <w:overflowPunct/>
        <w:topLinePunct w:val="0"/>
        <w:autoSpaceDE/>
        <w:autoSpaceDN/>
        <w:bidi w:val="0"/>
        <w:adjustRightInd/>
        <w:snapToGrid/>
        <w:spacing w:line="500" w:lineRule="exact"/>
        <w:textAlignment w:val="auto"/>
        <w:rPr>
          <w:rFonts w:cs="Times New Roman"/>
          <w:szCs w:val="24"/>
        </w:rPr>
      </w:pPr>
      <w:r>
        <w:rPr>
          <w:rFonts w:hint="eastAsia" w:cs="Times New Roman"/>
          <w:szCs w:val="24"/>
        </w:rPr>
        <w:t>（2）配备健全的清洗消毒设施，防止疫病传播，并对鸡舍及相应设施如车辆等进行定期清洗消毒；</w:t>
      </w:r>
    </w:p>
    <w:p w14:paraId="46B8695E">
      <w:pPr>
        <w:pStyle w:val="48"/>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cs="Times New Roman"/>
          <w:szCs w:val="24"/>
        </w:rPr>
      </w:pPr>
      <w:bookmarkStart w:id="199" w:name="_Toc11264"/>
      <w:bookmarkStart w:id="200" w:name="_Toc5699"/>
      <w:bookmarkStart w:id="201" w:name="_Toc32288"/>
      <w:bookmarkStart w:id="202" w:name="_Toc5066"/>
      <w:r>
        <w:rPr>
          <w:rFonts w:hint="eastAsia" w:cs="Times New Roman"/>
          <w:szCs w:val="24"/>
        </w:rPr>
        <w:t>2、饲养管理要求和卫生制度</w:t>
      </w:r>
      <w:bookmarkEnd w:id="199"/>
      <w:bookmarkEnd w:id="200"/>
      <w:bookmarkEnd w:id="201"/>
      <w:bookmarkEnd w:id="202"/>
    </w:p>
    <w:p w14:paraId="30ADC126">
      <w:pPr>
        <w:pStyle w:val="48"/>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cs="Times New Roman"/>
          <w:szCs w:val="24"/>
        </w:rPr>
      </w:pPr>
      <w:bookmarkStart w:id="203" w:name="_Toc23370"/>
      <w:bookmarkStart w:id="204" w:name="_Toc28412"/>
      <w:bookmarkStart w:id="205" w:name="_Toc29778"/>
      <w:bookmarkStart w:id="206" w:name="_Toc6283"/>
      <w:r>
        <w:rPr>
          <w:rFonts w:hint="eastAsia" w:cs="Times New Roman"/>
          <w:szCs w:val="24"/>
        </w:rPr>
        <w:t>①工作人员应定期体检，取得健康合格证后方可上岗；</w:t>
      </w:r>
      <w:bookmarkEnd w:id="203"/>
      <w:bookmarkEnd w:id="204"/>
      <w:bookmarkEnd w:id="205"/>
      <w:bookmarkEnd w:id="206"/>
    </w:p>
    <w:p w14:paraId="5B2DECD6">
      <w:pPr>
        <w:pStyle w:val="48"/>
        <w:keepNext w:val="0"/>
        <w:keepLines w:val="0"/>
        <w:pageBreakBefore w:val="0"/>
        <w:widowControl w:val="0"/>
        <w:kinsoku/>
        <w:wordWrap/>
        <w:overflowPunct/>
        <w:topLinePunct w:val="0"/>
        <w:autoSpaceDE/>
        <w:autoSpaceDN/>
        <w:bidi w:val="0"/>
        <w:adjustRightInd/>
        <w:snapToGrid/>
        <w:spacing w:line="500" w:lineRule="exact"/>
        <w:textAlignment w:val="auto"/>
        <w:rPr>
          <w:rFonts w:cs="Times New Roman"/>
          <w:szCs w:val="24"/>
        </w:rPr>
      </w:pPr>
      <w:r>
        <w:rPr>
          <w:rFonts w:hint="eastAsia" w:cs="Times New Roman"/>
          <w:szCs w:val="24"/>
        </w:rPr>
        <w:t>②生产人员进入生产区时应淋浴消毒，更换衣鞋。工作服应持清洁，定期消毒；</w:t>
      </w:r>
    </w:p>
    <w:p w14:paraId="0F3BE97D">
      <w:pPr>
        <w:pStyle w:val="48"/>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cs="Times New Roman"/>
          <w:szCs w:val="24"/>
        </w:rPr>
      </w:pPr>
      <w:bookmarkStart w:id="207" w:name="_Toc17499"/>
      <w:bookmarkStart w:id="208" w:name="_Toc18894"/>
      <w:bookmarkStart w:id="209" w:name="_Toc22433"/>
      <w:bookmarkStart w:id="210" w:name="_Toc10111"/>
      <w:r>
        <w:rPr>
          <w:rFonts w:hint="eastAsia" w:cs="Times New Roman"/>
          <w:szCs w:val="24"/>
        </w:rPr>
        <w:t>③本场兽医人员不准对外诊疗动物疾病；</w:t>
      </w:r>
      <w:bookmarkEnd w:id="207"/>
      <w:bookmarkEnd w:id="208"/>
      <w:bookmarkEnd w:id="209"/>
      <w:bookmarkEnd w:id="210"/>
    </w:p>
    <w:p w14:paraId="4AB40ED2">
      <w:pPr>
        <w:pStyle w:val="48"/>
        <w:keepNext w:val="0"/>
        <w:keepLines w:val="0"/>
        <w:pageBreakBefore w:val="0"/>
        <w:widowControl w:val="0"/>
        <w:kinsoku/>
        <w:wordWrap/>
        <w:overflowPunct/>
        <w:topLinePunct w:val="0"/>
        <w:autoSpaceDE/>
        <w:autoSpaceDN/>
        <w:bidi w:val="0"/>
        <w:adjustRightInd/>
        <w:snapToGrid/>
        <w:spacing w:line="500" w:lineRule="exact"/>
        <w:textAlignment w:val="auto"/>
        <w:rPr>
          <w:rFonts w:cs="Times New Roman"/>
          <w:szCs w:val="24"/>
        </w:rPr>
      </w:pPr>
      <w:r>
        <w:rPr>
          <w:rFonts w:hint="eastAsia" w:cs="Times New Roman"/>
          <w:szCs w:val="24"/>
        </w:rPr>
        <w:t>④非生产人员一般不允许进入生产区。特殊情况下，非生产人员需经淋浴消毒，更换防护服后方可入场，并遵守场内的一切防疫制度；</w:t>
      </w:r>
    </w:p>
    <w:p w14:paraId="3413A4E3">
      <w:pPr>
        <w:pStyle w:val="48"/>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cs="Times New Roman"/>
          <w:szCs w:val="24"/>
        </w:rPr>
      </w:pPr>
      <w:bookmarkStart w:id="211" w:name="_Toc10824"/>
      <w:bookmarkStart w:id="212" w:name="_Toc16308"/>
      <w:bookmarkStart w:id="213" w:name="_Toc24161"/>
      <w:bookmarkStart w:id="214" w:name="_Toc2024"/>
      <w:r>
        <w:rPr>
          <w:rFonts w:hint="eastAsia" w:cs="Times New Roman"/>
          <w:szCs w:val="24"/>
        </w:rPr>
        <w:t>⑤定期对鸡舍及其周围环境进行消毒；</w:t>
      </w:r>
      <w:bookmarkEnd w:id="211"/>
      <w:bookmarkEnd w:id="212"/>
      <w:bookmarkEnd w:id="213"/>
      <w:bookmarkEnd w:id="214"/>
    </w:p>
    <w:p w14:paraId="0591FAC2">
      <w:pPr>
        <w:pStyle w:val="48"/>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cs="Times New Roman"/>
          <w:szCs w:val="24"/>
        </w:rPr>
      </w:pPr>
      <w:bookmarkStart w:id="215" w:name="_Toc30087"/>
      <w:bookmarkStart w:id="216" w:name="_Toc18614"/>
      <w:bookmarkStart w:id="217" w:name="_Toc19172"/>
      <w:bookmarkStart w:id="218" w:name="_Toc26217"/>
      <w:r>
        <w:rPr>
          <w:rFonts w:hint="eastAsia" w:cs="Times New Roman"/>
          <w:szCs w:val="24"/>
        </w:rPr>
        <w:t>3、疫病预防措施</w:t>
      </w:r>
      <w:bookmarkEnd w:id="215"/>
      <w:bookmarkEnd w:id="216"/>
      <w:bookmarkEnd w:id="217"/>
      <w:bookmarkEnd w:id="218"/>
    </w:p>
    <w:p w14:paraId="4DDE08EC">
      <w:pPr>
        <w:pStyle w:val="48"/>
        <w:keepNext w:val="0"/>
        <w:keepLines w:val="0"/>
        <w:pageBreakBefore w:val="0"/>
        <w:widowControl w:val="0"/>
        <w:kinsoku/>
        <w:wordWrap/>
        <w:overflowPunct/>
        <w:topLinePunct w:val="0"/>
        <w:autoSpaceDE/>
        <w:autoSpaceDN/>
        <w:bidi w:val="0"/>
        <w:adjustRightInd/>
        <w:snapToGrid/>
        <w:spacing w:line="500" w:lineRule="exact"/>
        <w:textAlignment w:val="auto"/>
        <w:rPr>
          <w:rFonts w:cs="Times New Roman"/>
          <w:szCs w:val="24"/>
        </w:rPr>
      </w:pPr>
      <w:r>
        <w:rPr>
          <w:rFonts w:hint="eastAsia" w:cs="Times New Roman"/>
          <w:szCs w:val="24"/>
        </w:rPr>
        <w:t>鸡舍应根据《中华人民共和国动物防疫法》及其配套法规的要求，结合当地实际情况，有选择地进行疫病的预防接种工作，并注意选择适宜的疫苗、免疫程序和免疫方法。</w:t>
      </w:r>
    </w:p>
    <w:p w14:paraId="4FA03954">
      <w:pPr>
        <w:pStyle w:val="48"/>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cs="Times New Roman"/>
          <w:szCs w:val="24"/>
        </w:rPr>
      </w:pPr>
      <w:bookmarkStart w:id="219" w:name="_Toc1957"/>
      <w:bookmarkStart w:id="220" w:name="_Toc22189"/>
      <w:bookmarkStart w:id="221" w:name="_Toc9305"/>
      <w:bookmarkStart w:id="222" w:name="_Toc3291"/>
      <w:r>
        <w:rPr>
          <w:rFonts w:hint="eastAsia" w:cs="Times New Roman"/>
          <w:szCs w:val="24"/>
        </w:rPr>
        <w:t>4、疫病监测</w:t>
      </w:r>
      <w:bookmarkEnd w:id="219"/>
      <w:bookmarkEnd w:id="220"/>
      <w:bookmarkEnd w:id="221"/>
      <w:bookmarkEnd w:id="222"/>
    </w:p>
    <w:p w14:paraId="1E2D3059">
      <w:pPr>
        <w:pStyle w:val="48"/>
        <w:keepNext w:val="0"/>
        <w:keepLines w:val="0"/>
        <w:pageBreakBefore w:val="0"/>
        <w:widowControl w:val="0"/>
        <w:kinsoku/>
        <w:wordWrap/>
        <w:overflowPunct/>
        <w:topLinePunct w:val="0"/>
        <w:autoSpaceDE/>
        <w:autoSpaceDN/>
        <w:bidi w:val="0"/>
        <w:adjustRightInd/>
        <w:snapToGrid/>
        <w:spacing w:line="500" w:lineRule="exact"/>
        <w:textAlignment w:val="auto"/>
        <w:rPr>
          <w:rFonts w:cs="Times New Roman"/>
          <w:szCs w:val="24"/>
        </w:rPr>
      </w:pPr>
      <w:r>
        <w:rPr>
          <w:rFonts w:hint="eastAsia" w:cs="Times New Roman"/>
          <w:szCs w:val="24"/>
        </w:rPr>
        <w:t>（1）应依照《中华人民共和国动物防疫法》及其配套法规的要求，结合项目区实际情况，制定疫病监测方案；</w:t>
      </w:r>
    </w:p>
    <w:p w14:paraId="293A92F9">
      <w:pPr>
        <w:pStyle w:val="48"/>
        <w:keepNext w:val="0"/>
        <w:keepLines w:val="0"/>
        <w:pageBreakBefore w:val="0"/>
        <w:widowControl w:val="0"/>
        <w:kinsoku/>
        <w:wordWrap/>
        <w:overflowPunct/>
        <w:topLinePunct w:val="0"/>
        <w:autoSpaceDE/>
        <w:autoSpaceDN/>
        <w:bidi w:val="0"/>
        <w:adjustRightInd/>
        <w:snapToGrid/>
        <w:spacing w:line="500" w:lineRule="exact"/>
        <w:textAlignment w:val="auto"/>
        <w:rPr>
          <w:rFonts w:cs="Times New Roman"/>
          <w:szCs w:val="24"/>
        </w:rPr>
      </w:pPr>
      <w:r>
        <w:rPr>
          <w:rFonts w:hint="eastAsia" w:cs="Times New Roman"/>
          <w:szCs w:val="24"/>
        </w:rPr>
        <w:t>（2）根据当地实际情况由动物疫病监测机构定期或不定期进行必要的疫病监督抽查，并将抽查结果报告当地畜牧兽医行政管理部门。</w:t>
      </w:r>
    </w:p>
    <w:p w14:paraId="6F4D433D">
      <w:pPr>
        <w:pStyle w:val="48"/>
        <w:keepNext w:val="0"/>
        <w:keepLines w:val="0"/>
        <w:pageBreakBefore w:val="0"/>
        <w:widowControl w:val="0"/>
        <w:kinsoku/>
        <w:wordWrap/>
        <w:overflowPunct/>
        <w:topLinePunct w:val="0"/>
        <w:autoSpaceDE/>
        <w:autoSpaceDN/>
        <w:bidi w:val="0"/>
        <w:adjustRightInd/>
        <w:snapToGrid/>
        <w:spacing w:line="480" w:lineRule="exact"/>
        <w:textAlignment w:val="auto"/>
        <w:outlineLvl w:val="1"/>
        <w:rPr>
          <w:rFonts w:cs="Times New Roman"/>
          <w:szCs w:val="24"/>
        </w:rPr>
      </w:pPr>
      <w:bookmarkStart w:id="223" w:name="_Toc13985"/>
      <w:bookmarkStart w:id="224" w:name="_Toc2056"/>
      <w:bookmarkStart w:id="225" w:name="_Toc29167"/>
      <w:bookmarkStart w:id="226" w:name="_Toc910"/>
      <w:r>
        <w:rPr>
          <w:rFonts w:hint="eastAsia" w:cs="Times New Roman"/>
          <w:szCs w:val="24"/>
        </w:rPr>
        <w:t>5、疫病控制和扑灭措施</w:t>
      </w:r>
      <w:bookmarkEnd w:id="223"/>
      <w:bookmarkEnd w:id="224"/>
      <w:bookmarkEnd w:id="225"/>
      <w:bookmarkEnd w:id="226"/>
    </w:p>
    <w:p w14:paraId="0753A652">
      <w:pPr>
        <w:pStyle w:val="48"/>
        <w:keepNext w:val="0"/>
        <w:keepLines w:val="0"/>
        <w:pageBreakBefore w:val="0"/>
        <w:widowControl w:val="0"/>
        <w:kinsoku/>
        <w:wordWrap/>
        <w:overflowPunct/>
        <w:topLinePunct w:val="0"/>
        <w:autoSpaceDE/>
        <w:autoSpaceDN/>
        <w:bidi w:val="0"/>
        <w:adjustRightInd/>
        <w:snapToGrid/>
        <w:spacing w:line="480" w:lineRule="exact"/>
        <w:textAlignment w:val="auto"/>
        <w:rPr>
          <w:rFonts w:cs="Times New Roman"/>
          <w:szCs w:val="24"/>
        </w:rPr>
      </w:pPr>
      <w:r>
        <w:rPr>
          <w:rFonts w:hint="eastAsia" w:cs="Times New Roman"/>
          <w:szCs w:val="24"/>
        </w:rPr>
        <w:t>发生疫病或怀疑发生疫病时，应依据《中华人民共和国动物防疫法》及时采取以下措施：</w:t>
      </w:r>
    </w:p>
    <w:p w14:paraId="6EE43663">
      <w:pPr>
        <w:pStyle w:val="48"/>
        <w:keepNext w:val="0"/>
        <w:keepLines w:val="0"/>
        <w:pageBreakBefore w:val="0"/>
        <w:widowControl w:val="0"/>
        <w:kinsoku/>
        <w:wordWrap/>
        <w:overflowPunct/>
        <w:topLinePunct w:val="0"/>
        <w:autoSpaceDE/>
        <w:autoSpaceDN/>
        <w:bidi w:val="0"/>
        <w:adjustRightInd/>
        <w:snapToGrid/>
        <w:spacing w:line="480" w:lineRule="exact"/>
        <w:textAlignment w:val="auto"/>
        <w:rPr>
          <w:rFonts w:cs="Times New Roman"/>
          <w:szCs w:val="24"/>
        </w:rPr>
      </w:pPr>
      <w:r>
        <w:rPr>
          <w:rFonts w:hint="eastAsia" w:cs="Times New Roman"/>
          <w:szCs w:val="24"/>
        </w:rPr>
        <w:t>（1）驻场兽医应及时进行诊断，并尽快向当地畜牧兽医行政管理部门报告疫情；</w:t>
      </w:r>
    </w:p>
    <w:p w14:paraId="693E8F0C">
      <w:pPr>
        <w:pStyle w:val="48"/>
        <w:keepNext w:val="0"/>
        <w:keepLines w:val="0"/>
        <w:pageBreakBefore w:val="0"/>
        <w:widowControl w:val="0"/>
        <w:kinsoku/>
        <w:wordWrap/>
        <w:overflowPunct/>
        <w:topLinePunct w:val="0"/>
        <w:autoSpaceDE/>
        <w:autoSpaceDN/>
        <w:bidi w:val="0"/>
        <w:adjustRightInd/>
        <w:snapToGrid/>
        <w:spacing w:line="480" w:lineRule="exact"/>
        <w:textAlignment w:val="auto"/>
        <w:rPr>
          <w:rFonts w:cs="Times New Roman"/>
          <w:szCs w:val="24"/>
        </w:rPr>
      </w:pPr>
      <w:r>
        <w:rPr>
          <w:rFonts w:hint="eastAsia" w:cs="Times New Roman"/>
          <w:szCs w:val="24"/>
        </w:rPr>
        <w:t>（2）确诊发生禽流感等传染疾病时，应配合当地畜牧兽医管理部门，对鸡群实施严格的隔离、扑杀措施；全场进行彻底的清洗消毒，病死鸡的尸体进行无害化处理。</w:t>
      </w:r>
    </w:p>
    <w:p w14:paraId="53042771">
      <w:pPr>
        <w:pStyle w:val="48"/>
        <w:keepNext w:val="0"/>
        <w:keepLines w:val="0"/>
        <w:pageBreakBefore w:val="0"/>
        <w:widowControl w:val="0"/>
        <w:kinsoku/>
        <w:wordWrap/>
        <w:overflowPunct/>
        <w:topLinePunct w:val="0"/>
        <w:autoSpaceDE/>
        <w:autoSpaceDN/>
        <w:bidi w:val="0"/>
        <w:adjustRightInd/>
        <w:snapToGrid/>
        <w:spacing w:line="480" w:lineRule="exact"/>
        <w:textAlignment w:val="auto"/>
        <w:outlineLvl w:val="1"/>
        <w:rPr>
          <w:rFonts w:cs="Times New Roman"/>
          <w:szCs w:val="24"/>
        </w:rPr>
      </w:pPr>
      <w:bookmarkStart w:id="227" w:name="_Toc2781"/>
      <w:bookmarkStart w:id="228" w:name="_Toc27221"/>
      <w:bookmarkStart w:id="229" w:name="_Toc23401"/>
      <w:bookmarkStart w:id="230" w:name="_Toc7838"/>
      <w:r>
        <w:rPr>
          <w:rFonts w:hint="eastAsia" w:cs="Times New Roman"/>
          <w:szCs w:val="24"/>
        </w:rPr>
        <w:t>6、记录</w:t>
      </w:r>
      <w:bookmarkEnd w:id="227"/>
      <w:bookmarkEnd w:id="228"/>
      <w:bookmarkEnd w:id="229"/>
      <w:bookmarkEnd w:id="230"/>
    </w:p>
    <w:p w14:paraId="4F22D5B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pPr>
      <w:r>
        <w:rPr>
          <w:rFonts w:hint="eastAsia" w:cs="Times New Roman"/>
          <w:szCs w:val="24"/>
        </w:rPr>
        <w:t>每批鸡苗都应有相关的资料记录，其内容包括：鸡苗来源，饲料消耗情况，发病率、死亡率及发病死亡原因，无害化处理情况，实验室检查及其结果，用药及免疫接种情况，鸡只发运目的地。所有记录应保存两年以上。</w:t>
      </w:r>
    </w:p>
    <w:p w14:paraId="12C4CEC5">
      <w:pPr>
        <w:pStyle w:val="8"/>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.2.6.3 </w:t>
      </w:r>
      <w:r>
        <w:rPr>
          <w:rFonts w:hint="eastAsia"/>
          <w:color w:val="000000" w:themeColor="text1"/>
          <w14:textFill>
            <w14:solidFill>
              <w14:schemeClr w14:val="tx1"/>
            </w14:solidFill>
          </w14:textFill>
        </w:rPr>
        <w:t>建设项目应急预案</w:t>
      </w:r>
    </w:p>
    <w:p w14:paraId="12E15080">
      <w:pPr>
        <w:spacing w:line="480" w:lineRule="exact"/>
        <w:ind w:firstLine="480" w:firstLineChars="200"/>
        <w:rPr>
          <w:rFonts w:ascii="Times New Roman"/>
          <w:color w:val="000000"/>
          <w:szCs w:val="24"/>
        </w:rPr>
      </w:pPr>
      <w:r>
        <w:rPr>
          <w:rFonts w:ascii="Times New Roman" w:hAnsi="Times New Roman" w:eastAsia="宋体" w:cs="Times New Roman"/>
          <w:color w:val="000000"/>
          <w:szCs w:val="24"/>
        </w:rPr>
        <w:t>随着本项目的建成投产，建设单位应按照《建设项目环境风险评价技术导则》、《企业事业单位和工业园区突发环境事件应急预案编制导则》（DB32/T3795-2020）和《</w:t>
      </w:r>
      <w:r>
        <w:rPr>
          <w:rFonts w:hint="eastAsia" w:ascii="Times New Roman" w:hAnsi="Times New Roman" w:eastAsia="宋体" w:cs="Times New Roman"/>
          <w:color w:val="000000"/>
          <w:szCs w:val="24"/>
        </w:rPr>
        <w:t>省生态环境厅关于印发&lt;江苏省突发环境事件应急预案管理办法&gt;的通知</w:t>
      </w:r>
      <w:r>
        <w:rPr>
          <w:rFonts w:ascii="Times New Roman" w:hAnsi="Times New Roman" w:eastAsia="宋体" w:cs="Times New Roman"/>
          <w:color w:val="000000"/>
          <w:szCs w:val="24"/>
        </w:rPr>
        <w:t>》（</w:t>
      </w:r>
      <w:r>
        <w:rPr>
          <w:rFonts w:hint="eastAsia" w:ascii="Times New Roman" w:hAnsi="Times New Roman" w:eastAsia="宋体" w:cs="Times New Roman"/>
          <w:color w:val="000000"/>
          <w:szCs w:val="24"/>
        </w:rPr>
        <w:t>苏</w:t>
      </w:r>
      <w:r>
        <w:rPr>
          <w:rFonts w:ascii="Times New Roman" w:hAnsi="Times New Roman" w:eastAsia="宋体" w:cs="Times New Roman"/>
          <w:color w:val="000000"/>
          <w:szCs w:val="24"/>
        </w:rPr>
        <w:t>环发〔202</w:t>
      </w:r>
      <w:r>
        <w:rPr>
          <w:rFonts w:hint="eastAsia" w:ascii="Times New Roman" w:hAnsi="Times New Roman" w:eastAsia="宋体" w:cs="Times New Roman"/>
          <w:color w:val="000000"/>
          <w:szCs w:val="24"/>
        </w:rPr>
        <w:t>3</w:t>
      </w:r>
      <w:r>
        <w:rPr>
          <w:rFonts w:ascii="Times New Roman" w:hAnsi="Times New Roman" w:eastAsia="宋体" w:cs="Times New Roman"/>
          <w:color w:val="000000"/>
          <w:szCs w:val="24"/>
        </w:rPr>
        <w:t>〕</w:t>
      </w:r>
      <w:r>
        <w:rPr>
          <w:rFonts w:hint="eastAsia" w:ascii="Times New Roman" w:hAnsi="Times New Roman" w:eastAsia="宋体" w:cs="Times New Roman"/>
          <w:color w:val="000000"/>
          <w:szCs w:val="24"/>
        </w:rPr>
        <w:t>7</w:t>
      </w:r>
      <w:r>
        <w:rPr>
          <w:rFonts w:ascii="Times New Roman" w:hAnsi="Times New Roman" w:eastAsia="宋体" w:cs="Times New Roman"/>
          <w:color w:val="000000"/>
          <w:szCs w:val="24"/>
        </w:rPr>
        <w:t>号）等文件的要求编制项目突发环境事件应急预案，</w:t>
      </w:r>
      <w:r>
        <w:rPr>
          <w:rFonts w:ascii="Times New Roman"/>
          <w:color w:val="000000"/>
          <w:szCs w:val="24"/>
        </w:rPr>
        <w:t>并在本项目验收之前在生态环境主管部门进行</w:t>
      </w:r>
      <w:r>
        <w:rPr>
          <w:rFonts w:hint="eastAsia" w:ascii="Times New Roman"/>
          <w:color w:val="000000"/>
          <w:szCs w:val="24"/>
        </w:rPr>
        <w:t>预案</w:t>
      </w:r>
      <w:r>
        <w:rPr>
          <w:rFonts w:ascii="Times New Roman"/>
          <w:color w:val="000000"/>
          <w:szCs w:val="24"/>
        </w:rPr>
        <w:t>备案。</w:t>
      </w:r>
    </w:p>
    <w:p w14:paraId="314B94ED">
      <w:pPr>
        <w:spacing w:line="480" w:lineRule="exact"/>
        <w:ind w:firstLine="480" w:firstLineChars="200"/>
        <w:rPr>
          <w:rFonts w:ascii="Times New Roman"/>
          <w:color w:val="000000"/>
          <w:szCs w:val="24"/>
        </w:rPr>
      </w:pPr>
      <w:r>
        <w:rPr>
          <w:rFonts w:ascii="Times New Roman"/>
          <w:color w:val="000000"/>
          <w:szCs w:val="24"/>
        </w:rPr>
        <w:t>企业突发环境事件应急预案的编制应明确企业、园区/区域、地方政府环境风险应急体系。应体现分级响应、区域联动的原则，与地方政府突发环境事件应急预案相衔接，明确分级响应程序。本环评对企业突发环境事件应急预案编制内容要求如下：</w:t>
      </w:r>
    </w:p>
    <w:p w14:paraId="68385E39">
      <w:pPr>
        <w:pStyle w:val="102"/>
        <w:spacing w:beforeLines="0" w:line="480" w:lineRule="exact"/>
        <w:rPr>
          <w:rFonts w:eastAsia="宋体"/>
          <w:b/>
          <w:color w:val="000000"/>
          <w:sz w:val="24"/>
          <w:szCs w:val="24"/>
        </w:rPr>
      </w:pPr>
      <w:r>
        <w:rPr>
          <w:rFonts w:eastAsia="宋体"/>
          <w:b/>
          <w:color w:val="000000"/>
          <w:sz w:val="24"/>
          <w:szCs w:val="24"/>
        </w:rPr>
        <w:t>表6.</w:t>
      </w:r>
      <w:r>
        <w:rPr>
          <w:rFonts w:hint="eastAsia" w:eastAsia="宋体"/>
          <w:b/>
          <w:color w:val="000000"/>
          <w:sz w:val="24"/>
          <w:szCs w:val="24"/>
        </w:rPr>
        <w:t>2-1</w:t>
      </w:r>
      <w:r>
        <w:rPr>
          <w:rFonts w:hint="eastAsia" w:eastAsia="宋体"/>
          <w:b/>
          <w:color w:val="000000"/>
          <w:sz w:val="24"/>
          <w:szCs w:val="24"/>
          <w:lang w:val="en-US" w:eastAsia="zh-CN"/>
        </w:rPr>
        <w:t>1</w:t>
      </w:r>
      <w:r>
        <w:rPr>
          <w:rFonts w:eastAsia="宋体"/>
          <w:b/>
          <w:color w:val="000000"/>
          <w:sz w:val="24"/>
          <w:szCs w:val="24"/>
        </w:rPr>
        <w:t>应急预案编制内容和要求</w:t>
      </w:r>
    </w:p>
    <w:tbl>
      <w:tblPr>
        <w:tblStyle w:val="41"/>
        <w:tblW w:w="92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838"/>
        <w:gridCol w:w="6755"/>
      </w:tblGrid>
      <w:tr w14:paraId="33F04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74DC67F3">
            <w:pPr>
              <w:pStyle w:val="32"/>
              <w:spacing w:line="300" w:lineRule="exact"/>
              <w:ind w:left="0" w:firstLine="0" w:firstLineChars="0"/>
              <w:jc w:val="center"/>
              <w:rPr>
                <w:rFonts w:ascii="Times New Roman" w:hAnsi="Times New Roman" w:eastAsia="宋体" w:cs="Times New Roman"/>
                <w:b/>
                <w:sz w:val="21"/>
                <w:szCs w:val="21"/>
              </w:rPr>
            </w:pPr>
            <w:r>
              <w:rPr>
                <w:rFonts w:ascii="Times New Roman" w:hAnsi="Times New Roman" w:eastAsia="宋体" w:cs="Times New Roman"/>
                <w:b/>
                <w:sz w:val="21"/>
                <w:szCs w:val="21"/>
              </w:rPr>
              <w:t>序号</w:t>
            </w:r>
          </w:p>
        </w:tc>
        <w:tc>
          <w:tcPr>
            <w:tcW w:w="1838" w:type="dxa"/>
            <w:vAlign w:val="center"/>
          </w:tcPr>
          <w:p w14:paraId="2F9A4E8D">
            <w:pPr>
              <w:pStyle w:val="32"/>
              <w:spacing w:line="300" w:lineRule="exact"/>
              <w:ind w:left="0" w:firstLine="0" w:firstLineChars="0"/>
              <w:jc w:val="center"/>
              <w:rPr>
                <w:rFonts w:ascii="Times New Roman" w:hAnsi="Times New Roman" w:eastAsia="宋体" w:cs="Times New Roman"/>
                <w:b/>
                <w:sz w:val="21"/>
                <w:szCs w:val="21"/>
              </w:rPr>
            </w:pPr>
            <w:r>
              <w:rPr>
                <w:rFonts w:ascii="Times New Roman" w:hAnsi="Times New Roman" w:eastAsia="宋体" w:cs="Times New Roman"/>
                <w:b/>
                <w:sz w:val="21"/>
                <w:szCs w:val="21"/>
              </w:rPr>
              <w:t>项目</w:t>
            </w:r>
          </w:p>
        </w:tc>
        <w:tc>
          <w:tcPr>
            <w:tcW w:w="6755" w:type="dxa"/>
            <w:vAlign w:val="center"/>
          </w:tcPr>
          <w:p w14:paraId="21048F92">
            <w:pPr>
              <w:spacing w:line="300" w:lineRule="exact"/>
              <w:jc w:val="center"/>
              <w:rPr>
                <w:rFonts w:ascii="Times New Roman" w:hAnsi="Times New Roman" w:eastAsia="宋体" w:cs="Times New Roman"/>
                <w:b/>
                <w:sz w:val="21"/>
                <w:szCs w:val="21"/>
              </w:rPr>
            </w:pPr>
            <w:r>
              <w:rPr>
                <w:rFonts w:ascii="Times New Roman" w:hAnsi="Times New Roman" w:eastAsia="宋体" w:cs="Times New Roman"/>
                <w:b/>
                <w:sz w:val="21"/>
                <w:szCs w:val="21"/>
              </w:rPr>
              <w:t>内容及要求</w:t>
            </w:r>
          </w:p>
        </w:tc>
      </w:tr>
      <w:tr w14:paraId="696FE0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9251" w:type="dxa"/>
            <w:gridSpan w:val="3"/>
            <w:vAlign w:val="center"/>
          </w:tcPr>
          <w:p w14:paraId="1860E12C">
            <w:pPr>
              <w:spacing w:line="300" w:lineRule="exact"/>
              <w:jc w:val="center"/>
              <w:rPr>
                <w:rFonts w:ascii="Times New Roman" w:hAnsi="Times New Roman" w:eastAsia="宋体" w:cs="Times New Roman"/>
                <w:sz w:val="21"/>
                <w:szCs w:val="21"/>
              </w:rPr>
            </w:pPr>
            <w:r>
              <w:rPr>
                <w:rFonts w:ascii="Times New Roman" w:hAnsi="Times New Roman" w:eastAsia="宋体" w:cs="Times New Roman"/>
                <w:b/>
                <w:bCs/>
                <w:sz w:val="21"/>
                <w:szCs w:val="21"/>
              </w:rPr>
              <w:t>综合预案</w:t>
            </w:r>
          </w:p>
        </w:tc>
      </w:tr>
      <w:tr w14:paraId="63403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5965F7E4">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838" w:type="dxa"/>
            <w:vAlign w:val="center"/>
          </w:tcPr>
          <w:p w14:paraId="2A6867A5">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总则</w:t>
            </w:r>
          </w:p>
        </w:tc>
        <w:tc>
          <w:tcPr>
            <w:tcW w:w="6755" w:type="dxa"/>
            <w:vAlign w:val="center"/>
          </w:tcPr>
          <w:p w14:paraId="144CF746">
            <w:pPr>
              <w:spacing w:line="300" w:lineRule="exact"/>
              <w:jc w:val="left"/>
              <w:rPr>
                <w:rFonts w:ascii="Times New Roman" w:hAnsi="Times New Roman" w:eastAsia="宋体" w:cs="Times New Roman"/>
                <w:sz w:val="21"/>
                <w:szCs w:val="21"/>
              </w:rPr>
            </w:pPr>
            <w:r>
              <w:rPr>
                <w:rFonts w:ascii="Times New Roman" w:hAnsi="Times New Roman" w:eastAsia="宋体" w:cs="Times New Roman"/>
                <w:sz w:val="21"/>
                <w:szCs w:val="21"/>
              </w:rPr>
              <w:t>说明编制环境应急预案的目的、作用等</w:t>
            </w:r>
          </w:p>
        </w:tc>
      </w:tr>
      <w:tr w14:paraId="369F7B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2819FD88">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1838" w:type="dxa"/>
            <w:vAlign w:val="center"/>
          </w:tcPr>
          <w:p w14:paraId="6C048C0E">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编制依据</w:t>
            </w:r>
          </w:p>
        </w:tc>
        <w:tc>
          <w:tcPr>
            <w:tcW w:w="6755" w:type="dxa"/>
            <w:vAlign w:val="center"/>
          </w:tcPr>
          <w:p w14:paraId="62713B1D">
            <w:pPr>
              <w:spacing w:line="300" w:lineRule="exact"/>
              <w:jc w:val="left"/>
              <w:rPr>
                <w:rFonts w:ascii="Times New Roman" w:hAnsi="Times New Roman" w:eastAsia="宋体" w:cs="Times New Roman"/>
                <w:sz w:val="21"/>
                <w:szCs w:val="21"/>
              </w:rPr>
            </w:pPr>
            <w:r>
              <w:rPr>
                <w:rFonts w:ascii="Times New Roman" w:hAnsi="Times New Roman" w:eastAsia="宋体" w:cs="Times New Roman"/>
                <w:sz w:val="21"/>
                <w:szCs w:val="21"/>
              </w:rPr>
              <w:t>说明环境应急预案编制所依据的国家及地方法律法规、规章制度、技术规范、标准、以及有关行业管理规定等</w:t>
            </w:r>
          </w:p>
        </w:tc>
      </w:tr>
      <w:tr w14:paraId="148BB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5932956E">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1838" w:type="dxa"/>
            <w:vAlign w:val="center"/>
          </w:tcPr>
          <w:p w14:paraId="4F322E7D">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适用范围</w:t>
            </w:r>
          </w:p>
        </w:tc>
        <w:tc>
          <w:tcPr>
            <w:tcW w:w="6755" w:type="dxa"/>
            <w:vAlign w:val="center"/>
          </w:tcPr>
          <w:p w14:paraId="77224086">
            <w:pPr>
              <w:spacing w:line="300" w:lineRule="exact"/>
              <w:jc w:val="left"/>
              <w:rPr>
                <w:rFonts w:ascii="Times New Roman" w:hAnsi="Times New Roman" w:eastAsia="宋体" w:cs="Times New Roman"/>
                <w:sz w:val="21"/>
                <w:szCs w:val="21"/>
              </w:rPr>
            </w:pPr>
            <w:r>
              <w:rPr>
                <w:rFonts w:ascii="Times New Roman" w:hAnsi="Times New Roman" w:eastAsia="宋体" w:cs="Times New Roman"/>
                <w:sz w:val="21"/>
                <w:szCs w:val="21"/>
              </w:rPr>
              <w:t>说明环境应急预案的工作范围、可能发生的突发环境事件类型、突发环境事件级别</w:t>
            </w:r>
          </w:p>
        </w:tc>
      </w:tr>
      <w:tr w14:paraId="3DFC1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47220F73">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1838" w:type="dxa"/>
            <w:vAlign w:val="center"/>
          </w:tcPr>
          <w:p w14:paraId="23D30193">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预案体系</w:t>
            </w:r>
          </w:p>
        </w:tc>
        <w:tc>
          <w:tcPr>
            <w:tcW w:w="6755" w:type="dxa"/>
            <w:vAlign w:val="center"/>
          </w:tcPr>
          <w:p w14:paraId="057A7F46">
            <w:pPr>
              <w:spacing w:line="300" w:lineRule="exact"/>
              <w:rPr>
                <w:rFonts w:ascii="Times New Roman" w:hAnsi="Times New Roman" w:eastAsia="宋体" w:cs="Times New Roman"/>
                <w:sz w:val="21"/>
                <w:szCs w:val="21"/>
              </w:rPr>
            </w:pPr>
            <w:r>
              <w:rPr>
                <w:rFonts w:ascii="Times New Roman" w:hAnsi="Times New Roman" w:eastAsia="宋体" w:cs="Times New Roman"/>
                <w:sz w:val="21"/>
                <w:szCs w:val="21"/>
              </w:rPr>
              <w:t>简述环境应急预案体系，包括环境应急综合预案、专项预案、现场处置预案。说明环境应急预案的体系与内、外部相关应急预案的衔接关系</w:t>
            </w:r>
          </w:p>
        </w:tc>
      </w:tr>
      <w:tr w14:paraId="662B2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1FB5A34E">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838" w:type="dxa"/>
            <w:vAlign w:val="center"/>
          </w:tcPr>
          <w:p w14:paraId="1C9D58FB">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工作原则</w:t>
            </w:r>
          </w:p>
        </w:tc>
        <w:tc>
          <w:tcPr>
            <w:tcW w:w="6755" w:type="dxa"/>
            <w:vAlign w:val="center"/>
          </w:tcPr>
          <w:p w14:paraId="2FA79002">
            <w:pPr>
              <w:spacing w:line="300" w:lineRule="exact"/>
              <w:jc w:val="left"/>
              <w:rPr>
                <w:rFonts w:ascii="Times New Roman" w:hAnsi="Times New Roman" w:eastAsia="宋体" w:cs="Times New Roman"/>
                <w:sz w:val="21"/>
                <w:szCs w:val="21"/>
              </w:rPr>
            </w:pPr>
            <w:r>
              <w:rPr>
                <w:rFonts w:ascii="Times New Roman" w:hAnsi="Times New Roman" w:eastAsia="宋体" w:cs="Times New Roman"/>
                <w:sz w:val="21"/>
                <w:szCs w:val="21"/>
              </w:rPr>
              <w:t>说明企事业单位开展环境应急处置工作应遵循的总体原则</w:t>
            </w:r>
          </w:p>
        </w:tc>
      </w:tr>
      <w:tr w14:paraId="62C5C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1785CBD1">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1838" w:type="dxa"/>
            <w:vAlign w:val="center"/>
          </w:tcPr>
          <w:p w14:paraId="6118F35D">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组织机构及职责</w:t>
            </w:r>
          </w:p>
        </w:tc>
        <w:tc>
          <w:tcPr>
            <w:tcW w:w="6755" w:type="dxa"/>
            <w:vAlign w:val="center"/>
          </w:tcPr>
          <w:p w14:paraId="049B292C">
            <w:pPr>
              <w:spacing w:line="300" w:lineRule="exact"/>
              <w:rPr>
                <w:rFonts w:ascii="Times New Roman" w:hAnsi="Times New Roman" w:eastAsia="宋体" w:cs="Times New Roman"/>
                <w:sz w:val="21"/>
                <w:szCs w:val="21"/>
              </w:rPr>
            </w:pPr>
            <w:r>
              <w:rPr>
                <w:rFonts w:ascii="Times New Roman" w:hAnsi="Times New Roman" w:eastAsia="宋体" w:cs="Times New Roman"/>
                <w:sz w:val="21"/>
                <w:szCs w:val="21"/>
              </w:rPr>
              <w:t>明确环境应急组织机构体系、人员及应急工作职责</w:t>
            </w:r>
          </w:p>
        </w:tc>
      </w:tr>
      <w:tr w14:paraId="5FBA0A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4BE9AA36">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1838" w:type="dxa"/>
            <w:vAlign w:val="center"/>
          </w:tcPr>
          <w:p w14:paraId="41629794">
            <w:pPr>
              <w:keepNext w:val="0"/>
              <w:keepLines w:val="0"/>
              <w:pageBreakBefore w:val="0"/>
              <w:kinsoku/>
              <w:wordWrap/>
              <w:overflowPunct/>
              <w:topLinePunct w:val="0"/>
              <w:autoSpaceDE/>
              <w:autoSpaceDN/>
              <w:bidi w:val="0"/>
              <w:adjustRightInd/>
              <w:snapToGrid/>
              <w:spacing w:line="31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监控预警</w:t>
            </w:r>
          </w:p>
        </w:tc>
        <w:tc>
          <w:tcPr>
            <w:tcW w:w="6755" w:type="dxa"/>
            <w:vAlign w:val="center"/>
          </w:tcPr>
          <w:p w14:paraId="05634D12">
            <w:pPr>
              <w:keepNext w:val="0"/>
              <w:keepLines w:val="0"/>
              <w:pageBreakBefore w:val="0"/>
              <w:kinsoku/>
              <w:wordWrap/>
              <w:overflowPunct/>
              <w:topLinePunct w:val="0"/>
              <w:autoSpaceDE/>
              <w:autoSpaceDN/>
              <w:bidi w:val="0"/>
              <w:adjustRightInd/>
              <w:snapToGrid/>
              <w:spacing w:line="310" w:lineRule="exact"/>
              <w:textAlignment w:val="auto"/>
              <w:rPr>
                <w:rFonts w:ascii="Times New Roman" w:hAnsi="Times New Roman" w:eastAsia="宋体" w:cs="Times New Roman"/>
                <w:sz w:val="21"/>
                <w:szCs w:val="21"/>
              </w:rPr>
            </w:pPr>
            <w:r>
              <w:rPr>
                <w:rFonts w:ascii="Times New Roman" w:hAnsi="Times New Roman" w:eastAsia="宋体" w:cs="Times New Roman"/>
                <w:sz w:val="21"/>
                <w:szCs w:val="21"/>
              </w:rPr>
              <w:t>明确对环境风险源监控的方式、方法以及采取的预防措施；明确预警级别、预警发布与解除、预警措施等</w:t>
            </w:r>
          </w:p>
        </w:tc>
      </w:tr>
      <w:tr w14:paraId="5C1790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5E85C1F7">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1838" w:type="dxa"/>
            <w:vAlign w:val="center"/>
          </w:tcPr>
          <w:p w14:paraId="3312FF71">
            <w:pPr>
              <w:keepNext w:val="0"/>
              <w:keepLines w:val="0"/>
              <w:pageBreakBefore w:val="0"/>
              <w:kinsoku/>
              <w:wordWrap/>
              <w:overflowPunct/>
              <w:topLinePunct w:val="0"/>
              <w:autoSpaceDE/>
              <w:autoSpaceDN/>
              <w:bidi w:val="0"/>
              <w:adjustRightInd/>
              <w:snapToGrid/>
              <w:spacing w:line="31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信息报告</w:t>
            </w:r>
          </w:p>
        </w:tc>
        <w:tc>
          <w:tcPr>
            <w:tcW w:w="6755" w:type="dxa"/>
            <w:vAlign w:val="center"/>
          </w:tcPr>
          <w:p w14:paraId="1A4BC763">
            <w:pPr>
              <w:keepNext w:val="0"/>
              <w:keepLines w:val="0"/>
              <w:pageBreakBefore w:val="0"/>
              <w:kinsoku/>
              <w:wordWrap/>
              <w:overflowPunct/>
              <w:topLinePunct w:val="0"/>
              <w:autoSpaceDE/>
              <w:autoSpaceDN/>
              <w:bidi w:val="0"/>
              <w:adjustRightInd/>
              <w:snapToGrid/>
              <w:spacing w:line="310" w:lineRule="exact"/>
              <w:textAlignment w:val="auto"/>
              <w:outlineLvl w:val="4"/>
              <w:rPr>
                <w:rFonts w:ascii="Times New Roman" w:hAnsi="Times New Roman" w:eastAsia="宋体" w:cs="Times New Roman"/>
                <w:sz w:val="21"/>
                <w:szCs w:val="21"/>
              </w:rPr>
            </w:pPr>
            <w:r>
              <w:rPr>
                <w:rFonts w:ascii="Times New Roman" w:hAnsi="Times New Roman" w:eastAsia="宋体" w:cs="Times New Roman"/>
                <w:sz w:val="21"/>
                <w:szCs w:val="21"/>
              </w:rPr>
              <w:t>说明信息报告程序、信息报告内容及方式</w:t>
            </w:r>
          </w:p>
        </w:tc>
      </w:tr>
      <w:tr w14:paraId="12D458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54441D9E">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1838" w:type="dxa"/>
            <w:vAlign w:val="center"/>
          </w:tcPr>
          <w:p w14:paraId="2A4E4C85">
            <w:pPr>
              <w:keepNext w:val="0"/>
              <w:keepLines w:val="0"/>
              <w:pageBreakBefore w:val="0"/>
              <w:kinsoku/>
              <w:wordWrap/>
              <w:overflowPunct/>
              <w:topLinePunct w:val="0"/>
              <w:autoSpaceDE/>
              <w:autoSpaceDN/>
              <w:bidi w:val="0"/>
              <w:adjustRightInd/>
              <w:snapToGrid/>
              <w:spacing w:line="31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环境应急监测</w:t>
            </w:r>
          </w:p>
        </w:tc>
        <w:tc>
          <w:tcPr>
            <w:tcW w:w="6755" w:type="dxa"/>
            <w:vAlign w:val="center"/>
          </w:tcPr>
          <w:p w14:paraId="1F0549FC">
            <w:pPr>
              <w:keepNext w:val="0"/>
              <w:keepLines w:val="0"/>
              <w:pageBreakBefore w:val="0"/>
              <w:kinsoku/>
              <w:wordWrap/>
              <w:overflowPunct/>
              <w:topLinePunct w:val="0"/>
              <w:autoSpaceDE/>
              <w:autoSpaceDN/>
              <w:bidi w:val="0"/>
              <w:adjustRightInd/>
              <w:snapToGrid/>
              <w:spacing w:line="310" w:lineRule="exact"/>
              <w:textAlignment w:val="auto"/>
              <w:rPr>
                <w:rFonts w:ascii="Times New Roman" w:hAnsi="Times New Roman" w:eastAsia="宋体" w:cs="Times New Roman"/>
                <w:sz w:val="21"/>
                <w:szCs w:val="21"/>
              </w:rPr>
            </w:pPr>
            <w:r>
              <w:rPr>
                <w:rFonts w:ascii="Times New Roman" w:hAnsi="Times New Roman" w:eastAsia="宋体" w:cs="Times New Roman"/>
                <w:sz w:val="21"/>
                <w:szCs w:val="21"/>
              </w:rPr>
              <w:t>制定不同突发环境事件情景下的环境应急监测方案</w:t>
            </w:r>
          </w:p>
        </w:tc>
      </w:tr>
      <w:tr w14:paraId="29889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439EDC33">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1838" w:type="dxa"/>
            <w:vAlign w:val="center"/>
          </w:tcPr>
          <w:p w14:paraId="1D8F5ED8">
            <w:pPr>
              <w:keepNext w:val="0"/>
              <w:keepLines w:val="0"/>
              <w:pageBreakBefore w:val="0"/>
              <w:kinsoku/>
              <w:wordWrap/>
              <w:overflowPunct/>
              <w:topLinePunct w:val="0"/>
              <w:autoSpaceDE/>
              <w:autoSpaceDN/>
              <w:bidi w:val="0"/>
              <w:adjustRightInd/>
              <w:snapToGrid/>
              <w:spacing w:line="31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环境应急响应</w:t>
            </w:r>
          </w:p>
        </w:tc>
        <w:tc>
          <w:tcPr>
            <w:tcW w:w="6755" w:type="dxa"/>
            <w:vAlign w:val="center"/>
          </w:tcPr>
          <w:p w14:paraId="305797E8">
            <w:pPr>
              <w:keepNext w:val="0"/>
              <w:keepLines w:val="0"/>
              <w:pageBreakBefore w:val="0"/>
              <w:kinsoku/>
              <w:wordWrap/>
              <w:overflowPunct/>
              <w:topLinePunct w:val="0"/>
              <w:autoSpaceDE/>
              <w:autoSpaceDN/>
              <w:bidi w:val="0"/>
              <w:adjustRightInd/>
              <w:snapToGrid/>
              <w:spacing w:line="310" w:lineRule="exact"/>
              <w:jc w:val="left"/>
              <w:textAlignment w:val="auto"/>
              <w:rPr>
                <w:rFonts w:ascii="Times New Roman" w:hAnsi="Times New Roman" w:eastAsia="宋体" w:cs="Times New Roman"/>
                <w:sz w:val="21"/>
                <w:szCs w:val="21"/>
              </w:rPr>
            </w:pPr>
            <w:r>
              <w:rPr>
                <w:rFonts w:ascii="Times New Roman" w:hAnsi="Times New Roman" w:eastAsia="宋体" w:cs="Times New Roman"/>
                <w:sz w:val="21"/>
                <w:szCs w:val="21"/>
              </w:rPr>
              <w:t>说明并制定响应程序、响应分级、应急启动、应急处置</w:t>
            </w:r>
          </w:p>
        </w:tc>
      </w:tr>
      <w:tr w14:paraId="737C1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3AE866D1">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1838" w:type="dxa"/>
            <w:vAlign w:val="center"/>
          </w:tcPr>
          <w:p w14:paraId="4F62CF01">
            <w:pPr>
              <w:keepNext w:val="0"/>
              <w:keepLines w:val="0"/>
              <w:pageBreakBefore w:val="0"/>
              <w:kinsoku/>
              <w:wordWrap/>
              <w:overflowPunct/>
              <w:topLinePunct w:val="0"/>
              <w:autoSpaceDE/>
              <w:autoSpaceDN/>
              <w:bidi w:val="0"/>
              <w:adjustRightInd/>
              <w:snapToGrid/>
              <w:spacing w:line="31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应急终止</w:t>
            </w:r>
          </w:p>
        </w:tc>
        <w:tc>
          <w:tcPr>
            <w:tcW w:w="6755" w:type="dxa"/>
            <w:vAlign w:val="center"/>
          </w:tcPr>
          <w:p w14:paraId="28809D77">
            <w:pPr>
              <w:keepNext w:val="0"/>
              <w:keepLines w:val="0"/>
              <w:pageBreakBefore w:val="0"/>
              <w:kinsoku/>
              <w:wordWrap/>
              <w:overflowPunct/>
              <w:topLinePunct w:val="0"/>
              <w:autoSpaceDE/>
              <w:autoSpaceDN/>
              <w:bidi w:val="0"/>
              <w:adjustRightInd/>
              <w:snapToGrid/>
              <w:spacing w:line="310" w:lineRule="exact"/>
              <w:jc w:val="left"/>
              <w:textAlignment w:val="auto"/>
              <w:rPr>
                <w:rFonts w:ascii="Times New Roman" w:hAnsi="Times New Roman" w:eastAsia="宋体" w:cs="Times New Roman"/>
                <w:sz w:val="21"/>
                <w:szCs w:val="21"/>
              </w:rPr>
            </w:pPr>
            <w:r>
              <w:rPr>
                <w:rFonts w:ascii="Times New Roman" w:hAnsi="Times New Roman" w:eastAsia="宋体" w:cs="Times New Roman"/>
                <w:sz w:val="21"/>
                <w:szCs w:val="21"/>
              </w:rPr>
              <w:t>明确应急终止的条件、程序和责任人，说明应急状态终止后，开展跟踪环境监测和评估工作的方案</w:t>
            </w:r>
          </w:p>
        </w:tc>
      </w:tr>
      <w:tr w14:paraId="7B315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3FC26658">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1838" w:type="dxa"/>
            <w:vAlign w:val="center"/>
          </w:tcPr>
          <w:p w14:paraId="12C7B549">
            <w:pPr>
              <w:keepNext w:val="0"/>
              <w:keepLines w:val="0"/>
              <w:pageBreakBefore w:val="0"/>
              <w:kinsoku/>
              <w:wordWrap/>
              <w:overflowPunct/>
              <w:topLinePunct w:val="0"/>
              <w:autoSpaceDE/>
              <w:autoSpaceDN/>
              <w:bidi w:val="0"/>
              <w:adjustRightInd/>
              <w:snapToGrid/>
              <w:spacing w:line="31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事后恢复</w:t>
            </w:r>
          </w:p>
        </w:tc>
        <w:tc>
          <w:tcPr>
            <w:tcW w:w="6755" w:type="dxa"/>
            <w:vAlign w:val="center"/>
          </w:tcPr>
          <w:p w14:paraId="6B8109F2">
            <w:pPr>
              <w:pStyle w:val="2"/>
              <w:keepNext w:val="0"/>
              <w:keepLines w:val="0"/>
              <w:pageBreakBefore w:val="0"/>
              <w:kinsoku/>
              <w:wordWrap/>
              <w:overflowPunct/>
              <w:topLinePunct w:val="0"/>
              <w:autoSpaceDE/>
              <w:autoSpaceDN/>
              <w:bidi w:val="0"/>
              <w:adjustRightInd/>
              <w:snapToGrid/>
              <w:spacing w:after="0" w:line="310" w:lineRule="exact"/>
              <w:textAlignment w:val="auto"/>
              <w:rPr>
                <w:rFonts w:ascii="Times New Roman" w:hAnsi="Times New Roman" w:cs="Times New Roman"/>
                <w:sz w:val="21"/>
                <w:szCs w:val="21"/>
              </w:rPr>
            </w:pPr>
            <w:r>
              <w:rPr>
                <w:rFonts w:ascii="Times New Roman" w:hAnsi="Times New Roman" w:cs="Times New Roman"/>
                <w:sz w:val="21"/>
                <w:szCs w:val="21"/>
              </w:rPr>
              <w:t>明确现场污染物的后续处置措施以及环境应急相关设施、设备、场所的维护措施；突发环境事件发生后，及时做好理赔工作</w:t>
            </w:r>
          </w:p>
        </w:tc>
      </w:tr>
      <w:tr w14:paraId="0ED36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30AA6B8A">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1838" w:type="dxa"/>
            <w:vAlign w:val="center"/>
          </w:tcPr>
          <w:p w14:paraId="37A5FE03">
            <w:pPr>
              <w:keepNext w:val="0"/>
              <w:keepLines w:val="0"/>
              <w:pageBreakBefore w:val="0"/>
              <w:kinsoku/>
              <w:wordWrap/>
              <w:overflowPunct/>
              <w:topLinePunct w:val="0"/>
              <w:autoSpaceDE/>
              <w:autoSpaceDN/>
              <w:bidi w:val="0"/>
              <w:adjustRightInd/>
              <w:snapToGrid/>
              <w:spacing w:line="31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保障措施</w:t>
            </w:r>
          </w:p>
        </w:tc>
        <w:tc>
          <w:tcPr>
            <w:tcW w:w="6755" w:type="dxa"/>
            <w:vAlign w:val="center"/>
          </w:tcPr>
          <w:p w14:paraId="028F2A15">
            <w:pPr>
              <w:keepNext w:val="0"/>
              <w:keepLines w:val="0"/>
              <w:pageBreakBefore w:val="0"/>
              <w:widowControl/>
              <w:kinsoku/>
              <w:wordWrap/>
              <w:overflowPunct/>
              <w:topLinePunct w:val="0"/>
              <w:autoSpaceDE/>
              <w:autoSpaceDN/>
              <w:bidi w:val="0"/>
              <w:adjustRightInd/>
              <w:snapToGrid/>
              <w:spacing w:line="310" w:lineRule="exact"/>
              <w:jc w:val="left"/>
              <w:textAlignment w:val="auto"/>
              <w:rPr>
                <w:rFonts w:ascii="Times New Roman" w:hAnsi="Times New Roman" w:eastAsia="宋体" w:cs="Times New Roman"/>
                <w:sz w:val="21"/>
                <w:szCs w:val="21"/>
              </w:rPr>
            </w:pPr>
            <w:r>
              <w:rPr>
                <w:rFonts w:ascii="Times New Roman" w:hAnsi="Times New Roman" w:eastAsia="宋体" w:cs="Times New Roman"/>
                <w:kern w:val="0"/>
                <w:sz w:val="21"/>
                <w:szCs w:val="21"/>
                <w:lang w:bidi="ar"/>
              </w:rPr>
              <w:t>包括经费保障、制度保障、应急物资装备保障、应急队伍保障、通信与信息保障等</w:t>
            </w:r>
          </w:p>
        </w:tc>
      </w:tr>
      <w:tr w14:paraId="3C06B9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1AA09023">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1838" w:type="dxa"/>
            <w:vAlign w:val="center"/>
          </w:tcPr>
          <w:p w14:paraId="4450AC3E">
            <w:pPr>
              <w:keepNext w:val="0"/>
              <w:keepLines w:val="0"/>
              <w:pageBreakBefore w:val="0"/>
              <w:kinsoku/>
              <w:wordWrap/>
              <w:overflowPunct/>
              <w:topLinePunct w:val="0"/>
              <w:autoSpaceDE/>
              <w:autoSpaceDN/>
              <w:bidi w:val="0"/>
              <w:adjustRightInd/>
              <w:snapToGrid/>
              <w:spacing w:line="31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预案管理</w:t>
            </w:r>
          </w:p>
        </w:tc>
        <w:tc>
          <w:tcPr>
            <w:tcW w:w="6755" w:type="dxa"/>
            <w:vAlign w:val="center"/>
          </w:tcPr>
          <w:p w14:paraId="1C8B83A9">
            <w:pPr>
              <w:keepNext w:val="0"/>
              <w:keepLines w:val="0"/>
              <w:pageBreakBefore w:val="0"/>
              <w:widowControl/>
              <w:kinsoku/>
              <w:wordWrap/>
              <w:overflowPunct/>
              <w:topLinePunct w:val="0"/>
              <w:autoSpaceDE/>
              <w:autoSpaceDN/>
              <w:bidi w:val="0"/>
              <w:adjustRightInd/>
              <w:snapToGrid/>
              <w:spacing w:line="310" w:lineRule="exact"/>
              <w:jc w:val="left"/>
              <w:textAlignment w:val="auto"/>
              <w:rPr>
                <w:rFonts w:ascii="Times New Roman" w:hAnsi="Times New Roman" w:eastAsia="宋体" w:cs="Times New Roman"/>
                <w:sz w:val="21"/>
                <w:szCs w:val="21"/>
              </w:rPr>
            </w:pPr>
            <w:r>
              <w:rPr>
                <w:rFonts w:ascii="Times New Roman" w:hAnsi="Times New Roman" w:eastAsia="宋体" w:cs="Times New Roman"/>
                <w:kern w:val="0"/>
                <w:sz w:val="21"/>
                <w:szCs w:val="21"/>
                <w:lang w:bidi="ar"/>
              </w:rPr>
              <w:t>明确环境应急预案培训、演练、评估修订等要求</w:t>
            </w:r>
          </w:p>
        </w:tc>
      </w:tr>
      <w:tr w14:paraId="5EF52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9251" w:type="dxa"/>
            <w:gridSpan w:val="3"/>
            <w:vAlign w:val="center"/>
          </w:tcPr>
          <w:p w14:paraId="221EA9B0">
            <w:pPr>
              <w:keepNext w:val="0"/>
              <w:keepLines w:val="0"/>
              <w:pageBreakBefore w:val="0"/>
              <w:kinsoku/>
              <w:wordWrap/>
              <w:overflowPunct/>
              <w:topLinePunct w:val="0"/>
              <w:autoSpaceDE/>
              <w:autoSpaceDN/>
              <w:bidi w:val="0"/>
              <w:adjustRightInd/>
              <w:snapToGrid/>
              <w:spacing w:line="310" w:lineRule="exact"/>
              <w:jc w:val="center"/>
              <w:textAlignment w:val="auto"/>
              <w:rPr>
                <w:rFonts w:ascii="Times New Roman" w:hAnsi="Times New Roman" w:eastAsia="宋体" w:cs="Times New Roman"/>
                <w:sz w:val="21"/>
                <w:szCs w:val="21"/>
              </w:rPr>
            </w:pPr>
            <w:r>
              <w:rPr>
                <w:rFonts w:ascii="Times New Roman" w:hAnsi="Times New Roman" w:eastAsia="宋体" w:cs="Times New Roman"/>
                <w:b/>
                <w:bCs/>
                <w:sz w:val="21"/>
                <w:szCs w:val="21"/>
              </w:rPr>
              <w:t>专项预案</w:t>
            </w:r>
          </w:p>
        </w:tc>
      </w:tr>
      <w:tr w14:paraId="35C89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21F30156">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838" w:type="dxa"/>
            <w:vAlign w:val="center"/>
          </w:tcPr>
          <w:p w14:paraId="43DA1407">
            <w:pPr>
              <w:keepNext w:val="0"/>
              <w:keepLines w:val="0"/>
              <w:pageBreakBefore w:val="0"/>
              <w:kinsoku/>
              <w:wordWrap/>
              <w:overflowPunct/>
              <w:topLinePunct w:val="0"/>
              <w:autoSpaceDE/>
              <w:autoSpaceDN/>
              <w:bidi w:val="0"/>
              <w:adjustRightInd/>
              <w:snapToGrid/>
              <w:spacing w:line="310" w:lineRule="exact"/>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总体要求</w:t>
            </w:r>
          </w:p>
        </w:tc>
        <w:tc>
          <w:tcPr>
            <w:tcW w:w="6755" w:type="dxa"/>
            <w:vAlign w:val="center"/>
          </w:tcPr>
          <w:p w14:paraId="0E4E4F5A">
            <w:pPr>
              <w:keepNext w:val="0"/>
              <w:keepLines w:val="0"/>
              <w:pageBreakBefore w:val="0"/>
              <w:widowControl/>
              <w:kinsoku/>
              <w:wordWrap/>
              <w:overflowPunct/>
              <w:topLinePunct w:val="0"/>
              <w:autoSpaceDE/>
              <w:autoSpaceDN/>
              <w:bidi w:val="0"/>
              <w:adjustRightInd/>
              <w:snapToGrid/>
              <w:spacing w:line="310" w:lineRule="exact"/>
              <w:jc w:val="left"/>
              <w:textAlignment w:val="auto"/>
              <w:rPr>
                <w:rFonts w:ascii="Times New Roman" w:hAnsi="Times New Roman" w:eastAsia="宋体" w:cs="Times New Roman"/>
                <w:sz w:val="21"/>
                <w:szCs w:val="21"/>
              </w:rPr>
            </w:pPr>
            <w:r>
              <w:rPr>
                <w:rFonts w:ascii="Times New Roman" w:hAnsi="Times New Roman" w:eastAsia="宋体" w:cs="Times New Roman"/>
                <w:kern w:val="0"/>
                <w:sz w:val="21"/>
                <w:szCs w:val="21"/>
                <w:lang w:bidi="ar"/>
              </w:rPr>
              <w:t xml:space="preserve">针对某一种或多种类型突发环境事件制定专项预案，包括突发环境事 </w:t>
            </w:r>
          </w:p>
          <w:p w14:paraId="2BC6DA62">
            <w:pPr>
              <w:keepNext w:val="0"/>
              <w:keepLines w:val="0"/>
              <w:pageBreakBefore w:val="0"/>
              <w:widowControl/>
              <w:kinsoku/>
              <w:wordWrap/>
              <w:overflowPunct/>
              <w:topLinePunct w:val="0"/>
              <w:autoSpaceDE/>
              <w:autoSpaceDN/>
              <w:bidi w:val="0"/>
              <w:adjustRightInd/>
              <w:snapToGrid/>
              <w:spacing w:line="310" w:lineRule="exact"/>
              <w:jc w:val="left"/>
              <w:textAlignment w:val="auto"/>
              <w:rPr>
                <w:rFonts w:ascii="Times New Roman" w:hAnsi="Times New Roman" w:eastAsia="宋体" w:cs="Times New Roman"/>
                <w:sz w:val="21"/>
                <w:szCs w:val="21"/>
              </w:rPr>
            </w:pPr>
            <w:r>
              <w:rPr>
                <w:rFonts w:ascii="Times New Roman" w:hAnsi="Times New Roman" w:eastAsia="宋体" w:cs="Times New Roman"/>
                <w:kern w:val="0"/>
                <w:sz w:val="21"/>
                <w:szCs w:val="21"/>
                <w:lang w:bidi="ar"/>
              </w:rPr>
              <w:t>件特征、应急组织机构、应急处置程序、应急处置措施等内容</w:t>
            </w:r>
          </w:p>
        </w:tc>
      </w:tr>
      <w:tr w14:paraId="34B6D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4FBEF408">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1838" w:type="dxa"/>
            <w:vAlign w:val="center"/>
          </w:tcPr>
          <w:p w14:paraId="563A2424">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突发环境事件特征</w:t>
            </w:r>
          </w:p>
        </w:tc>
        <w:tc>
          <w:tcPr>
            <w:tcW w:w="6755" w:type="dxa"/>
            <w:vAlign w:val="center"/>
          </w:tcPr>
          <w:p w14:paraId="783A208F">
            <w:pPr>
              <w:widowControl/>
              <w:spacing w:line="300" w:lineRule="exact"/>
              <w:jc w:val="left"/>
              <w:rPr>
                <w:rFonts w:ascii="Times New Roman" w:hAnsi="Times New Roman" w:eastAsia="宋体" w:cs="Times New Roman"/>
                <w:sz w:val="21"/>
                <w:szCs w:val="21"/>
              </w:rPr>
            </w:pPr>
            <w:r>
              <w:rPr>
                <w:rFonts w:ascii="Times New Roman" w:hAnsi="Times New Roman" w:eastAsia="宋体" w:cs="Times New Roman"/>
                <w:kern w:val="0"/>
                <w:sz w:val="21"/>
                <w:szCs w:val="21"/>
                <w:lang w:bidi="ar"/>
              </w:rPr>
              <w:t>说明可能发生的突发环境事件的特征，包括事件可能引发原因、涉及的环境风险物质、事件的危险性和可能影响范围等</w:t>
            </w:r>
          </w:p>
        </w:tc>
      </w:tr>
      <w:tr w14:paraId="50D35F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4B76C5EC">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1838" w:type="dxa"/>
            <w:vAlign w:val="center"/>
          </w:tcPr>
          <w:p w14:paraId="6314AD8F">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应急组织机构</w:t>
            </w:r>
          </w:p>
        </w:tc>
        <w:tc>
          <w:tcPr>
            <w:tcW w:w="6755" w:type="dxa"/>
            <w:vAlign w:val="center"/>
          </w:tcPr>
          <w:p w14:paraId="209FA388">
            <w:pPr>
              <w:spacing w:line="300" w:lineRule="exact"/>
              <w:jc w:val="left"/>
              <w:rPr>
                <w:rFonts w:ascii="Times New Roman" w:hAnsi="Times New Roman" w:eastAsia="宋体" w:cs="Times New Roman"/>
                <w:sz w:val="21"/>
                <w:szCs w:val="21"/>
              </w:rPr>
            </w:pPr>
            <w:r>
              <w:rPr>
                <w:rFonts w:ascii="Times New Roman" w:hAnsi="Times New Roman" w:eastAsia="宋体" w:cs="Times New Roman"/>
                <w:sz w:val="21"/>
                <w:szCs w:val="21"/>
              </w:rPr>
              <w:t>明确事件发生时，应负责现场处置的工作组、成员和工作职责</w:t>
            </w:r>
          </w:p>
        </w:tc>
      </w:tr>
      <w:tr w14:paraId="1C5F9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029FED39">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1838" w:type="dxa"/>
            <w:vAlign w:val="center"/>
          </w:tcPr>
          <w:p w14:paraId="0716DF40">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应急处置程序</w:t>
            </w:r>
          </w:p>
        </w:tc>
        <w:tc>
          <w:tcPr>
            <w:tcW w:w="6755" w:type="dxa"/>
            <w:vAlign w:val="center"/>
          </w:tcPr>
          <w:p w14:paraId="7097C0C0">
            <w:pPr>
              <w:widowControl/>
              <w:spacing w:line="300" w:lineRule="exact"/>
              <w:jc w:val="left"/>
              <w:rPr>
                <w:rFonts w:ascii="Times New Roman" w:hAnsi="Times New Roman" w:eastAsia="宋体" w:cs="Times New Roman"/>
                <w:sz w:val="21"/>
                <w:szCs w:val="21"/>
              </w:rPr>
            </w:pPr>
            <w:r>
              <w:rPr>
                <w:rFonts w:ascii="Times New Roman" w:hAnsi="Times New Roman" w:eastAsia="宋体" w:cs="Times New Roman"/>
                <w:kern w:val="0"/>
                <w:sz w:val="21"/>
                <w:szCs w:val="21"/>
                <w:lang w:bidi="ar"/>
              </w:rPr>
              <w:t>明确应急处置程序</w:t>
            </w:r>
          </w:p>
        </w:tc>
      </w:tr>
      <w:tr w14:paraId="4D08F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75793BB7">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838" w:type="dxa"/>
            <w:vAlign w:val="center"/>
          </w:tcPr>
          <w:p w14:paraId="2793C050">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应急处置措施</w:t>
            </w:r>
          </w:p>
        </w:tc>
        <w:tc>
          <w:tcPr>
            <w:tcW w:w="6755" w:type="dxa"/>
            <w:vAlign w:val="center"/>
          </w:tcPr>
          <w:p w14:paraId="5299BD88">
            <w:pPr>
              <w:widowControl/>
              <w:spacing w:line="300" w:lineRule="exact"/>
              <w:jc w:val="left"/>
              <w:rPr>
                <w:rFonts w:ascii="Times New Roman" w:hAnsi="Times New Roman" w:eastAsia="宋体" w:cs="Times New Roman"/>
                <w:sz w:val="21"/>
                <w:szCs w:val="21"/>
              </w:rPr>
            </w:pPr>
            <w:r>
              <w:rPr>
                <w:rFonts w:ascii="Times New Roman" w:hAnsi="Times New Roman" w:eastAsia="宋体" w:cs="Times New Roman"/>
                <w:kern w:val="0"/>
                <w:sz w:val="21"/>
                <w:szCs w:val="21"/>
                <w:lang w:bidi="ar"/>
              </w:rPr>
              <w:t>说明应急处置措施，应包括污染源切断、污染物控制、污染物消除、应急监测及应急物资调用等</w:t>
            </w:r>
          </w:p>
        </w:tc>
      </w:tr>
      <w:tr w14:paraId="73EE3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9251" w:type="dxa"/>
            <w:gridSpan w:val="3"/>
            <w:vAlign w:val="center"/>
          </w:tcPr>
          <w:p w14:paraId="32ADCA22">
            <w:pPr>
              <w:spacing w:line="300" w:lineRule="exact"/>
              <w:jc w:val="center"/>
              <w:rPr>
                <w:rFonts w:ascii="Times New Roman" w:hAnsi="Times New Roman" w:eastAsia="宋体" w:cs="Times New Roman"/>
                <w:sz w:val="21"/>
                <w:szCs w:val="21"/>
              </w:rPr>
            </w:pPr>
            <w:r>
              <w:rPr>
                <w:rFonts w:ascii="Times New Roman" w:hAnsi="Times New Roman" w:eastAsia="宋体" w:cs="Times New Roman"/>
                <w:b/>
                <w:bCs/>
                <w:sz w:val="21"/>
                <w:szCs w:val="21"/>
              </w:rPr>
              <w:t>现场处置预案</w:t>
            </w:r>
          </w:p>
        </w:tc>
      </w:tr>
      <w:tr w14:paraId="2428EA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42C04264">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838" w:type="dxa"/>
            <w:vAlign w:val="center"/>
          </w:tcPr>
          <w:p w14:paraId="63E456D5">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总体要求</w:t>
            </w:r>
          </w:p>
        </w:tc>
        <w:tc>
          <w:tcPr>
            <w:tcW w:w="6755" w:type="dxa"/>
            <w:vAlign w:val="center"/>
          </w:tcPr>
          <w:p w14:paraId="645AFE47">
            <w:pPr>
              <w:widowControl/>
              <w:spacing w:line="300" w:lineRule="exact"/>
              <w:jc w:val="left"/>
              <w:rPr>
                <w:rFonts w:ascii="Times New Roman" w:hAnsi="Times New Roman" w:eastAsia="宋体" w:cs="Times New Roman"/>
                <w:sz w:val="21"/>
                <w:szCs w:val="21"/>
              </w:rPr>
            </w:pPr>
            <w:r>
              <w:rPr>
                <w:rFonts w:ascii="Times New Roman" w:hAnsi="Times New Roman" w:eastAsia="宋体" w:cs="Times New Roman"/>
                <w:kern w:val="0"/>
                <w:sz w:val="21"/>
                <w:szCs w:val="21"/>
                <w:lang w:bidi="ar"/>
              </w:rPr>
              <w:t>结合已识别出的重点环境风险单元，制定现场处置预案</w:t>
            </w:r>
          </w:p>
        </w:tc>
      </w:tr>
      <w:tr w14:paraId="28D28D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5FF08961">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1838" w:type="dxa"/>
            <w:vAlign w:val="center"/>
          </w:tcPr>
          <w:p w14:paraId="6308A9AE">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环境风险单元特征</w:t>
            </w:r>
          </w:p>
        </w:tc>
        <w:tc>
          <w:tcPr>
            <w:tcW w:w="6755" w:type="dxa"/>
            <w:vAlign w:val="center"/>
          </w:tcPr>
          <w:p w14:paraId="4D195B55">
            <w:pPr>
              <w:widowControl/>
              <w:spacing w:line="300" w:lineRule="exact"/>
              <w:jc w:val="left"/>
              <w:rPr>
                <w:rFonts w:ascii="Times New Roman" w:hAnsi="Times New Roman" w:eastAsia="宋体" w:cs="Times New Roman"/>
                <w:sz w:val="21"/>
                <w:szCs w:val="21"/>
              </w:rPr>
            </w:pPr>
            <w:r>
              <w:rPr>
                <w:rFonts w:ascii="Times New Roman" w:hAnsi="Times New Roman" w:eastAsia="宋体" w:cs="Times New Roman"/>
                <w:kern w:val="0"/>
                <w:sz w:val="21"/>
                <w:szCs w:val="21"/>
                <w:lang w:bidi="ar"/>
              </w:rPr>
              <w:t>说明环境风险单元所涉及环境风险物质、生产工艺、环境风险类型及危害等特征</w:t>
            </w:r>
          </w:p>
        </w:tc>
      </w:tr>
      <w:tr w14:paraId="18E906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3AB718B8">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1838" w:type="dxa"/>
            <w:vAlign w:val="center"/>
          </w:tcPr>
          <w:p w14:paraId="4A5128F6">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应急处置要点</w:t>
            </w:r>
          </w:p>
        </w:tc>
        <w:tc>
          <w:tcPr>
            <w:tcW w:w="6755" w:type="dxa"/>
            <w:vAlign w:val="center"/>
          </w:tcPr>
          <w:p w14:paraId="679CD406">
            <w:pPr>
              <w:widowControl/>
              <w:spacing w:line="300" w:lineRule="exact"/>
              <w:jc w:val="left"/>
              <w:rPr>
                <w:rFonts w:ascii="Times New Roman" w:hAnsi="Times New Roman" w:eastAsia="宋体" w:cs="Times New Roman"/>
                <w:sz w:val="21"/>
                <w:szCs w:val="21"/>
              </w:rPr>
            </w:pPr>
            <w:r>
              <w:rPr>
                <w:rFonts w:ascii="Times New Roman" w:hAnsi="Times New Roman" w:eastAsia="宋体" w:cs="Times New Roman"/>
                <w:kern w:val="0"/>
                <w:sz w:val="21"/>
                <w:szCs w:val="21"/>
                <w:lang w:bidi="ar"/>
              </w:rPr>
              <w:t>针对环境风险单元的特征，明确污染源切断、污染物控制、应急物资调用、信息报告、应急防护等要点</w:t>
            </w:r>
          </w:p>
        </w:tc>
      </w:tr>
      <w:tr w14:paraId="202968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58" w:type="dxa"/>
            <w:vAlign w:val="center"/>
          </w:tcPr>
          <w:p w14:paraId="6DF8EA95">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1838" w:type="dxa"/>
            <w:vAlign w:val="center"/>
          </w:tcPr>
          <w:p w14:paraId="055DF86D">
            <w:pPr>
              <w:spacing w:line="300" w:lineRule="exact"/>
              <w:jc w:val="center"/>
              <w:rPr>
                <w:rFonts w:ascii="Times New Roman" w:hAnsi="Times New Roman" w:eastAsia="宋体" w:cs="Times New Roman"/>
                <w:sz w:val="21"/>
                <w:szCs w:val="21"/>
              </w:rPr>
            </w:pPr>
            <w:r>
              <w:rPr>
                <w:rFonts w:ascii="Times New Roman" w:hAnsi="Times New Roman" w:eastAsia="宋体" w:cs="Times New Roman"/>
                <w:sz w:val="21"/>
                <w:szCs w:val="21"/>
              </w:rPr>
              <w:t>应急处置卡</w:t>
            </w:r>
          </w:p>
        </w:tc>
        <w:tc>
          <w:tcPr>
            <w:tcW w:w="6755" w:type="dxa"/>
            <w:vAlign w:val="center"/>
          </w:tcPr>
          <w:p w14:paraId="7362C4B5">
            <w:pPr>
              <w:widowControl/>
              <w:spacing w:line="300" w:lineRule="exact"/>
              <w:jc w:val="left"/>
              <w:rPr>
                <w:rFonts w:ascii="Times New Roman" w:hAnsi="Times New Roman" w:eastAsia="宋体" w:cs="Times New Roman"/>
                <w:sz w:val="21"/>
                <w:szCs w:val="21"/>
              </w:rPr>
            </w:pPr>
            <w:r>
              <w:rPr>
                <w:rFonts w:ascii="Times New Roman" w:hAnsi="Times New Roman" w:eastAsia="宋体" w:cs="Times New Roman"/>
                <w:kern w:val="0"/>
                <w:sz w:val="21"/>
                <w:szCs w:val="21"/>
                <w:lang w:bidi="ar"/>
              </w:rPr>
              <w:t>针对环境风险单元中重点工作岗位编制应急处置卡</w:t>
            </w:r>
          </w:p>
        </w:tc>
      </w:tr>
    </w:tbl>
    <w:p w14:paraId="5AE500CA">
      <w:pPr>
        <w:pStyle w:val="8"/>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6.2.6.4 环境风险评价结论</w:t>
      </w:r>
    </w:p>
    <w:p w14:paraId="0B2DD5FD">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环境风险评价等级为简单分析。建设单位必须加强事故防范，杜绝事故的发生，应在项目建成投产前制定事故防范措施及应急预案。一旦发生事故，公司必须采取有效的事故应急措施和启动应急预案，控制污染物排放量，缩短污染持续时间，减轻事故的环境影响。</w:t>
      </w:r>
    </w:p>
    <w:p w14:paraId="4A3AAD7D">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综上分析，</w:t>
      </w:r>
      <w:r>
        <w:rPr>
          <w:color w:val="000000" w:themeColor="text1"/>
          <w14:textFill>
            <w14:solidFill>
              <w14:schemeClr w14:val="tx1"/>
            </w14:solidFill>
          </w14:textFill>
        </w:rPr>
        <w:t>企业在采取有效的风险防范措施和制定充分可行的应急预案的情况下，本项目的环境风险可</w:t>
      </w:r>
      <w:r>
        <w:rPr>
          <w:rFonts w:hint="eastAsia"/>
          <w:color w:val="000000" w:themeColor="text1"/>
          <w14:textFill>
            <w14:solidFill>
              <w14:schemeClr w14:val="tx1"/>
            </w14:solidFill>
          </w14:textFill>
        </w:rPr>
        <w:t>防</w:t>
      </w:r>
      <w:r>
        <w:rPr>
          <w:color w:val="000000" w:themeColor="text1"/>
          <w14:textFill>
            <w14:solidFill>
              <w14:schemeClr w14:val="tx1"/>
            </w14:solidFill>
          </w14:textFill>
        </w:rPr>
        <w:t>控</w:t>
      </w:r>
      <w:r>
        <w:rPr>
          <w:rFonts w:hint="eastAsia"/>
          <w:color w:val="000000" w:themeColor="text1"/>
          <w14:textFill>
            <w14:solidFill>
              <w14:schemeClr w14:val="tx1"/>
            </w14:solidFill>
          </w14:textFill>
        </w:rPr>
        <w:t>，符合《江苏省环境影响评价文件环境应急相关内容编制要点》（苏环办〔2022〕338 号文）的要求。</w:t>
      </w:r>
    </w:p>
    <w:p w14:paraId="63530E82">
      <w:pPr>
        <w:pStyle w:val="7"/>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.2.7 </w:t>
      </w:r>
      <w:r>
        <w:rPr>
          <w:rFonts w:hint="eastAsia"/>
          <w:color w:val="000000" w:themeColor="text1"/>
          <w14:textFill>
            <w14:solidFill>
              <w14:schemeClr w14:val="tx1"/>
            </w14:solidFill>
          </w14:textFill>
        </w:rPr>
        <w:t>排污口规范化设置</w:t>
      </w:r>
    </w:p>
    <w:p w14:paraId="5AEC4570">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根据苏环控[1997]122号《关于印发&lt;江苏省排污口设置及规范化整治管理办法&gt;的通知》，污（废）水排放口、废气排气筒、噪声污染源和固体废物贮存（处置）场所须规范化设置，</w:t>
      </w:r>
      <w:r>
        <w:rPr>
          <w:rFonts w:hint="eastAsia" w:eastAsia="宋体" w:cs="Times New Roman"/>
          <w:color w:val="000000" w:themeColor="text1"/>
          <w:szCs w:val="24"/>
          <w14:textFill>
            <w14:solidFill>
              <w14:schemeClr w14:val="tx1"/>
            </w14:solidFill>
          </w14:textFill>
        </w:rPr>
        <w:t>并按管理部门要求设置在线监测系统</w:t>
      </w:r>
      <w:r>
        <w:rPr>
          <w:rFonts w:ascii="Times New Roman" w:hAnsi="Times New Roman" w:eastAsia="宋体" w:cs="Times New Roman"/>
          <w:color w:val="000000" w:themeColor="text1"/>
          <w:szCs w:val="24"/>
          <w14:textFill>
            <w14:solidFill>
              <w14:schemeClr w14:val="tx1"/>
            </w14:solidFill>
          </w14:textFill>
        </w:rPr>
        <w:t>。</w:t>
      </w:r>
    </w:p>
    <w:p w14:paraId="15D25303">
      <w:pPr>
        <w:pStyle w:val="8"/>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6.2.7.1 废气排放口的规范化设置</w:t>
      </w:r>
    </w:p>
    <w:p w14:paraId="53395E51">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1）项目共设置排气筒</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根，具体设置情况见表6.2-</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w:t>
      </w:r>
    </w:p>
    <w:p w14:paraId="549E1462">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2）废气排放口必须符合《污染源监测技术规范》的要求，设置便于采样、监测的采样口和采样监测平台；</w:t>
      </w:r>
    </w:p>
    <w:p w14:paraId="08A70201">
      <w:pPr>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3）在排气筒附近地面醒目处设置环境保护图形标志牌，标明排气筒高度、出口内径、排放污染物种类等。</w:t>
      </w:r>
    </w:p>
    <w:p w14:paraId="4F9EAD9A">
      <w:pPr>
        <w:pStyle w:val="8"/>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6.2.7.2废水排放口的规范化设置</w:t>
      </w:r>
    </w:p>
    <w:p w14:paraId="1D39F9FD">
      <w:pPr>
        <w:adjustRightInd w:val="0"/>
        <w:snapToGrid w:val="0"/>
        <w:spacing w:line="480" w:lineRule="exact"/>
        <w:ind w:firstLine="480" w:firstLineChars="200"/>
        <w:rPr>
          <w:rFonts w:ascii="Times New Roman"/>
          <w:szCs w:val="24"/>
        </w:rPr>
      </w:pPr>
      <w:r>
        <w:rPr>
          <w:rFonts w:ascii="Times New Roman"/>
          <w:szCs w:val="24"/>
        </w:rPr>
        <w:t>项目</w:t>
      </w:r>
      <w:r>
        <w:rPr>
          <w:rFonts w:hint="eastAsia" w:ascii="Times New Roman"/>
          <w:szCs w:val="24"/>
        </w:rPr>
        <w:t>厂区实行</w:t>
      </w:r>
      <w:r>
        <w:rPr>
          <w:rFonts w:ascii="Times New Roman"/>
          <w:szCs w:val="24"/>
        </w:rPr>
        <w:t>“雨污分流”，</w:t>
      </w:r>
      <w:r>
        <w:rPr>
          <w:rFonts w:hint="eastAsia" w:ascii="Times New Roman"/>
          <w:szCs w:val="24"/>
        </w:rPr>
        <w:t>项目产生的废水经厂区污水站处理达标后用于周边农田灌溉，废水不排放，故项目不设置污水排口，项目厂区</w:t>
      </w:r>
      <w:r>
        <w:rPr>
          <w:rFonts w:ascii="Times New Roman"/>
          <w:szCs w:val="24"/>
        </w:rPr>
        <w:t>新增一个雨水排口。</w:t>
      </w:r>
      <w:r>
        <w:rPr>
          <w:rFonts w:hint="eastAsia" w:ascii="Times New Roman"/>
          <w:szCs w:val="24"/>
        </w:rPr>
        <w:t>雨水排口</w:t>
      </w:r>
      <w:r>
        <w:rPr>
          <w:rFonts w:hint="eastAsia"/>
          <w:color w:val="000000"/>
          <w:szCs w:val="24"/>
        </w:rPr>
        <w:t>设置取样口，同时应</w:t>
      </w:r>
      <w:r>
        <w:rPr>
          <w:color w:val="000000"/>
          <w:szCs w:val="24"/>
        </w:rPr>
        <w:t>在排口附近醒目处设置环境保护图形标志牌。</w:t>
      </w:r>
    </w:p>
    <w:p w14:paraId="0C73C281">
      <w:pPr>
        <w:pStyle w:val="8"/>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6.2.7.3固定噪声源规范化设置</w:t>
      </w:r>
    </w:p>
    <w:p w14:paraId="46B73C6B">
      <w:pPr>
        <w:pStyle w:val="7"/>
        <w:spacing w:line="480" w:lineRule="exact"/>
        <w:ind w:firstLine="480" w:firstLineChars="200"/>
        <w:rPr>
          <w:rFonts w:ascii="Times New Roman"/>
          <w:b w:val="0"/>
          <w:bCs w:val="0"/>
          <w:sz w:val="24"/>
          <w:szCs w:val="24"/>
        </w:rPr>
      </w:pPr>
      <w:r>
        <w:rPr>
          <w:rFonts w:ascii="Times New Roman"/>
          <w:b w:val="0"/>
          <w:bCs w:val="0"/>
          <w:sz w:val="24"/>
          <w:szCs w:val="24"/>
        </w:rPr>
        <w:t>在固定噪声源对厂界噪声影响最大处设置环境保护图形标志牌</w:t>
      </w:r>
      <w:r>
        <w:rPr>
          <w:rFonts w:hint="eastAsia" w:ascii="Times New Roman"/>
          <w:b w:val="0"/>
          <w:bCs w:val="0"/>
          <w:sz w:val="24"/>
          <w:szCs w:val="24"/>
        </w:rPr>
        <w:t>。</w:t>
      </w:r>
    </w:p>
    <w:p w14:paraId="04D3142B">
      <w:pPr>
        <w:pStyle w:val="8"/>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6.2.7.4固体废物贮存场所</w:t>
      </w:r>
    </w:p>
    <w:p w14:paraId="558D9B44">
      <w:pPr>
        <w:adjustRightInd w:val="0"/>
        <w:spacing w:line="480" w:lineRule="exact"/>
        <w:ind w:firstLine="480" w:firstLineChars="200"/>
        <w:rPr>
          <w:rFonts w:ascii="Times New Roman"/>
          <w:color w:val="000000"/>
          <w:szCs w:val="24"/>
        </w:rPr>
      </w:pPr>
      <w:r>
        <w:rPr>
          <w:rFonts w:ascii="Times New Roman"/>
          <w:color w:val="000000"/>
          <w:szCs w:val="24"/>
        </w:rPr>
        <w:t>项目</w:t>
      </w:r>
      <w:r>
        <w:rPr>
          <w:rFonts w:hint="eastAsia" w:ascii="Times New Roman"/>
          <w:color w:val="000000"/>
          <w:szCs w:val="24"/>
        </w:rPr>
        <w:t>厂区新建</w:t>
      </w:r>
      <w:r>
        <w:rPr>
          <w:rFonts w:ascii="Times New Roman"/>
          <w:color w:val="000000"/>
          <w:szCs w:val="24"/>
        </w:rPr>
        <w:t>1</w:t>
      </w:r>
      <w:r>
        <w:rPr>
          <w:rFonts w:hint="eastAsia" w:ascii="Times New Roman"/>
          <w:color w:val="000000"/>
          <w:szCs w:val="24"/>
        </w:rPr>
        <w:t>座50</w:t>
      </w:r>
      <w:r>
        <w:rPr>
          <w:rFonts w:ascii="Times New Roman"/>
          <w:color w:val="000000"/>
          <w:szCs w:val="24"/>
        </w:rPr>
        <w:t>m</w:t>
      </w:r>
      <w:r>
        <w:rPr>
          <w:rFonts w:ascii="Times New Roman"/>
          <w:color w:val="000000"/>
          <w:szCs w:val="24"/>
          <w:vertAlign w:val="superscript"/>
        </w:rPr>
        <w:t>2</w:t>
      </w:r>
      <w:r>
        <w:rPr>
          <w:rFonts w:ascii="Times New Roman"/>
          <w:color w:val="000000"/>
          <w:szCs w:val="24"/>
        </w:rPr>
        <w:t>一般固废暂存仓库</w:t>
      </w:r>
      <w:r>
        <w:rPr>
          <w:rFonts w:hint="eastAsia" w:ascii="Times New Roman"/>
          <w:color w:val="000000"/>
          <w:szCs w:val="24"/>
        </w:rPr>
        <w:t>、1座600</w:t>
      </w:r>
      <w:r>
        <w:rPr>
          <w:rFonts w:ascii="Times New Roman"/>
          <w:color w:val="000000"/>
          <w:szCs w:val="24"/>
        </w:rPr>
        <w:t>m</w:t>
      </w:r>
      <w:r>
        <w:rPr>
          <w:rFonts w:ascii="Times New Roman"/>
          <w:color w:val="000000"/>
          <w:szCs w:val="24"/>
          <w:vertAlign w:val="superscript"/>
        </w:rPr>
        <w:t>2</w:t>
      </w:r>
      <w:r>
        <w:rPr>
          <w:rFonts w:hint="eastAsia" w:ascii="Times New Roman"/>
          <w:color w:val="000000"/>
          <w:szCs w:val="24"/>
        </w:rPr>
        <w:t>鸡粪暂存库</w:t>
      </w:r>
      <w:r>
        <w:rPr>
          <w:rFonts w:ascii="Times New Roman"/>
          <w:color w:val="000000"/>
          <w:szCs w:val="24"/>
        </w:rPr>
        <w:t>和</w:t>
      </w:r>
      <w:r>
        <w:rPr>
          <w:rFonts w:hint="eastAsia" w:ascii="Times New Roman"/>
          <w:color w:val="000000"/>
          <w:szCs w:val="24"/>
        </w:rPr>
        <w:t>1</w:t>
      </w:r>
      <w:r>
        <w:rPr>
          <w:rFonts w:ascii="Times New Roman"/>
          <w:color w:val="000000"/>
          <w:szCs w:val="24"/>
        </w:rPr>
        <w:t>座</w:t>
      </w:r>
      <w:r>
        <w:rPr>
          <w:rFonts w:hint="eastAsia" w:ascii="Times New Roman"/>
          <w:color w:val="000000"/>
          <w:szCs w:val="24"/>
          <w:lang w:eastAsia="zh-CN"/>
        </w:rPr>
        <w:t>5m</w:t>
      </w:r>
      <w:r>
        <w:rPr>
          <w:rFonts w:hint="eastAsia" w:ascii="Times New Roman"/>
          <w:color w:val="000000"/>
          <w:szCs w:val="24"/>
          <w:vertAlign w:val="superscript"/>
          <w:lang w:eastAsia="zh-CN"/>
        </w:rPr>
        <w:t>2</w:t>
      </w:r>
      <w:r>
        <w:rPr>
          <w:rFonts w:ascii="Times New Roman"/>
          <w:color w:val="000000"/>
          <w:szCs w:val="24"/>
        </w:rPr>
        <w:t>的危废暂存库。项目一般固废暂存仓库满足《一般工业固体废物贮存和填埋污染控制标准》（GB18599-2020）要求，危废暂存仓库需满足</w:t>
      </w:r>
      <w:r>
        <w:rPr>
          <w:rFonts w:hint="eastAsia" w:ascii="Times New Roman"/>
          <w:color w:val="000000"/>
          <w:szCs w:val="24"/>
        </w:rPr>
        <w:t>以下</w:t>
      </w:r>
      <w:r>
        <w:rPr>
          <w:rFonts w:ascii="Times New Roman"/>
          <w:color w:val="000000"/>
          <w:szCs w:val="24"/>
        </w:rPr>
        <w:t>要求：</w:t>
      </w:r>
    </w:p>
    <w:p w14:paraId="685D207A">
      <w:pPr>
        <w:adjustRightInd w:val="0"/>
        <w:spacing w:line="480" w:lineRule="exact"/>
        <w:ind w:firstLine="480" w:firstLineChars="200"/>
        <w:rPr>
          <w:rFonts w:ascii="Times New Roman"/>
          <w:color w:val="000000"/>
          <w:szCs w:val="24"/>
        </w:rPr>
      </w:pPr>
      <w:r>
        <w:rPr>
          <w:rFonts w:ascii="Times New Roman"/>
          <w:color w:val="000000"/>
          <w:szCs w:val="24"/>
        </w:rPr>
        <w:t>①危废贮存场所要有防火、防扬散、防雨、防流失、防渗漏措施；</w:t>
      </w:r>
    </w:p>
    <w:p w14:paraId="0955C52C">
      <w:pPr>
        <w:adjustRightInd w:val="0"/>
        <w:spacing w:line="480" w:lineRule="exact"/>
        <w:ind w:firstLine="480" w:firstLineChars="200"/>
        <w:rPr>
          <w:rFonts w:ascii="Times New Roman"/>
          <w:color w:val="000000"/>
          <w:szCs w:val="24"/>
        </w:rPr>
      </w:pPr>
      <w:r>
        <w:rPr>
          <w:rFonts w:ascii="Times New Roman"/>
          <w:color w:val="000000"/>
          <w:szCs w:val="24"/>
        </w:rPr>
        <w:t>②</w:t>
      </w:r>
      <w:r>
        <w:rPr>
          <w:rFonts w:ascii="Times New Roman" w:hAnsi="Times New Roman" w:eastAsia="宋体" w:cs="Times New Roman"/>
          <w:bCs/>
          <w:szCs w:val="24"/>
        </w:rPr>
        <w:t>危废贮存场所要按照《危险废物识别标志设置技术规范》</w:t>
      </w:r>
      <w:r>
        <w:rPr>
          <w:rFonts w:hint="eastAsia" w:ascii="Times New Roman"/>
          <w:color w:val="000000"/>
          <w:szCs w:val="24"/>
        </w:rPr>
        <w:t>（HJ 1276-2022）</w:t>
      </w:r>
      <w:r>
        <w:rPr>
          <w:rFonts w:ascii="Times New Roman" w:hAnsi="Times New Roman" w:eastAsia="宋体" w:cs="Times New Roman"/>
          <w:bCs/>
          <w:szCs w:val="24"/>
        </w:rPr>
        <w:t>规定设置危险废物识别标志</w:t>
      </w:r>
      <w:r>
        <w:rPr>
          <w:rFonts w:ascii="Times New Roman"/>
          <w:color w:val="000000"/>
          <w:szCs w:val="24"/>
        </w:rPr>
        <w:t>，配备通讯设备、照明设施和消防设施；</w:t>
      </w:r>
    </w:p>
    <w:p w14:paraId="1E85DBC0">
      <w:pPr>
        <w:adjustRightInd w:val="0"/>
        <w:spacing w:line="480" w:lineRule="exact"/>
        <w:ind w:firstLine="480" w:firstLineChars="200"/>
        <w:rPr>
          <w:rFonts w:ascii="Times New Roman"/>
          <w:color w:val="000000"/>
          <w:szCs w:val="24"/>
        </w:rPr>
      </w:pPr>
      <w:r>
        <w:rPr>
          <w:rFonts w:ascii="Times New Roman"/>
          <w:color w:val="000000"/>
          <w:szCs w:val="24"/>
        </w:rPr>
        <w:t>③危险废物贮存场所安装视频在线监控系统，即在危废贮存库内、外、装卸区、厂内危废运输车辆通道及厂区门口安装危废监控视频，并与当地生态环境部门联网。</w:t>
      </w:r>
    </w:p>
    <w:p w14:paraId="590D3A4B">
      <w:pPr>
        <w:pStyle w:val="7"/>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绿化</w:t>
      </w:r>
    </w:p>
    <w:p w14:paraId="305D4810">
      <w:pPr>
        <w:adjustRightInd w:val="0"/>
        <w:spacing w:line="480" w:lineRule="exact"/>
        <w:ind w:firstLine="480" w:firstLineChars="200"/>
        <w:rPr>
          <w:rFonts w:ascii="Times New Roman"/>
          <w:color w:val="000000"/>
          <w:szCs w:val="24"/>
        </w:rPr>
      </w:pPr>
      <w:r>
        <w:rPr>
          <w:rFonts w:ascii="Times New Roman"/>
          <w:color w:val="000000"/>
          <w:szCs w:val="24"/>
        </w:rPr>
        <w:t>在</w:t>
      </w:r>
      <w:r>
        <w:rPr>
          <w:rFonts w:hint="eastAsia" w:ascii="Times New Roman"/>
          <w:color w:val="000000"/>
          <w:szCs w:val="24"/>
        </w:rPr>
        <w:t>养殖</w:t>
      </w:r>
      <w:r>
        <w:rPr>
          <w:rFonts w:ascii="Times New Roman"/>
          <w:color w:val="000000"/>
          <w:szCs w:val="24"/>
        </w:rPr>
        <w:t>区、办公区、场界四周分别设置绿色隔离带，种植木本植物，养殖场绿化面积约</w:t>
      </w:r>
      <w:r>
        <w:rPr>
          <w:rFonts w:hint="eastAsia" w:ascii="Times New Roman"/>
          <w:color w:val="000000"/>
          <w:szCs w:val="24"/>
        </w:rPr>
        <w:t>1</w:t>
      </w:r>
      <w:r>
        <w:rPr>
          <w:rFonts w:ascii="Times New Roman"/>
          <w:color w:val="000000"/>
          <w:szCs w:val="24"/>
        </w:rPr>
        <w:t>000m</w:t>
      </w:r>
      <w:r>
        <w:rPr>
          <w:rFonts w:ascii="Times New Roman"/>
          <w:color w:val="000000"/>
          <w:szCs w:val="24"/>
          <w:vertAlign w:val="superscript"/>
        </w:rPr>
        <w:t>2</w:t>
      </w:r>
      <w:r>
        <w:rPr>
          <w:rFonts w:ascii="Times New Roman"/>
          <w:color w:val="000000"/>
          <w:szCs w:val="24"/>
        </w:rPr>
        <w:t>，绿化率</w:t>
      </w:r>
      <w:r>
        <w:rPr>
          <w:rFonts w:hint="eastAsia" w:ascii="Times New Roman"/>
          <w:color w:val="000000"/>
          <w:szCs w:val="24"/>
        </w:rPr>
        <w:t>2.04</w:t>
      </w:r>
      <w:r>
        <w:rPr>
          <w:rFonts w:ascii="Times New Roman"/>
          <w:color w:val="000000"/>
          <w:szCs w:val="24"/>
        </w:rPr>
        <w:t>%。</w:t>
      </w:r>
    </w:p>
    <w:p w14:paraId="5B677C96">
      <w:pPr>
        <w:pStyle w:val="4"/>
        <w:spacing w:line="480" w:lineRule="exact"/>
        <w:jc w:val="both"/>
      </w:pPr>
      <w:bookmarkStart w:id="231" w:name="_Toc12691"/>
      <w:r>
        <w:rPr>
          <w:rFonts w:hint="eastAsia"/>
        </w:rPr>
        <w:t>6.</w:t>
      </w:r>
      <w:r>
        <w:t>3</w:t>
      </w:r>
      <w:r>
        <w:rPr>
          <w:rFonts w:hint="eastAsia"/>
        </w:rPr>
        <w:t xml:space="preserve"> 环保措施投资及“三同时”验收</w:t>
      </w:r>
      <w:bookmarkEnd w:id="231"/>
    </w:p>
    <w:p w14:paraId="2BE5291F">
      <w:pPr>
        <w:spacing w:line="480" w:lineRule="exact"/>
        <w:ind w:firstLine="480" w:firstLineChars="200"/>
        <w:rPr>
          <w:color w:val="000000" w:themeColor="text1"/>
          <w14:textFill>
            <w14:solidFill>
              <w14:schemeClr w14:val="tx1"/>
            </w14:solidFill>
          </w14:textFill>
        </w:rPr>
      </w:pPr>
      <w:r>
        <w:rPr>
          <w:rFonts w:hint="eastAsia"/>
        </w:rPr>
        <w:t>建设项目环境保护方面的投</w:t>
      </w:r>
      <w:r>
        <w:rPr>
          <w:rFonts w:hint="eastAsia"/>
          <w:color w:val="000000" w:themeColor="text1"/>
          <w14:textFill>
            <w14:solidFill>
              <w14:schemeClr w14:val="tx1"/>
            </w14:solidFill>
          </w14:textFill>
        </w:rPr>
        <w:t>资约180万元，占总投资的12%。建设项目环境保护投资估算及三同时验收一览表见表6.</w:t>
      </w:r>
      <w:r>
        <w:rPr>
          <w:color w:val="000000" w:themeColor="text1"/>
          <w14:textFill>
            <w14:solidFill>
              <w14:schemeClr w14:val="tx1"/>
            </w14:solidFill>
          </w14:textFill>
        </w:rPr>
        <w:t>3-1</w:t>
      </w:r>
      <w:r>
        <w:rPr>
          <w:rFonts w:hint="eastAsia"/>
          <w:color w:val="000000" w:themeColor="text1"/>
          <w14:textFill>
            <w14:solidFill>
              <w14:schemeClr w14:val="tx1"/>
            </w14:solidFill>
          </w14:textFill>
        </w:rPr>
        <w:t>。</w:t>
      </w:r>
    </w:p>
    <w:p w14:paraId="61A1F4C0">
      <w:pPr>
        <w:ind w:firstLine="480" w:firstLineChars="200"/>
        <w:sectPr>
          <w:pgSz w:w="11906" w:h="16838"/>
          <w:pgMar w:top="1417" w:right="1417" w:bottom="1417" w:left="1417" w:header="850" w:footer="850" w:gutter="0"/>
          <w:pgNumType w:fmt="decimal"/>
          <w:cols w:space="425" w:num="1"/>
          <w:docGrid w:type="lines" w:linePitch="326" w:charSpace="0"/>
        </w:sectPr>
      </w:pPr>
    </w:p>
    <w:p w14:paraId="2F74E859">
      <w:pPr>
        <w:pStyle w:val="31"/>
        <w:spacing w:before="0" w:line="440" w:lineRule="exact"/>
      </w:pPr>
      <w:r>
        <w:rPr>
          <w:rFonts w:hint="eastAsia"/>
        </w:rPr>
        <w:t>表6</w:t>
      </w:r>
      <w:r>
        <w:t>.3-1</w:t>
      </w:r>
      <w:r>
        <w:rPr>
          <w:rFonts w:hint="eastAsia"/>
        </w:rPr>
        <w:t xml:space="preserve"> </w:t>
      </w:r>
      <w:r>
        <w:t xml:space="preserve"> </w:t>
      </w:r>
      <w:r>
        <w:rPr>
          <w:rFonts w:hint="eastAsia"/>
        </w:rPr>
        <w:t>建设项目环保投资估算及三同时验收一览表</w:t>
      </w:r>
    </w:p>
    <w:tbl>
      <w:tblPr>
        <w:tblStyle w:val="41"/>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574"/>
        <w:gridCol w:w="1485"/>
        <w:gridCol w:w="1785"/>
        <w:gridCol w:w="2459"/>
        <w:gridCol w:w="1400"/>
        <w:gridCol w:w="1196"/>
        <w:gridCol w:w="3284"/>
        <w:gridCol w:w="771"/>
      </w:tblGrid>
      <w:tr w14:paraId="30531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 w:type="pct"/>
            <w:gridSpan w:val="2"/>
            <w:vAlign w:val="center"/>
          </w:tcPr>
          <w:p w14:paraId="5732A495">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类别</w:t>
            </w:r>
          </w:p>
        </w:tc>
        <w:tc>
          <w:tcPr>
            <w:tcW w:w="524" w:type="pct"/>
            <w:vAlign w:val="center"/>
          </w:tcPr>
          <w:p w14:paraId="5C6061E3">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污染源</w:t>
            </w:r>
          </w:p>
        </w:tc>
        <w:tc>
          <w:tcPr>
            <w:tcW w:w="630" w:type="pct"/>
            <w:vAlign w:val="center"/>
          </w:tcPr>
          <w:p w14:paraId="182138FC">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污染物</w:t>
            </w:r>
          </w:p>
        </w:tc>
        <w:tc>
          <w:tcPr>
            <w:tcW w:w="1361" w:type="pct"/>
            <w:gridSpan w:val="2"/>
            <w:vAlign w:val="center"/>
          </w:tcPr>
          <w:p w14:paraId="72B0C6D6">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治理措施</w:t>
            </w:r>
          </w:p>
          <w:p w14:paraId="6A1D1FA4">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（设施数量、规模、处理能力等）</w:t>
            </w:r>
          </w:p>
        </w:tc>
        <w:tc>
          <w:tcPr>
            <w:tcW w:w="422" w:type="pct"/>
            <w:vAlign w:val="center"/>
          </w:tcPr>
          <w:p w14:paraId="1E66C73C">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环保投资</w:t>
            </w:r>
          </w:p>
          <w:p w14:paraId="20175DE2">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（万元）</w:t>
            </w:r>
          </w:p>
        </w:tc>
        <w:tc>
          <w:tcPr>
            <w:tcW w:w="1159" w:type="pct"/>
            <w:vAlign w:val="center"/>
          </w:tcPr>
          <w:p w14:paraId="2875D5C0">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处理效果、执行标准或拟达要求</w:t>
            </w:r>
          </w:p>
        </w:tc>
        <w:tc>
          <w:tcPr>
            <w:tcW w:w="272" w:type="pct"/>
            <w:vAlign w:val="center"/>
          </w:tcPr>
          <w:p w14:paraId="6043E0BB">
            <w:pPr>
              <w:widowControl/>
              <w:adjustRightInd w:val="0"/>
              <w:snapToGrid w:val="0"/>
              <w:spacing w:line="30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完成时间</w:t>
            </w:r>
          </w:p>
        </w:tc>
      </w:tr>
      <w:tr w14:paraId="1606B0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restart"/>
            <w:vAlign w:val="center"/>
          </w:tcPr>
          <w:p w14:paraId="56CADE93">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bookmarkStart w:id="232" w:name="OLE_LINK10" w:colFirst="2" w:colLast="2"/>
            <w:bookmarkStart w:id="233" w:name="_Hlk497985900"/>
            <w:bookmarkStart w:id="234" w:name="OLE_LINK11" w:colFirst="2" w:colLast="2"/>
            <w:bookmarkStart w:id="235" w:name="OLE_LINK50" w:colFirst="2" w:colLast="2"/>
            <w:bookmarkStart w:id="236" w:name="_Hlk524012261"/>
            <w:r>
              <w:rPr>
                <w:rFonts w:ascii="Times New Roman" w:hAnsi="Times New Roman" w:eastAsia="宋体" w:cs="Times New Roman"/>
                <w:color w:val="000000" w:themeColor="text1"/>
                <w:kern w:val="0"/>
                <w:sz w:val="21"/>
                <w:szCs w:val="21"/>
                <w14:textFill>
                  <w14:solidFill>
                    <w14:schemeClr w14:val="tx1"/>
                  </w14:solidFill>
                </w14:textFill>
              </w:rPr>
              <w:t>废气</w:t>
            </w:r>
          </w:p>
        </w:tc>
        <w:tc>
          <w:tcPr>
            <w:tcW w:w="202" w:type="pct"/>
            <w:vAlign w:val="center"/>
          </w:tcPr>
          <w:p w14:paraId="6B175144">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有组织</w:t>
            </w:r>
          </w:p>
        </w:tc>
        <w:tc>
          <w:tcPr>
            <w:tcW w:w="524" w:type="pct"/>
            <w:vAlign w:val="center"/>
          </w:tcPr>
          <w:p w14:paraId="35C4FB22">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鸡粪暂存库与污水处理站</w:t>
            </w:r>
          </w:p>
        </w:tc>
        <w:tc>
          <w:tcPr>
            <w:tcW w:w="630" w:type="pct"/>
            <w:vAlign w:val="center"/>
          </w:tcPr>
          <w:p w14:paraId="3BE40B21">
            <w:pPr>
              <w:keepNext w:val="0"/>
              <w:keepLines w:val="0"/>
              <w:pageBreakBefore w:val="0"/>
              <w:widowControl/>
              <w:kinsoku/>
              <w:wordWrap/>
              <w:overflowPunct/>
              <w:topLinePunct w:val="0"/>
              <w:bidi w:val="0"/>
              <w:adjustRightInd w:val="0"/>
              <w:snapToGrid w:val="0"/>
              <w:spacing w:line="280" w:lineRule="exact"/>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868" w:type="pct"/>
            <w:vAlign w:val="center"/>
          </w:tcPr>
          <w:p w14:paraId="4708B46B">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493" w:type="pct"/>
            <w:vAlign w:val="center"/>
          </w:tcPr>
          <w:p w14:paraId="6499EF4B">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422" w:type="pct"/>
            <w:vAlign w:val="center"/>
          </w:tcPr>
          <w:p w14:paraId="6817037A">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10</w:t>
            </w:r>
          </w:p>
        </w:tc>
        <w:tc>
          <w:tcPr>
            <w:tcW w:w="1159" w:type="pct"/>
            <w:vAlign w:val="center"/>
          </w:tcPr>
          <w:p w14:paraId="04FC80B2">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执行《恶臭污染物排放标准》（GB14554-93）表2中标准</w:t>
            </w:r>
          </w:p>
        </w:tc>
        <w:tc>
          <w:tcPr>
            <w:tcW w:w="272" w:type="pct"/>
            <w:vMerge w:val="restart"/>
            <w:vAlign w:val="center"/>
          </w:tcPr>
          <w:p w14:paraId="1EC0B038">
            <w:pPr>
              <w:widowControl/>
              <w:adjustRightInd w:val="0"/>
              <w:snapToGrid w:val="0"/>
              <w:spacing w:line="30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与项目的建设同步</w:t>
            </w:r>
          </w:p>
        </w:tc>
      </w:tr>
      <w:bookmarkEnd w:id="232"/>
      <w:bookmarkEnd w:id="233"/>
      <w:bookmarkEnd w:id="234"/>
      <w:bookmarkEnd w:id="235"/>
      <w:bookmarkEnd w:id="236"/>
      <w:tr w14:paraId="0B06E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vAlign w:val="center"/>
          </w:tcPr>
          <w:p w14:paraId="4F23C3D7">
            <w:pPr>
              <w:keepNext w:val="0"/>
              <w:keepLines w:val="0"/>
              <w:pageBreakBefore w:val="0"/>
              <w:widowControl/>
              <w:kinsoku/>
              <w:wordWrap/>
              <w:overflowPunct/>
              <w:topLinePunct w:val="0"/>
              <w:bidi w:val="0"/>
              <w:adjustRightInd w:val="0"/>
              <w:snapToGrid w:val="0"/>
              <w:spacing w:line="280" w:lineRule="exact"/>
              <w:jc w:val="lef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202" w:type="pct"/>
            <w:vMerge w:val="restart"/>
            <w:vAlign w:val="center"/>
          </w:tcPr>
          <w:p w14:paraId="26025F94">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无组织</w:t>
            </w:r>
          </w:p>
        </w:tc>
        <w:tc>
          <w:tcPr>
            <w:tcW w:w="524" w:type="pct"/>
            <w:vAlign w:val="center"/>
          </w:tcPr>
          <w:p w14:paraId="559FDACC">
            <w:pPr>
              <w:keepNext w:val="0"/>
              <w:keepLines w:val="0"/>
              <w:pageBreakBefore w:val="0"/>
              <w:widowControl/>
              <w:kinsoku/>
              <w:wordWrap/>
              <w:overflowPunct/>
              <w:topLinePunct w:val="0"/>
              <w:bidi w:val="0"/>
              <w:adjustRightInd w:val="0"/>
              <w:snapToGrid w:val="0"/>
              <w:spacing w:line="280" w:lineRule="exact"/>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鸡舍区</w:t>
            </w:r>
          </w:p>
        </w:tc>
        <w:tc>
          <w:tcPr>
            <w:tcW w:w="630" w:type="pct"/>
            <w:vAlign w:val="center"/>
          </w:tcPr>
          <w:p w14:paraId="7C59A1F9">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1361" w:type="pct"/>
            <w:gridSpan w:val="2"/>
            <w:vAlign w:val="center"/>
          </w:tcPr>
          <w:p w14:paraId="0A97C00E">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422" w:type="pct"/>
            <w:vMerge w:val="restart"/>
            <w:vAlign w:val="center"/>
          </w:tcPr>
          <w:p w14:paraId="00343180">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5</w:t>
            </w:r>
          </w:p>
        </w:tc>
        <w:tc>
          <w:tcPr>
            <w:tcW w:w="1159" w:type="pct"/>
            <w:vMerge w:val="restart"/>
            <w:vAlign w:val="center"/>
          </w:tcPr>
          <w:p w14:paraId="02B669E7">
            <w:pPr>
              <w:keepNext w:val="0"/>
              <w:keepLines w:val="0"/>
              <w:pageBreakBefore w:val="0"/>
              <w:widowControl/>
              <w:kinsoku/>
              <w:wordWrap/>
              <w:overflowPunct/>
              <w:topLinePunct w:val="0"/>
              <w:bidi w:val="0"/>
              <w:adjustRightInd w:val="0"/>
              <w:snapToGrid w:val="0"/>
              <w:spacing w:line="280" w:lineRule="exact"/>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氨、硫化氢执行《恶臭污染物排放标准》（GB14554-93）表1中厂界二级标准</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臭气浓度执行</w:t>
            </w:r>
            <w:r>
              <w:rPr>
                <w:rFonts w:ascii="Times New Roman" w:hAnsi="Times New Roman" w:eastAsia="宋体" w:cs="Times New Roman"/>
                <w:color w:val="000000" w:themeColor="text1"/>
                <w:kern w:val="0"/>
                <w:sz w:val="21"/>
                <w:szCs w:val="21"/>
                <w14:textFill>
                  <w14:solidFill>
                    <w14:schemeClr w14:val="tx1"/>
                  </w14:solidFill>
                </w14:textFill>
              </w:rPr>
              <w:t>《畜禽养殖业污染物排放标准》（GB18596-2001）表7中标准值</w:t>
            </w:r>
          </w:p>
        </w:tc>
        <w:tc>
          <w:tcPr>
            <w:tcW w:w="272" w:type="pct"/>
            <w:vMerge w:val="continue"/>
            <w:vAlign w:val="center"/>
          </w:tcPr>
          <w:p w14:paraId="210F24D8">
            <w:pPr>
              <w:widowControl/>
              <w:adjustRightInd w:val="0"/>
              <w:snapToGrid w:val="0"/>
              <w:spacing w:line="30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r>
      <w:tr w14:paraId="06477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vAlign w:val="center"/>
          </w:tcPr>
          <w:p w14:paraId="51F3F3E9">
            <w:pPr>
              <w:keepNext w:val="0"/>
              <w:keepLines w:val="0"/>
              <w:pageBreakBefore w:val="0"/>
              <w:widowControl/>
              <w:kinsoku/>
              <w:wordWrap/>
              <w:overflowPunct/>
              <w:topLinePunct w:val="0"/>
              <w:bidi w:val="0"/>
              <w:adjustRightInd w:val="0"/>
              <w:snapToGrid w:val="0"/>
              <w:spacing w:line="280" w:lineRule="exact"/>
              <w:jc w:val="lef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202" w:type="pct"/>
            <w:vMerge w:val="continue"/>
            <w:vAlign w:val="center"/>
          </w:tcPr>
          <w:p w14:paraId="08553602">
            <w:pPr>
              <w:keepNext w:val="0"/>
              <w:keepLines w:val="0"/>
              <w:pageBreakBefore w:val="0"/>
              <w:widowControl/>
              <w:kinsoku/>
              <w:wordWrap/>
              <w:overflowPunct/>
              <w:topLinePunct w:val="0"/>
              <w:bidi w:val="0"/>
              <w:adjustRightInd w:val="0"/>
              <w:snapToGrid w:val="0"/>
              <w:spacing w:line="280" w:lineRule="exact"/>
              <w:jc w:val="lef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524" w:type="pct"/>
            <w:vAlign w:val="center"/>
          </w:tcPr>
          <w:p w14:paraId="335FFFAF">
            <w:pPr>
              <w:keepNext w:val="0"/>
              <w:keepLines w:val="0"/>
              <w:pageBreakBefore w:val="0"/>
              <w:widowControl/>
              <w:kinsoku/>
              <w:wordWrap/>
              <w:overflowPunct/>
              <w:topLinePunct w:val="0"/>
              <w:bidi w:val="0"/>
              <w:adjustRightInd w:val="0"/>
              <w:snapToGrid w:val="0"/>
              <w:spacing w:line="280" w:lineRule="exact"/>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鸡粪暂存库</w:t>
            </w:r>
          </w:p>
        </w:tc>
        <w:tc>
          <w:tcPr>
            <w:tcW w:w="630" w:type="pct"/>
            <w:vAlign w:val="center"/>
          </w:tcPr>
          <w:p w14:paraId="49D21825">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1361" w:type="pct"/>
            <w:gridSpan w:val="2"/>
            <w:vMerge w:val="restart"/>
            <w:vAlign w:val="center"/>
          </w:tcPr>
          <w:p w14:paraId="76754299">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422" w:type="pct"/>
            <w:vMerge w:val="continue"/>
            <w:vAlign w:val="center"/>
          </w:tcPr>
          <w:p w14:paraId="6B9576CA">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1159" w:type="pct"/>
            <w:vMerge w:val="continue"/>
            <w:vAlign w:val="center"/>
          </w:tcPr>
          <w:p w14:paraId="15C47299">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272" w:type="pct"/>
            <w:vMerge w:val="continue"/>
            <w:vAlign w:val="center"/>
          </w:tcPr>
          <w:p w14:paraId="096E28B5">
            <w:pPr>
              <w:widowControl/>
              <w:adjustRightInd w:val="0"/>
              <w:snapToGrid w:val="0"/>
              <w:spacing w:line="30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r>
      <w:tr w14:paraId="0BFCF3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vAlign w:val="center"/>
          </w:tcPr>
          <w:p w14:paraId="3CA4C891">
            <w:pPr>
              <w:keepNext w:val="0"/>
              <w:keepLines w:val="0"/>
              <w:pageBreakBefore w:val="0"/>
              <w:widowControl/>
              <w:kinsoku/>
              <w:wordWrap/>
              <w:overflowPunct/>
              <w:topLinePunct w:val="0"/>
              <w:bidi w:val="0"/>
              <w:adjustRightInd w:val="0"/>
              <w:snapToGrid w:val="0"/>
              <w:spacing w:line="280" w:lineRule="exact"/>
              <w:jc w:val="lef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202" w:type="pct"/>
            <w:vMerge w:val="continue"/>
            <w:vAlign w:val="center"/>
          </w:tcPr>
          <w:p w14:paraId="0E1F3E85">
            <w:pPr>
              <w:keepNext w:val="0"/>
              <w:keepLines w:val="0"/>
              <w:pageBreakBefore w:val="0"/>
              <w:widowControl/>
              <w:kinsoku/>
              <w:wordWrap/>
              <w:overflowPunct/>
              <w:topLinePunct w:val="0"/>
              <w:bidi w:val="0"/>
              <w:adjustRightInd w:val="0"/>
              <w:snapToGrid w:val="0"/>
              <w:spacing w:line="280" w:lineRule="exact"/>
              <w:jc w:val="lef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524" w:type="pct"/>
            <w:vAlign w:val="center"/>
          </w:tcPr>
          <w:p w14:paraId="30C299AD">
            <w:pPr>
              <w:keepNext w:val="0"/>
              <w:keepLines w:val="0"/>
              <w:pageBreakBefore w:val="0"/>
              <w:widowControl/>
              <w:kinsoku/>
              <w:wordWrap/>
              <w:overflowPunct/>
              <w:topLinePunct w:val="0"/>
              <w:bidi w:val="0"/>
              <w:adjustRightInd w:val="0"/>
              <w:snapToGrid w:val="0"/>
              <w:spacing w:line="280" w:lineRule="exact"/>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污水处理站</w:t>
            </w:r>
          </w:p>
        </w:tc>
        <w:tc>
          <w:tcPr>
            <w:tcW w:w="630" w:type="pct"/>
            <w:vAlign w:val="center"/>
          </w:tcPr>
          <w:p w14:paraId="1F94C8B9">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1361" w:type="pct"/>
            <w:gridSpan w:val="2"/>
            <w:vMerge w:val="continue"/>
            <w:vAlign w:val="center"/>
          </w:tcPr>
          <w:p w14:paraId="5BA20828">
            <w:pPr>
              <w:keepNext w:val="0"/>
              <w:keepLines w:val="0"/>
              <w:pageBreakBefore w:val="0"/>
              <w:widowControl/>
              <w:kinsoku/>
              <w:wordWrap/>
              <w:overflowPunct/>
              <w:topLinePunct w:val="0"/>
              <w:bidi w:val="0"/>
              <w:adjustRightInd w:val="0"/>
              <w:snapToGrid w:val="0"/>
              <w:spacing w:line="280" w:lineRule="exac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422" w:type="pct"/>
            <w:vMerge w:val="continue"/>
            <w:vAlign w:val="center"/>
          </w:tcPr>
          <w:p w14:paraId="19F7C71F">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1159" w:type="pct"/>
            <w:vMerge w:val="continue"/>
            <w:vAlign w:val="center"/>
          </w:tcPr>
          <w:p w14:paraId="40849C32">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272" w:type="pct"/>
            <w:vMerge w:val="continue"/>
            <w:vAlign w:val="center"/>
          </w:tcPr>
          <w:p w14:paraId="0DDA3477">
            <w:pPr>
              <w:widowControl/>
              <w:adjustRightInd w:val="0"/>
              <w:snapToGrid w:val="0"/>
              <w:spacing w:line="30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r>
      <w:tr w14:paraId="7599A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 w:type="pct"/>
            <w:gridSpan w:val="2"/>
            <w:vMerge w:val="restart"/>
            <w:vAlign w:val="center"/>
          </w:tcPr>
          <w:p w14:paraId="63DA0F98">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废水</w:t>
            </w:r>
          </w:p>
        </w:tc>
        <w:tc>
          <w:tcPr>
            <w:tcW w:w="524" w:type="pct"/>
            <w:vAlign w:val="center"/>
          </w:tcPr>
          <w:p w14:paraId="72B9D9D7">
            <w:pPr>
              <w:keepNext w:val="0"/>
              <w:keepLines w:val="0"/>
              <w:pageBreakBefore w:val="0"/>
              <w:widowControl/>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生产废水</w:t>
            </w:r>
          </w:p>
        </w:tc>
        <w:tc>
          <w:tcPr>
            <w:tcW w:w="630" w:type="pct"/>
            <w:vAlign w:val="center"/>
          </w:tcPr>
          <w:p w14:paraId="676B15E4">
            <w:pPr>
              <w:keepNext w:val="0"/>
              <w:keepLines w:val="0"/>
              <w:pageBreakBefore w:val="0"/>
              <w:widowControl/>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1361" w:type="pct"/>
            <w:gridSpan w:val="2"/>
            <w:vMerge w:val="restart"/>
            <w:vAlign w:val="center"/>
          </w:tcPr>
          <w:p w14:paraId="243A3BFB">
            <w:pPr>
              <w:pStyle w:val="11"/>
              <w:keepNext w:val="0"/>
              <w:keepLines w:val="0"/>
              <w:pageBreakBefore w:val="0"/>
              <w:widowControl/>
              <w:kinsoku/>
              <w:wordWrap/>
              <w:overflowPunct/>
              <w:topLinePunct w:val="0"/>
              <w:autoSpaceDE/>
              <w:autoSpaceDN/>
              <w:bidi w:val="0"/>
              <w:snapToGrid w:val="0"/>
              <w:spacing w:line="280" w:lineRule="exact"/>
              <w:ind w:firstLine="0" w:firstLineChars="0"/>
              <w:jc w:val="center"/>
              <w:textAlignment w:val="auto"/>
              <w:rPr>
                <w:rFonts w:eastAsia="宋体" w:cs="Times New Roman"/>
                <w:color w:val="000000" w:themeColor="text1"/>
                <w:sz w:val="21"/>
                <w:szCs w:val="21"/>
                <w14:textFill>
                  <w14:solidFill>
                    <w14:schemeClr w14:val="tx1"/>
                  </w14:solidFill>
                </w14:textFill>
              </w:rPr>
            </w:pPr>
          </w:p>
        </w:tc>
        <w:tc>
          <w:tcPr>
            <w:tcW w:w="422" w:type="pct"/>
            <w:vMerge w:val="restart"/>
            <w:vAlign w:val="center"/>
          </w:tcPr>
          <w:p w14:paraId="652C9FC1">
            <w:pPr>
              <w:keepNext w:val="0"/>
              <w:keepLines w:val="0"/>
              <w:pageBreakBefore w:val="0"/>
              <w:widowControl/>
              <w:kinsoku/>
              <w:wordWrap/>
              <w:overflowPunct/>
              <w:topLinePunct w:val="0"/>
              <w:bidi w:val="0"/>
              <w:adjustRightInd w:val="0"/>
              <w:snapToGrid w:val="0"/>
              <w:spacing w:line="280" w:lineRule="exact"/>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50</w:t>
            </w:r>
          </w:p>
        </w:tc>
        <w:tc>
          <w:tcPr>
            <w:tcW w:w="1159" w:type="pct"/>
            <w:vMerge w:val="restart"/>
            <w:vAlign w:val="center"/>
          </w:tcPr>
          <w:p w14:paraId="44800F65">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执行</w:t>
            </w:r>
            <w:r>
              <w:rPr>
                <w:rFonts w:ascii="Times New Roman" w:hAnsi="Times New Roman" w:eastAsia="宋体" w:cs="Times New Roman"/>
                <w:color w:val="000000" w:themeColor="text1"/>
                <w:kern w:val="0"/>
                <w:sz w:val="21"/>
                <w:szCs w:val="21"/>
                <w14:textFill>
                  <w14:solidFill>
                    <w14:schemeClr w14:val="tx1"/>
                  </w14:solidFill>
                </w14:textFill>
              </w:rPr>
              <w:t>《农田灌溉水质标准》（GB5084-20</w:t>
            </w:r>
            <w:r>
              <w:rPr>
                <w:rFonts w:hint="eastAsia" w:ascii="Times New Roman" w:hAnsi="Times New Roman" w:eastAsia="宋体" w:cs="Times New Roman"/>
                <w:color w:val="000000" w:themeColor="text1"/>
                <w:kern w:val="0"/>
                <w:sz w:val="21"/>
                <w:szCs w:val="21"/>
                <w14:textFill>
                  <w14:solidFill>
                    <w14:schemeClr w14:val="tx1"/>
                  </w14:solidFill>
                </w14:textFill>
              </w:rPr>
              <w:t>21</w:t>
            </w:r>
            <w:r>
              <w:rPr>
                <w:rFonts w:ascii="Times New Roman" w:hAnsi="Times New Roman" w:eastAsia="宋体" w:cs="Times New Roman"/>
                <w:color w:val="000000" w:themeColor="text1"/>
                <w:kern w:val="0"/>
                <w:sz w:val="21"/>
                <w:szCs w:val="21"/>
                <w14:textFill>
                  <w14:solidFill>
                    <w14:schemeClr w14:val="tx1"/>
                  </w14:solidFill>
                </w14:textFill>
              </w:rPr>
              <w:t>）</w:t>
            </w:r>
            <w:r>
              <w:rPr>
                <w:rFonts w:hint="eastAsia" w:ascii="Times New Roman" w:hAnsi="Times New Roman" w:eastAsia="宋体" w:cs="Times New Roman"/>
                <w:color w:val="000000" w:themeColor="text1"/>
                <w:kern w:val="0"/>
                <w:sz w:val="21"/>
                <w:szCs w:val="21"/>
                <w14:textFill>
                  <w14:solidFill>
                    <w14:schemeClr w14:val="tx1"/>
                  </w14:solidFill>
                </w14:textFill>
              </w:rPr>
              <w:t>表1</w:t>
            </w:r>
            <w:r>
              <w:rPr>
                <w:rFonts w:ascii="Times New Roman" w:hAnsi="Times New Roman" w:eastAsia="宋体" w:cs="Times New Roman"/>
                <w:color w:val="000000" w:themeColor="text1"/>
                <w:kern w:val="0"/>
                <w:sz w:val="21"/>
                <w:szCs w:val="21"/>
                <w14:textFill>
                  <w14:solidFill>
                    <w14:schemeClr w14:val="tx1"/>
                  </w14:solidFill>
                </w14:textFill>
              </w:rPr>
              <w:t>中"水作标准"</w:t>
            </w:r>
          </w:p>
        </w:tc>
        <w:tc>
          <w:tcPr>
            <w:tcW w:w="272" w:type="pct"/>
            <w:vMerge w:val="continue"/>
            <w:vAlign w:val="center"/>
          </w:tcPr>
          <w:p w14:paraId="2209A9E8">
            <w:pPr>
              <w:widowControl/>
              <w:adjustRightInd w:val="0"/>
              <w:snapToGrid w:val="0"/>
              <w:spacing w:line="30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r>
      <w:tr w14:paraId="5D544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 w:type="pct"/>
            <w:gridSpan w:val="2"/>
            <w:vMerge w:val="continue"/>
            <w:vAlign w:val="center"/>
          </w:tcPr>
          <w:p w14:paraId="06D32228">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524" w:type="pct"/>
            <w:vAlign w:val="center"/>
          </w:tcPr>
          <w:p w14:paraId="56D9CF3E">
            <w:pPr>
              <w:keepNext w:val="0"/>
              <w:keepLines w:val="0"/>
              <w:pageBreakBefore w:val="0"/>
              <w:widowControl/>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初期雨水</w:t>
            </w:r>
          </w:p>
        </w:tc>
        <w:tc>
          <w:tcPr>
            <w:tcW w:w="630" w:type="pct"/>
            <w:vAlign w:val="center"/>
          </w:tcPr>
          <w:p w14:paraId="0B44F87F">
            <w:pPr>
              <w:keepNext w:val="0"/>
              <w:keepLines w:val="0"/>
              <w:pageBreakBefore w:val="0"/>
              <w:widowControl/>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1361" w:type="pct"/>
            <w:gridSpan w:val="2"/>
            <w:vMerge w:val="continue"/>
            <w:vAlign w:val="center"/>
          </w:tcPr>
          <w:p w14:paraId="230AC1E4">
            <w:pPr>
              <w:pStyle w:val="11"/>
              <w:keepNext w:val="0"/>
              <w:keepLines w:val="0"/>
              <w:pageBreakBefore w:val="0"/>
              <w:widowControl/>
              <w:kinsoku/>
              <w:wordWrap/>
              <w:overflowPunct/>
              <w:topLinePunct w:val="0"/>
              <w:autoSpaceDE/>
              <w:autoSpaceDN/>
              <w:bidi w:val="0"/>
              <w:snapToGrid w:val="0"/>
              <w:spacing w:line="280" w:lineRule="exact"/>
              <w:ind w:firstLine="0" w:firstLineChars="0"/>
              <w:jc w:val="center"/>
              <w:textAlignment w:val="auto"/>
              <w:rPr>
                <w:rFonts w:eastAsia="宋体" w:cs="Times New Roman"/>
                <w:color w:val="000000" w:themeColor="text1"/>
                <w:sz w:val="21"/>
                <w:szCs w:val="21"/>
                <w14:textFill>
                  <w14:solidFill>
                    <w14:schemeClr w14:val="tx1"/>
                  </w14:solidFill>
                </w14:textFill>
              </w:rPr>
            </w:pPr>
          </w:p>
        </w:tc>
        <w:tc>
          <w:tcPr>
            <w:tcW w:w="422" w:type="pct"/>
            <w:vMerge w:val="continue"/>
            <w:vAlign w:val="center"/>
          </w:tcPr>
          <w:p w14:paraId="13870F5F">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1159" w:type="pct"/>
            <w:vMerge w:val="continue"/>
            <w:vAlign w:val="center"/>
          </w:tcPr>
          <w:p w14:paraId="750565DF">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272" w:type="pct"/>
            <w:vMerge w:val="continue"/>
            <w:vAlign w:val="center"/>
          </w:tcPr>
          <w:p w14:paraId="6F9172AB">
            <w:pPr>
              <w:widowControl/>
              <w:adjustRightInd w:val="0"/>
              <w:snapToGrid w:val="0"/>
              <w:spacing w:line="30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r>
      <w:tr w14:paraId="7B36B1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 w:type="pct"/>
            <w:gridSpan w:val="2"/>
            <w:vMerge w:val="continue"/>
            <w:vAlign w:val="center"/>
          </w:tcPr>
          <w:p w14:paraId="0F61C61A">
            <w:pPr>
              <w:keepNext w:val="0"/>
              <w:keepLines w:val="0"/>
              <w:pageBreakBefore w:val="0"/>
              <w:widowControl/>
              <w:kinsoku/>
              <w:wordWrap/>
              <w:overflowPunct/>
              <w:topLinePunct w:val="0"/>
              <w:bidi w:val="0"/>
              <w:adjustRightInd w:val="0"/>
              <w:snapToGrid w:val="0"/>
              <w:spacing w:line="280" w:lineRule="exact"/>
              <w:jc w:val="lef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524" w:type="pct"/>
            <w:vAlign w:val="center"/>
          </w:tcPr>
          <w:p w14:paraId="0441D0E3">
            <w:pPr>
              <w:keepNext w:val="0"/>
              <w:keepLines w:val="0"/>
              <w:pageBreakBefore w:val="0"/>
              <w:widowControl/>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生活废水</w:t>
            </w:r>
          </w:p>
        </w:tc>
        <w:tc>
          <w:tcPr>
            <w:tcW w:w="630" w:type="pct"/>
            <w:vAlign w:val="center"/>
          </w:tcPr>
          <w:p w14:paraId="347F7275">
            <w:pPr>
              <w:keepNext w:val="0"/>
              <w:keepLines w:val="0"/>
              <w:pageBreakBefore w:val="0"/>
              <w:widowControl/>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1361" w:type="pct"/>
            <w:gridSpan w:val="2"/>
            <w:vMerge w:val="continue"/>
            <w:vAlign w:val="center"/>
          </w:tcPr>
          <w:p w14:paraId="736FE94D">
            <w:pPr>
              <w:keepNext w:val="0"/>
              <w:keepLines w:val="0"/>
              <w:pageBreakBefore w:val="0"/>
              <w:widowControl/>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422" w:type="pct"/>
            <w:vMerge w:val="continue"/>
            <w:vAlign w:val="center"/>
          </w:tcPr>
          <w:p w14:paraId="7BDF30FB">
            <w:pPr>
              <w:keepNext w:val="0"/>
              <w:keepLines w:val="0"/>
              <w:pageBreakBefore w:val="0"/>
              <w:widowControl/>
              <w:kinsoku/>
              <w:wordWrap/>
              <w:overflowPunct/>
              <w:topLinePunct w:val="0"/>
              <w:bidi w:val="0"/>
              <w:adjustRightInd w:val="0"/>
              <w:snapToGrid w:val="0"/>
              <w:spacing w:line="280" w:lineRule="exact"/>
              <w:jc w:val="lef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1159" w:type="pct"/>
            <w:vMerge w:val="continue"/>
            <w:vAlign w:val="center"/>
          </w:tcPr>
          <w:p w14:paraId="04219581">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272" w:type="pct"/>
            <w:vMerge w:val="continue"/>
            <w:vAlign w:val="center"/>
          </w:tcPr>
          <w:p w14:paraId="28CDD4DF">
            <w:pPr>
              <w:widowControl/>
              <w:adjustRightInd w:val="0"/>
              <w:snapToGrid w:val="0"/>
              <w:spacing w:line="30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r>
      <w:tr w14:paraId="5940C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 w:type="pct"/>
            <w:gridSpan w:val="2"/>
            <w:vMerge w:val="continue"/>
            <w:vAlign w:val="center"/>
          </w:tcPr>
          <w:p w14:paraId="349C9420">
            <w:pPr>
              <w:keepNext w:val="0"/>
              <w:keepLines w:val="0"/>
              <w:pageBreakBefore w:val="0"/>
              <w:widowControl/>
              <w:kinsoku/>
              <w:wordWrap/>
              <w:overflowPunct/>
              <w:topLinePunct w:val="0"/>
              <w:bidi w:val="0"/>
              <w:adjustRightInd w:val="0"/>
              <w:snapToGrid w:val="0"/>
              <w:spacing w:line="280" w:lineRule="exact"/>
              <w:jc w:val="left"/>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524" w:type="pct"/>
            <w:vAlign w:val="center"/>
          </w:tcPr>
          <w:p w14:paraId="696C2A3C">
            <w:pPr>
              <w:keepNext w:val="0"/>
              <w:keepLines w:val="0"/>
              <w:pageBreakBefore w:val="0"/>
              <w:widowControl/>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管网</w:t>
            </w:r>
          </w:p>
        </w:tc>
        <w:tc>
          <w:tcPr>
            <w:tcW w:w="1991" w:type="pct"/>
            <w:gridSpan w:val="3"/>
            <w:vAlign w:val="center"/>
          </w:tcPr>
          <w:p w14:paraId="1420829F">
            <w:pPr>
              <w:keepNext w:val="0"/>
              <w:keepLines w:val="0"/>
              <w:pageBreakBefore w:val="0"/>
              <w:widowControl/>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422" w:type="pct"/>
            <w:vAlign w:val="center"/>
          </w:tcPr>
          <w:p w14:paraId="4288378D">
            <w:pPr>
              <w:keepNext w:val="0"/>
              <w:keepLines w:val="0"/>
              <w:pageBreakBefore w:val="0"/>
              <w:widowControl/>
              <w:kinsoku/>
              <w:wordWrap/>
              <w:overflowPunct/>
              <w:topLinePunct w:val="0"/>
              <w:bidi w:val="0"/>
              <w:adjustRightInd w:val="0"/>
              <w:snapToGrid w:val="0"/>
              <w:spacing w:line="280" w:lineRule="exact"/>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w:t>
            </w:r>
          </w:p>
        </w:tc>
        <w:tc>
          <w:tcPr>
            <w:tcW w:w="1159" w:type="pct"/>
            <w:vAlign w:val="center"/>
          </w:tcPr>
          <w:p w14:paraId="2B16DB12">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污水有效收集，实现清污分流</w:t>
            </w:r>
          </w:p>
        </w:tc>
        <w:tc>
          <w:tcPr>
            <w:tcW w:w="272" w:type="pct"/>
            <w:vMerge w:val="continue"/>
            <w:vAlign w:val="center"/>
          </w:tcPr>
          <w:p w14:paraId="796B68C6">
            <w:pPr>
              <w:widowControl/>
              <w:adjustRightInd w:val="0"/>
              <w:snapToGrid w:val="0"/>
              <w:spacing w:line="30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r>
      <w:tr w14:paraId="3B6E64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 w:type="pct"/>
            <w:gridSpan w:val="2"/>
            <w:vMerge w:val="restart"/>
            <w:vAlign w:val="center"/>
          </w:tcPr>
          <w:p w14:paraId="1C0283D7">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噪声</w:t>
            </w:r>
          </w:p>
        </w:tc>
        <w:tc>
          <w:tcPr>
            <w:tcW w:w="524" w:type="pct"/>
            <w:vAlign w:val="center"/>
          </w:tcPr>
          <w:p w14:paraId="1A9BCBED">
            <w:pPr>
              <w:keepNext w:val="0"/>
              <w:keepLines w:val="0"/>
              <w:pageBreakBefore w:val="0"/>
              <w:widowControl/>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设备噪声</w:t>
            </w:r>
          </w:p>
        </w:tc>
        <w:tc>
          <w:tcPr>
            <w:tcW w:w="630" w:type="pct"/>
            <w:vMerge w:val="restart"/>
            <w:vAlign w:val="center"/>
          </w:tcPr>
          <w:p w14:paraId="5E2689E7">
            <w:pPr>
              <w:keepNext w:val="0"/>
              <w:keepLines w:val="0"/>
              <w:pageBreakBefore w:val="0"/>
              <w:widowControl/>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1361" w:type="pct"/>
            <w:gridSpan w:val="2"/>
            <w:vAlign w:val="center"/>
          </w:tcPr>
          <w:p w14:paraId="2DB1CE91">
            <w:pPr>
              <w:keepNext w:val="0"/>
              <w:keepLines w:val="0"/>
              <w:pageBreakBefore w:val="0"/>
              <w:widowControl/>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422" w:type="pct"/>
            <w:vMerge w:val="restart"/>
            <w:vAlign w:val="center"/>
          </w:tcPr>
          <w:p w14:paraId="36EC8321">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5</w:t>
            </w:r>
          </w:p>
        </w:tc>
        <w:tc>
          <w:tcPr>
            <w:tcW w:w="1159" w:type="pct"/>
            <w:vMerge w:val="restart"/>
            <w:vAlign w:val="center"/>
          </w:tcPr>
          <w:p w14:paraId="43D4628C">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满足《工业企业厂界环境噪声排放标准》（GB12348-2008）</w:t>
            </w:r>
            <w:r>
              <w:rPr>
                <w:rFonts w:hint="eastAsia" w:ascii="Times New Roman" w:hAnsi="Times New Roman" w:eastAsia="宋体" w:cs="Times New Roman"/>
                <w:color w:val="000000" w:themeColor="text1"/>
                <w:kern w:val="0"/>
                <w:sz w:val="21"/>
                <w:szCs w:val="21"/>
                <w14:textFill>
                  <w14:solidFill>
                    <w14:schemeClr w14:val="tx1"/>
                  </w14:solidFill>
                </w14:textFill>
              </w:rPr>
              <w:t>1</w:t>
            </w:r>
            <w:r>
              <w:rPr>
                <w:rFonts w:ascii="Times New Roman" w:hAnsi="Times New Roman" w:eastAsia="宋体" w:cs="Times New Roman"/>
                <w:color w:val="000000" w:themeColor="text1"/>
                <w:kern w:val="0"/>
                <w:sz w:val="21"/>
                <w:szCs w:val="21"/>
                <w14:textFill>
                  <w14:solidFill>
                    <w14:schemeClr w14:val="tx1"/>
                  </w14:solidFill>
                </w14:textFill>
              </w:rPr>
              <w:t>类标准要求</w:t>
            </w:r>
          </w:p>
        </w:tc>
        <w:tc>
          <w:tcPr>
            <w:tcW w:w="272" w:type="pct"/>
            <w:vMerge w:val="continue"/>
            <w:vAlign w:val="center"/>
          </w:tcPr>
          <w:p w14:paraId="7ECC89A9">
            <w:pPr>
              <w:widowControl/>
              <w:adjustRightInd w:val="0"/>
              <w:snapToGrid w:val="0"/>
              <w:spacing w:line="30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r>
      <w:tr w14:paraId="3AFDD2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 w:type="pct"/>
            <w:gridSpan w:val="2"/>
            <w:vMerge w:val="continue"/>
            <w:vAlign w:val="center"/>
          </w:tcPr>
          <w:p w14:paraId="422AE8EC">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524" w:type="pct"/>
            <w:vAlign w:val="center"/>
          </w:tcPr>
          <w:p w14:paraId="34E68526">
            <w:pPr>
              <w:keepNext w:val="0"/>
              <w:keepLines w:val="0"/>
              <w:pageBreakBefore w:val="0"/>
              <w:widowControl/>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鸡叫声</w:t>
            </w:r>
          </w:p>
        </w:tc>
        <w:tc>
          <w:tcPr>
            <w:tcW w:w="630" w:type="pct"/>
            <w:vMerge w:val="continue"/>
            <w:vAlign w:val="center"/>
          </w:tcPr>
          <w:p w14:paraId="27DA033C">
            <w:pPr>
              <w:keepNext w:val="0"/>
              <w:keepLines w:val="0"/>
              <w:pageBreakBefore w:val="0"/>
              <w:widowControl/>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1361" w:type="pct"/>
            <w:gridSpan w:val="2"/>
            <w:vAlign w:val="center"/>
          </w:tcPr>
          <w:p w14:paraId="2BBA19FB">
            <w:pPr>
              <w:keepNext w:val="0"/>
              <w:keepLines w:val="0"/>
              <w:pageBreakBefore w:val="0"/>
              <w:widowControl/>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422" w:type="pct"/>
            <w:vMerge w:val="continue"/>
            <w:vAlign w:val="center"/>
          </w:tcPr>
          <w:p w14:paraId="45CEC090">
            <w:pPr>
              <w:widowControl/>
              <w:adjustRightInd w:val="0"/>
              <w:snapToGrid w:val="0"/>
              <w:spacing w:line="300" w:lineRule="exact"/>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1159" w:type="pct"/>
            <w:vMerge w:val="continue"/>
            <w:vAlign w:val="center"/>
          </w:tcPr>
          <w:p w14:paraId="389DE3CB">
            <w:pPr>
              <w:widowControl/>
              <w:adjustRightInd w:val="0"/>
              <w:snapToGrid w:val="0"/>
              <w:spacing w:line="300" w:lineRule="exact"/>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272" w:type="pct"/>
            <w:vMerge w:val="continue"/>
            <w:vAlign w:val="center"/>
          </w:tcPr>
          <w:p w14:paraId="7F41D7A4">
            <w:pPr>
              <w:widowControl/>
              <w:adjustRightInd w:val="0"/>
              <w:snapToGrid w:val="0"/>
              <w:spacing w:line="30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r>
      <w:tr w14:paraId="4C717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 w:type="pct"/>
            <w:gridSpan w:val="2"/>
            <w:vMerge w:val="restart"/>
            <w:vAlign w:val="center"/>
          </w:tcPr>
          <w:p w14:paraId="49C983C8">
            <w:pPr>
              <w:keepNext w:val="0"/>
              <w:keepLines w:val="0"/>
              <w:pageBreakBefore w:val="0"/>
              <w:widowControl/>
              <w:kinsoku/>
              <w:wordWrap/>
              <w:overflowPunct/>
              <w:topLinePunct w:val="0"/>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固废</w:t>
            </w:r>
          </w:p>
        </w:tc>
        <w:tc>
          <w:tcPr>
            <w:tcW w:w="524" w:type="pct"/>
            <w:vAlign w:val="center"/>
          </w:tcPr>
          <w:p w14:paraId="70886FB1">
            <w:pPr>
              <w:keepNext w:val="0"/>
              <w:keepLines w:val="0"/>
              <w:pageBreakBefore w:val="0"/>
              <w:widowControl/>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一般固废</w:t>
            </w:r>
          </w:p>
        </w:tc>
        <w:tc>
          <w:tcPr>
            <w:tcW w:w="630" w:type="pct"/>
            <w:vAlign w:val="center"/>
          </w:tcPr>
          <w:p w14:paraId="1E1A39CA">
            <w:pPr>
              <w:keepNext w:val="0"/>
              <w:keepLines w:val="0"/>
              <w:pageBreakBefore w:val="0"/>
              <w:widowControl/>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000000" w:themeColor="text1"/>
                <w:sz w:val="21"/>
                <w:szCs w:val="21"/>
                <w14:textFill>
                  <w14:solidFill>
                    <w14:schemeClr w14:val="tx1"/>
                  </w14:solidFill>
                </w14:textFill>
              </w:rPr>
            </w:pPr>
          </w:p>
        </w:tc>
        <w:tc>
          <w:tcPr>
            <w:tcW w:w="1361" w:type="pct"/>
            <w:gridSpan w:val="2"/>
            <w:vAlign w:val="center"/>
          </w:tcPr>
          <w:p w14:paraId="3D3F1884">
            <w:pPr>
              <w:keepNext w:val="0"/>
              <w:keepLines w:val="0"/>
              <w:pageBreakBefore w:val="0"/>
              <w:widowControl/>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000000" w:themeColor="text1"/>
                <w:sz w:val="21"/>
                <w:szCs w:val="21"/>
                <w14:textFill>
                  <w14:solidFill>
                    <w14:schemeClr w14:val="tx1"/>
                  </w14:solidFill>
                </w14:textFill>
              </w:rPr>
            </w:pPr>
          </w:p>
        </w:tc>
        <w:tc>
          <w:tcPr>
            <w:tcW w:w="422" w:type="pct"/>
            <w:vMerge w:val="restart"/>
            <w:vAlign w:val="center"/>
          </w:tcPr>
          <w:p w14:paraId="568EF584">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20</w:t>
            </w:r>
          </w:p>
        </w:tc>
        <w:tc>
          <w:tcPr>
            <w:tcW w:w="1159" w:type="pct"/>
            <w:vMerge w:val="restart"/>
            <w:vAlign w:val="center"/>
          </w:tcPr>
          <w:p w14:paraId="1E909AD5">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满足管理要求</w:t>
            </w:r>
          </w:p>
        </w:tc>
        <w:tc>
          <w:tcPr>
            <w:tcW w:w="272" w:type="pct"/>
            <w:vMerge w:val="continue"/>
            <w:vAlign w:val="center"/>
          </w:tcPr>
          <w:p w14:paraId="65C4808D">
            <w:pPr>
              <w:widowControl/>
              <w:adjustRightInd w:val="0"/>
              <w:snapToGrid w:val="0"/>
              <w:spacing w:line="30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r>
      <w:tr w14:paraId="1FBA7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 w:type="pct"/>
            <w:gridSpan w:val="2"/>
            <w:vMerge w:val="continue"/>
            <w:vAlign w:val="center"/>
          </w:tcPr>
          <w:p w14:paraId="24CA6FCB">
            <w:pPr>
              <w:widowControl/>
              <w:adjustRightInd w:val="0"/>
              <w:snapToGrid w:val="0"/>
              <w:spacing w:line="28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c>
          <w:tcPr>
            <w:tcW w:w="524" w:type="pct"/>
            <w:vAlign w:val="center"/>
          </w:tcPr>
          <w:p w14:paraId="763CE885">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危险固废</w:t>
            </w:r>
          </w:p>
        </w:tc>
        <w:tc>
          <w:tcPr>
            <w:tcW w:w="630" w:type="pct"/>
            <w:vAlign w:val="center"/>
          </w:tcPr>
          <w:p w14:paraId="2F2ABE28">
            <w:pPr>
              <w:widowControl/>
              <w:adjustRightInd w:val="0"/>
              <w:snapToGrid w:val="0"/>
              <w:spacing w:line="280" w:lineRule="exact"/>
              <w:jc w:val="center"/>
              <w:rPr>
                <w:rFonts w:ascii="Times New Roman" w:hAnsi="Times New Roman" w:eastAsia="宋体" w:cs="Times New Roman"/>
                <w:color w:val="000000" w:themeColor="text1"/>
                <w:sz w:val="21"/>
                <w:szCs w:val="21"/>
                <w14:textFill>
                  <w14:solidFill>
                    <w14:schemeClr w14:val="tx1"/>
                  </w14:solidFill>
                </w14:textFill>
              </w:rPr>
            </w:pPr>
          </w:p>
        </w:tc>
        <w:tc>
          <w:tcPr>
            <w:tcW w:w="1361" w:type="pct"/>
            <w:gridSpan w:val="2"/>
            <w:vAlign w:val="center"/>
          </w:tcPr>
          <w:p w14:paraId="19F6DADD">
            <w:pPr>
              <w:widowControl/>
              <w:adjustRightInd w:val="0"/>
              <w:snapToGrid w:val="0"/>
              <w:spacing w:line="280" w:lineRule="exact"/>
              <w:jc w:val="center"/>
              <w:rPr>
                <w:rFonts w:ascii="Times New Roman" w:hAnsi="Times New Roman" w:eastAsia="宋体" w:cs="Times New Roman"/>
                <w:color w:val="000000" w:themeColor="text1"/>
                <w:sz w:val="21"/>
                <w:szCs w:val="21"/>
                <w14:textFill>
                  <w14:solidFill>
                    <w14:schemeClr w14:val="tx1"/>
                  </w14:solidFill>
                </w14:textFill>
              </w:rPr>
            </w:pPr>
          </w:p>
        </w:tc>
        <w:tc>
          <w:tcPr>
            <w:tcW w:w="422" w:type="pct"/>
            <w:vMerge w:val="continue"/>
            <w:vAlign w:val="center"/>
          </w:tcPr>
          <w:p w14:paraId="653CFE81">
            <w:pPr>
              <w:widowControl/>
              <w:adjustRightInd w:val="0"/>
              <w:snapToGrid w:val="0"/>
              <w:spacing w:line="28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c>
          <w:tcPr>
            <w:tcW w:w="1159" w:type="pct"/>
            <w:vMerge w:val="continue"/>
            <w:vAlign w:val="center"/>
          </w:tcPr>
          <w:p w14:paraId="34E423EE">
            <w:pPr>
              <w:widowControl/>
              <w:adjustRightInd w:val="0"/>
              <w:snapToGrid w:val="0"/>
              <w:spacing w:line="28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c>
          <w:tcPr>
            <w:tcW w:w="272" w:type="pct"/>
            <w:vMerge w:val="continue"/>
            <w:vAlign w:val="center"/>
          </w:tcPr>
          <w:p w14:paraId="291AB4A3">
            <w:pPr>
              <w:widowControl/>
              <w:adjustRightInd w:val="0"/>
              <w:snapToGrid w:val="0"/>
              <w:spacing w:line="30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r>
      <w:tr w14:paraId="40F2E3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 w:type="pct"/>
            <w:gridSpan w:val="2"/>
            <w:vMerge w:val="continue"/>
            <w:vAlign w:val="center"/>
          </w:tcPr>
          <w:p w14:paraId="1268CA96">
            <w:pPr>
              <w:widowControl/>
              <w:adjustRightInd w:val="0"/>
              <w:snapToGrid w:val="0"/>
              <w:spacing w:line="28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c>
          <w:tcPr>
            <w:tcW w:w="524" w:type="pct"/>
            <w:vAlign w:val="center"/>
          </w:tcPr>
          <w:p w14:paraId="6EE4C927">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生活垃圾</w:t>
            </w:r>
          </w:p>
        </w:tc>
        <w:tc>
          <w:tcPr>
            <w:tcW w:w="630" w:type="pct"/>
            <w:vAlign w:val="center"/>
          </w:tcPr>
          <w:p w14:paraId="62F53BCB">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1361" w:type="pct"/>
            <w:gridSpan w:val="2"/>
            <w:vAlign w:val="center"/>
          </w:tcPr>
          <w:p w14:paraId="75420A9B">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422" w:type="pct"/>
            <w:vMerge w:val="continue"/>
            <w:vAlign w:val="center"/>
          </w:tcPr>
          <w:p w14:paraId="12128607">
            <w:pPr>
              <w:widowControl/>
              <w:adjustRightInd w:val="0"/>
              <w:snapToGrid w:val="0"/>
              <w:spacing w:line="28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c>
          <w:tcPr>
            <w:tcW w:w="1159" w:type="pct"/>
            <w:vMerge w:val="continue"/>
            <w:vAlign w:val="center"/>
          </w:tcPr>
          <w:p w14:paraId="77DF8D9A">
            <w:pPr>
              <w:widowControl/>
              <w:adjustRightInd w:val="0"/>
              <w:snapToGrid w:val="0"/>
              <w:spacing w:line="28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c>
          <w:tcPr>
            <w:tcW w:w="272" w:type="pct"/>
            <w:vMerge w:val="continue"/>
            <w:vAlign w:val="center"/>
          </w:tcPr>
          <w:p w14:paraId="41C67796">
            <w:pPr>
              <w:widowControl/>
              <w:adjustRightInd w:val="0"/>
              <w:snapToGrid w:val="0"/>
              <w:spacing w:line="30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r>
      <w:tr w14:paraId="69DDF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 w:type="pct"/>
            <w:gridSpan w:val="2"/>
            <w:vAlign w:val="center"/>
          </w:tcPr>
          <w:p w14:paraId="316A1CCE">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绿化</w:t>
            </w:r>
          </w:p>
        </w:tc>
        <w:tc>
          <w:tcPr>
            <w:tcW w:w="2515" w:type="pct"/>
            <w:gridSpan w:val="4"/>
            <w:vAlign w:val="center"/>
          </w:tcPr>
          <w:p w14:paraId="01BDAFD7">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422" w:type="pct"/>
            <w:vAlign w:val="center"/>
          </w:tcPr>
          <w:p w14:paraId="4407402E">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5</w:t>
            </w:r>
          </w:p>
        </w:tc>
        <w:tc>
          <w:tcPr>
            <w:tcW w:w="1159" w:type="pct"/>
            <w:vAlign w:val="center"/>
          </w:tcPr>
          <w:p w14:paraId="4EEBC98D">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w:t>
            </w:r>
          </w:p>
        </w:tc>
        <w:tc>
          <w:tcPr>
            <w:tcW w:w="272" w:type="pct"/>
            <w:vMerge w:val="continue"/>
            <w:vAlign w:val="center"/>
          </w:tcPr>
          <w:p w14:paraId="589C50BB">
            <w:pPr>
              <w:widowControl/>
              <w:adjustRightInd w:val="0"/>
              <w:snapToGrid w:val="0"/>
              <w:spacing w:line="30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r>
      <w:tr w14:paraId="6CC5B8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 w:type="pct"/>
            <w:gridSpan w:val="2"/>
            <w:vAlign w:val="center"/>
          </w:tcPr>
          <w:p w14:paraId="63BCF737">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地下水</w:t>
            </w:r>
          </w:p>
        </w:tc>
        <w:tc>
          <w:tcPr>
            <w:tcW w:w="2515" w:type="pct"/>
            <w:gridSpan w:val="4"/>
            <w:vAlign w:val="center"/>
          </w:tcPr>
          <w:p w14:paraId="183EBA9E">
            <w:pPr>
              <w:widowControl/>
              <w:adjustRightInd w:val="0"/>
              <w:snapToGrid w:val="0"/>
              <w:spacing w:line="28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422" w:type="pct"/>
            <w:vAlign w:val="center"/>
          </w:tcPr>
          <w:p w14:paraId="0CBE9C82">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5</w:t>
            </w:r>
          </w:p>
        </w:tc>
        <w:tc>
          <w:tcPr>
            <w:tcW w:w="1159" w:type="pct"/>
            <w:vAlign w:val="center"/>
          </w:tcPr>
          <w:p w14:paraId="56143725">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w:t>
            </w:r>
          </w:p>
        </w:tc>
        <w:tc>
          <w:tcPr>
            <w:tcW w:w="272" w:type="pct"/>
            <w:vMerge w:val="continue"/>
            <w:vAlign w:val="center"/>
          </w:tcPr>
          <w:p w14:paraId="5A668C94">
            <w:pPr>
              <w:widowControl/>
              <w:adjustRightInd w:val="0"/>
              <w:snapToGrid w:val="0"/>
              <w:spacing w:line="30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r>
      <w:tr w14:paraId="229A3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 w:type="pct"/>
            <w:gridSpan w:val="2"/>
            <w:vAlign w:val="center"/>
          </w:tcPr>
          <w:p w14:paraId="136CA5A1">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事故应急措施</w:t>
            </w:r>
          </w:p>
        </w:tc>
        <w:tc>
          <w:tcPr>
            <w:tcW w:w="2515" w:type="pct"/>
            <w:gridSpan w:val="4"/>
            <w:vAlign w:val="center"/>
          </w:tcPr>
          <w:p w14:paraId="64A838F0">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422" w:type="pct"/>
            <w:vAlign w:val="center"/>
          </w:tcPr>
          <w:p w14:paraId="1EEE4F6C">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kern w:val="0"/>
                <w:sz w:val="21"/>
                <w:szCs w:val="21"/>
                <w14:textFill>
                  <w14:solidFill>
                    <w14:schemeClr w14:val="tx1"/>
                  </w14:solidFill>
                </w14:textFill>
              </w:rPr>
              <w:t>0</w:t>
            </w:r>
          </w:p>
        </w:tc>
        <w:tc>
          <w:tcPr>
            <w:tcW w:w="1159" w:type="pct"/>
            <w:vAlign w:val="center"/>
          </w:tcPr>
          <w:p w14:paraId="08D5F780">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w:t>
            </w:r>
          </w:p>
        </w:tc>
        <w:tc>
          <w:tcPr>
            <w:tcW w:w="272" w:type="pct"/>
            <w:vMerge w:val="continue"/>
            <w:vAlign w:val="center"/>
          </w:tcPr>
          <w:p w14:paraId="473F7B52">
            <w:pPr>
              <w:widowControl/>
              <w:adjustRightInd w:val="0"/>
              <w:snapToGrid w:val="0"/>
              <w:spacing w:line="30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r>
      <w:tr w14:paraId="30765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 w:type="pct"/>
            <w:gridSpan w:val="2"/>
            <w:vMerge w:val="restart"/>
            <w:vAlign w:val="center"/>
          </w:tcPr>
          <w:p w14:paraId="6C8C4A10">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环境管理（机构、监测能力等）</w:t>
            </w:r>
          </w:p>
        </w:tc>
        <w:tc>
          <w:tcPr>
            <w:tcW w:w="2515" w:type="pct"/>
            <w:gridSpan w:val="4"/>
            <w:vAlign w:val="center"/>
          </w:tcPr>
          <w:p w14:paraId="34112C3A">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422" w:type="pct"/>
            <w:vAlign w:val="center"/>
          </w:tcPr>
          <w:p w14:paraId="356555FF">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5</w:t>
            </w:r>
          </w:p>
        </w:tc>
        <w:tc>
          <w:tcPr>
            <w:tcW w:w="1159" w:type="pct"/>
            <w:vAlign w:val="center"/>
          </w:tcPr>
          <w:p w14:paraId="599953E6">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w:t>
            </w:r>
          </w:p>
        </w:tc>
        <w:tc>
          <w:tcPr>
            <w:tcW w:w="272" w:type="pct"/>
            <w:vMerge w:val="continue"/>
            <w:vAlign w:val="center"/>
          </w:tcPr>
          <w:p w14:paraId="630B2F4B">
            <w:pPr>
              <w:widowControl/>
              <w:adjustRightInd w:val="0"/>
              <w:snapToGrid w:val="0"/>
              <w:spacing w:line="30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r>
      <w:tr w14:paraId="61BDD7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 w:type="pct"/>
            <w:gridSpan w:val="2"/>
            <w:vMerge w:val="continue"/>
            <w:vAlign w:val="center"/>
          </w:tcPr>
          <w:p w14:paraId="287BE0E7">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2515" w:type="pct"/>
            <w:gridSpan w:val="4"/>
            <w:vAlign w:val="center"/>
          </w:tcPr>
          <w:p w14:paraId="1D7DA96B">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422" w:type="pct"/>
            <w:vAlign w:val="center"/>
          </w:tcPr>
          <w:p w14:paraId="4663DEC7">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5</w:t>
            </w:r>
          </w:p>
        </w:tc>
        <w:tc>
          <w:tcPr>
            <w:tcW w:w="1159" w:type="pct"/>
            <w:vAlign w:val="center"/>
          </w:tcPr>
          <w:p w14:paraId="2F07F484">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w:t>
            </w:r>
          </w:p>
        </w:tc>
        <w:tc>
          <w:tcPr>
            <w:tcW w:w="272" w:type="pct"/>
            <w:vMerge w:val="continue"/>
            <w:vAlign w:val="center"/>
          </w:tcPr>
          <w:p w14:paraId="37B048BC">
            <w:pPr>
              <w:widowControl/>
              <w:adjustRightInd w:val="0"/>
              <w:snapToGrid w:val="0"/>
              <w:spacing w:line="30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r>
      <w:tr w14:paraId="47166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 w:type="pct"/>
            <w:gridSpan w:val="2"/>
            <w:vAlign w:val="center"/>
          </w:tcPr>
          <w:p w14:paraId="4F1412A8">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清污分流、排污口规划化设置（流量计、在线监测仪等）</w:t>
            </w:r>
          </w:p>
        </w:tc>
        <w:tc>
          <w:tcPr>
            <w:tcW w:w="2515" w:type="pct"/>
            <w:gridSpan w:val="4"/>
            <w:vAlign w:val="center"/>
          </w:tcPr>
          <w:p w14:paraId="1AD8B153">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422" w:type="pct"/>
            <w:vAlign w:val="center"/>
          </w:tcPr>
          <w:p w14:paraId="66456BD2">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10</w:t>
            </w:r>
          </w:p>
        </w:tc>
        <w:tc>
          <w:tcPr>
            <w:tcW w:w="1159" w:type="pct"/>
            <w:vAlign w:val="center"/>
          </w:tcPr>
          <w:p w14:paraId="02A487DF">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w:t>
            </w:r>
          </w:p>
        </w:tc>
        <w:tc>
          <w:tcPr>
            <w:tcW w:w="272" w:type="pct"/>
            <w:vMerge w:val="continue"/>
            <w:vAlign w:val="center"/>
          </w:tcPr>
          <w:p w14:paraId="66225572">
            <w:pPr>
              <w:widowControl/>
              <w:adjustRightInd w:val="0"/>
              <w:snapToGrid w:val="0"/>
              <w:spacing w:line="30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r>
      <w:tr w14:paraId="08661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46" w:type="pct"/>
            <w:gridSpan w:val="6"/>
            <w:vAlign w:val="center"/>
          </w:tcPr>
          <w:p w14:paraId="5D017E28">
            <w:pPr>
              <w:widowControl/>
              <w:adjustRightInd w:val="0"/>
              <w:snapToGrid w:val="0"/>
              <w:spacing w:line="280" w:lineRule="exact"/>
              <w:jc w:val="left"/>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总投资</w:t>
            </w:r>
          </w:p>
        </w:tc>
        <w:tc>
          <w:tcPr>
            <w:tcW w:w="422" w:type="pct"/>
            <w:vAlign w:val="center"/>
          </w:tcPr>
          <w:p w14:paraId="2C07A728">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180</w:t>
            </w:r>
          </w:p>
        </w:tc>
        <w:tc>
          <w:tcPr>
            <w:tcW w:w="1159" w:type="pct"/>
            <w:vAlign w:val="center"/>
          </w:tcPr>
          <w:p w14:paraId="469AE2F0">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p>
        </w:tc>
        <w:tc>
          <w:tcPr>
            <w:tcW w:w="272" w:type="pct"/>
            <w:vMerge w:val="continue"/>
            <w:vAlign w:val="center"/>
          </w:tcPr>
          <w:p w14:paraId="1E14B53E">
            <w:pPr>
              <w:widowControl/>
              <w:adjustRightInd w:val="0"/>
              <w:snapToGrid w:val="0"/>
              <w:spacing w:line="30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r>
      <w:tr w14:paraId="0A760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 w:type="pct"/>
            <w:gridSpan w:val="2"/>
            <w:vAlign w:val="center"/>
          </w:tcPr>
          <w:p w14:paraId="4E9E0245">
            <w:pPr>
              <w:widowControl/>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大气环境防护距离设置（以设施或厂界设置，敏感保护目标情况等）</w:t>
            </w:r>
          </w:p>
        </w:tc>
        <w:tc>
          <w:tcPr>
            <w:tcW w:w="4097" w:type="pct"/>
            <w:gridSpan w:val="6"/>
            <w:vAlign w:val="center"/>
          </w:tcPr>
          <w:p w14:paraId="3B39268F">
            <w:pPr>
              <w:adjustRightInd w:val="0"/>
              <w:snapToGrid w:val="0"/>
              <w:spacing w:line="28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本项目不需要设置大气环境防护距离。</w:t>
            </w:r>
          </w:p>
        </w:tc>
        <w:tc>
          <w:tcPr>
            <w:tcW w:w="272" w:type="pct"/>
            <w:vMerge w:val="continue"/>
            <w:vAlign w:val="center"/>
          </w:tcPr>
          <w:p w14:paraId="4A66271B">
            <w:pPr>
              <w:widowControl/>
              <w:adjustRightInd w:val="0"/>
              <w:snapToGrid w:val="0"/>
              <w:spacing w:line="30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r>
      <w:tr w14:paraId="73E97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 w:type="pct"/>
            <w:gridSpan w:val="2"/>
            <w:vAlign w:val="center"/>
          </w:tcPr>
          <w:p w14:paraId="0B936F18">
            <w:pPr>
              <w:widowControl/>
              <w:adjustRightInd w:val="0"/>
              <w:snapToGrid w:val="0"/>
              <w:spacing w:line="30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卫生防护距离</w:t>
            </w:r>
          </w:p>
        </w:tc>
        <w:tc>
          <w:tcPr>
            <w:tcW w:w="4097" w:type="pct"/>
            <w:gridSpan w:val="6"/>
            <w:vAlign w:val="center"/>
          </w:tcPr>
          <w:p w14:paraId="7058F512">
            <w:pPr>
              <w:adjustRightInd w:val="0"/>
              <w:snapToGrid w:val="0"/>
              <w:spacing w:line="300" w:lineRule="exact"/>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以项目鸡舍区、鸡粪暂存库及污水处理站为边界分别设定200m卫生防护距离所组成的包络线</w:t>
            </w:r>
          </w:p>
        </w:tc>
        <w:tc>
          <w:tcPr>
            <w:tcW w:w="272" w:type="pct"/>
            <w:vMerge w:val="continue"/>
            <w:vAlign w:val="center"/>
          </w:tcPr>
          <w:p w14:paraId="5309F287">
            <w:pPr>
              <w:widowControl/>
              <w:adjustRightInd w:val="0"/>
              <w:snapToGrid w:val="0"/>
              <w:spacing w:line="300" w:lineRule="exact"/>
              <w:jc w:val="left"/>
              <w:rPr>
                <w:rFonts w:ascii="Times New Roman" w:hAnsi="Times New Roman" w:eastAsia="宋体" w:cs="Times New Roman"/>
                <w:color w:val="000000" w:themeColor="text1"/>
                <w:kern w:val="0"/>
                <w:sz w:val="21"/>
                <w:szCs w:val="21"/>
                <w14:textFill>
                  <w14:solidFill>
                    <w14:schemeClr w14:val="tx1"/>
                  </w14:solidFill>
                </w14:textFill>
              </w:rPr>
            </w:pPr>
          </w:p>
        </w:tc>
      </w:tr>
    </w:tbl>
    <w:p w14:paraId="2072BE77">
      <w:pPr>
        <w:sectPr>
          <w:pgSz w:w="16838" w:h="11906" w:orient="landscape"/>
          <w:pgMar w:top="1531" w:right="1440" w:bottom="1474" w:left="1440" w:header="850" w:footer="850" w:gutter="0"/>
          <w:pgNumType w:fmt="decimal"/>
          <w:cols w:space="425" w:num="1"/>
          <w:docGrid w:type="lines" w:linePitch="326" w:charSpace="0"/>
        </w:sectPr>
      </w:pPr>
    </w:p>
    <w:p w14:paraId="482D5453">
      <w:pPr>
        <w:pStyle w:val="3"/>
        <w:spacing w:line="480" w:lineRule="exact"/>
      </w:pPr>
      <w:bookmarkStart w:id="237" w:name="_Toc257"/>
      <w:r>
        <w:rPr>
          <w:rFonts w:hint="eastAsia"/>
        </w:rPr>
        <w:t>7 环境经济损益分析</w:t>
      </w:r>
      <w:bookmarkEnd w:id="237"/>
    </w:p>
    <w:p w14:paraId="20ADA5A7">
      <w:pPr>
        <w:autoSpaceDE w:val="0"/>
        <w:autoSpaceDN w:val="0"/>
        <w:adjustRightInd w:val="0"/>
        <w:snapToGrid w:val="0"/>
        <w:spacing w:line="480" w:lineRule="exact"/>
        <w:ind w:firstLine="480" w:firstLineChars="200"/>
        <w:rPr>
          <w:rFonts w:ascii="Times New Roman"/>
          <w:color w:val="000000"/>
          <w:szCs w:val="24"/>
          <w:lang w:val="zh-CN"/>
        </w:rPr>
      </w:pPr>
      <w:r>
        <w:rPr>
          <w:rFonts w:ascii="Times New Roman"/>
          <w:color w:val="000000"/>
          <w:szCs w:val="24"/>
          <w:lang w:val="zh-CN"/>
        </w:rPr>
        <w:t>环境经济损益分析主要是评价建设项目实施后，对环境造成的损失费用和采取各种环保治理措施所能收到的环保效果及其带来的经济和社会效益，衡量建设项目的环保投资在经济上的合理水平。</w:t>
      </w:r>
    </w:p>
    <w:p w14:paraId="61DC20A9">
      <w:pPr>
        <w:autoSpaceDE w:val="0"/>
        <w:autoSpaceDN w:val="0"/>
        <w:adjustRightInd w:val="0"/>
        <w:snapToGrid w:val="0"/>
        <w:spacing w:line="480" w:lineRule="exact"/>
        <w:ind w:firstLine="480" w:firstLineChars="200"/>
        <w:rPr>
          <w:rFonts w:ascii="Times New Roman"/>
          <w:color w:val="000000"/>
          <w:szCs w:val="24"/>
          <w:lang w:val="zh-CN"/>
        </w:rPr>
      </w:pPr>
      <w:r>
        <w:rPr>
          <w:rFonts w:ascii="Times New Roman"/>
          <w:color w:val="000000"/>
          <w:szCs w:val="24"/>
          <w:lang w:val="zh-CN"/>
        </w:rPr>
        <w:t>一个项目的开发建设，除对国民经济的发展起着促进作用外，同时也在一定程度上影响着项目拟建地区环境的变化。社会影响、经济影响、环境影响是一个系统的三要素，最终以提高人类的生活质量为目的。它们之间既是互相促进，又互相制约，必须通过全面规划、综合平衡、正确地把全局利益和局部利益、长远利益和近期利益结合起来，对环境保护和经济发展进行协调，实现社会效益、经济效益、环境效益的三统一。通过对拟建项目的经济、社会和环境效益分析，为项目决策者更好地考虑环境、经济和社会效益的统一提供依据。</w:t>
      </w:r>
    </w:p>
    <w:p w14:paraId="3201B3B4">
      <w:pPr>
        <w:pStyle w:val="4"/>
        <w:spacing w:after="0" w:line="480" w:lineRule="exact"/>
        <w:jc w:val="both"/>
      </w:pPr>
      <w:bookmarkStart w:id="238" w:name="_Toc32418"/>
      <w:r>
        <w:rPr>
          <w:rFonts w:hint="eastAsia"/>
        </w:rPr>
        <w:t>7.1 经济效益分析</w:t>
      </w:r>
      <w:bookmarkEnd w:id="238"/>
    </w:p>
    <w:p w14:paraId="261C0771">
      <w:pPr>
        <w:pStyle w:val="15"/>
        <w:snapToGrid w:val="0"/>
        <w:spacing w:line="480" w:lineRule="exact"/>
        <w:ind w:firstLine="480" w:firstLineChars="200"/>
        <w:rPr>
          <w:color w:val="000000"/>
          <w:sz w:val="24"/>
          <w:szCs w:val="24"/>
        </w:rPr>
      </w:pPr>
      <w:r>
        <w:rPr>
          <w:rFonts w:hAnsi="宋体"/>
          <w:color w:val="000000"/>
          <w:sz w:val="24"/>
          <w:szCs w:val="24"/>
        </w:rPr>
        <w:t>本项目总投资</w:t>
      </w:r>
      <w:r>
        <w:rPr>
          <w:rFonts w:hint="eastAsia"/>
          <w:color w:val="000000"/>
          <w:sz w:val="24"/>
          <w:szCs w:val="24"/>
        </w:rPr>
        <w:t>1500</w:t>
      </w:r>
      <w:r>
        <w:rPr>
          <w:color w:val="000000"/>
          <w:sz w:val="24"/>
          <w:szCs w:val="24"/>
        </w:rPr>
        <w:t>万元</w:t>
      </w:r>
      <w:r>
        <w:rPr>
          <w:rFonts w:hAnsi="宋体"/>
          <w:color w:val="000000"/>
          <w:sz w:val="24"/>
          <w:szCs w:val="24"/>
        </w:rPr>
        <w:t>。经济效益分析情况见表</w:t>
      </w:r>
      <w:r>
        <w:rPr>
          <w:color w:val="000000"/>
          <w:sz w:val="24"/>
          <w:szCs w:val="24"/>
        </w:rPr>
        <w:t>7.1-1</w:t>
      </w:r>
      <w:r>
        <w:rPr>
          <w:rFonts w:hAnsi="宋体"/>
          <w:color w:val="000000"/>
          <w:sz w:val="24"/>
          <w:szCs w:val="24"/>
        </w:rPr>
        <w:t>。</w:t>
      </w:r>
    </w:p>
    <w:p w14:paraId="3ABC15E1">
      <w:pPr>
        <w:pStyle w:val="112"/>
        <w:adjustRightInd w:val="0"/>
        <w:snapToGrid w:val="0"/>
        <w:spacing w:before="0" w:after="0" w:line="480" w:lineRule="exact"/>
        <w:rPr>
          <w:rFonts w:ascii="Times New Roman" w:hAnsi="Times New Roman"/>
          <w:b/>
          <w:color w:val="000000"/>
          <w:szCs w:val="24"/>
        </w:rPr>
      </w:pPr>
      <w:r>
        <w:rPr>
          <w:rFonts w:ascii="Times New Roman"/>
          <w:b/>
          <w:color w:val="000000"/>
          <w:szCs w:val="24"/>
        </w:rPr>
        <w:t>表</w:t>
      </w:r>
      <w:r>
        <w:rPr>
          <w:rFonts w:ascii="Times New Roman" w:hAnsi="Times New Roman"/>
          <w:b/>
          <w:color w:val="000000"/>
          <w:szCs w:val="24"/>
        </w:rPr>
        <w:t xml:space="preserve">7.1-1  </w:t>
      </w:r>
      <w:r>
        <w:rPr>
          <w:rFonts w:ascii="Times New Roman"/>
          <w:b/>
          <w:color w:val="000000"/>
          <w:szCs w:val="24"/>
        </w:rPr>
        <w:t>本项目主要经济效益指标</w:t>
      </w:r>
    </w:p>
    <w:tbl>
      <w:tblPr>
        <w:tblStyle w:val="41"/>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1605"/>
        <w:gridCol w:w="3901"/>
        <w:gridCol w:w="1642"/>
        <w:gridCol w:w="2140"/>
      </w:tblGrid>
      <w:tr w14:paraId="38F9B60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64" w:type="pct"/>
            <w:vAlign w:val="center"/>
          </w:tcPr>
          <w:p w14:paraId="2B50B4FB">
            <w:pPr>
              <w:spacing w:line="280" w:lineRule="exact"/>
              <w:jc w:val="center"/>
              <w:rPr>
                <w:color w:val="000000"/>
                <w:sz w:val="21"/>
                <w:szCs w:val="21"/>
              </w:rPr>
            </w:pPr>
            <w:r>
              <w:rPr>
                <w:rFonts w:hAnsi="宋体"/>
                <w:color w:val="000000"/>
                <w:sz w:val="21"/>
                <w:szCs w:val="21"/>
              </w:rPr>
              <w:t>序号</w:t>
            </w:r>
          </w:p>
        </w:tc>
        <w:tc>
          <w:tcPr>
            <w:tcW w:w="2100" w:type="pct"/>
            <w:vAlign w:val="center"/>
          </w:tcPr>
          <w:p w14:paraId="7EBA5651">
            <w:pPr>
              <w:spacing w:line="280" w:lineRule="exact"/>
              <w:jc w:val="center"/>
              <w:rPr>
                <w:color w:val="000000"/>
                <w:sz w:val="21"/>
                <w:szCs w:val="21"/>
              </w:rPr>
            </w:pPr>
            <w:r>
              <w:rPr>
                <w:rFonts w:hAnsi="宋体"/>
                <w:color w:val="000000"/>
                <w:sz w:val="21"/>
                <w:szCs w:val="21"/>
              </w:rPr>
              <w:t>指标名称</w:t>
            </w:r>
          </w:p>
        </w:tc>
        <w:tc>
          <w:tcPr>
            <w:tcW w:w="884" w:type="pct"/>
            <w:vAlign w:val="center"/>
          </w:tcPr>
          <w:p w14:paraId="6CEC4C81">
            <w:pPr>
              <w:spacing w:line="280" w:lineRule="exact"/>
              <w:jc w:val="center"/>
              <w:rPr>
                <w:color w:val="000000"/>
                <w:sz w:val="21"/>
                <w:szCs w:val="21"/>
              </w:rPr>
            </w:pPr>
            <w:r>
              <w:rPr>
                <w:rFonts w:hAnsi="宋体"/>
                <w:color w:val="000000"/>
                <w:sz w:val="21"/>
                <w:szCs w:val="21"/>
              </w:rPr>
              <w:t>单位</w:t>
            </w:r>
          </w:p>
        </w:tc>
        <w:tc>
          <w:tcPr>
            <w:tcW w:w="1152" w:type="pct"/>
            <w:vAlign w:val="center"/>
          </w:tcPr>
          <w:p w14:paraId="3C3FCFA5">
            <w:pPr>
              <w:spacing w:line="280" w:lineRule="exact"/>
              <w:jc w:val="center"/>
              <w:rPr>
                <w:color w:val="000000"/>
                <w:sz w:val="21"/>
                <w:szCs w:val="21"/>
              </w:rPr>
            </w:pPr>
            <w:r>
              <w:rPr>
                <w:rFonts w:hAnsi="宋体"/>
                <w:color w:val="000000"/>
                <w:sz w:val="21"/>
                <w:szCs w:val="21"/>
              </w:rPr>
              <w:t>数据</w:t>
            </w:r>
          </w:p>
        </w:tc>
      </w:tr>
      <w:tr w14:paraId="34DB9C9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64" w:type="pct"/>
            <w:vAlign w:val="center"/>
          </w:tcPr>
          <w:p w14:paraId="632CD345">
            <w:pPr>
              <w:spacing w:line="280" w:lineRule="exact"/>
              <w:jc w:val="center"/>
              <w:rPr>
                <w:color w:val="000000"/>
                <w:sz w:val="21"/>
                <w:szCs w:val="21"/>
              </w:rPr>
            </w:pPr>
            <w:r>
              <w:rPr>
                <w:color w:val="000000"/>
                <w:sz w:val="21"/>
                <w:szCs w:val="21"/>
              </w:rPr>
              <w:t>1</w:t>
            </w:r>
          </w:p>
        </w:tc>
        <w:tc>
          <w:tcPr>
            <w:tcW w:w="2100" w:type="pct"/>
            <w:vAlign w:val="center"/>
          </w:tcPr>
          <w:p w14:paraId="5DB8CB74">
            <w:pPr>
              <w:spacing w:line="280" w:lineRule="exact"/>
              <w:jc w:val="center"/>
              <w:rPr>
                <w:color w:val="000000"/>
                <w:sz w:val="21"/>
                <w:szCs w:val="21"/>
              </w:rPr>
            </w:pPr>
            <w:r>
              <w:rPr>
                <w:rFonts w:hAnsi="宋体"/>
                <w:color w:val="000000"/>
                <w:sz w:val="21"/>
                <w:szCs w:val="21"/>
              </w:rPr>
              <w:t>工程项目总投资</w:t>
            </w:r>
          </w:p>
        </w:tc>
        <w:tc>
          <w:tcPr>
            <w:tcW w:w="884" w:type="pct"/>
            <w:vAlign w:val="center"/>
          </w:tcPr>
          <w:p w14:paraId="26A1001D">
            <w:pPr>
              <w:spacing w:line="280" w:lineRule="exact"/>
              <w:jc w:val="center"/>
              <w:rPr>
                <w:color w:val="000000"/>
                <w:sz w:val="21"/>
                <w:szCs w:val="21"/>
              </w:rPr>
            </w:pPr>
            <w:r>
              <w:rPr>
                <w:rFonts w:hAnsi="宋体"/>
                <w:color w:val="000000"/>
                <w:sz w:val="21"/>
                <w:szCs w:val="21"/>
              </w:rPr>
              <w:t>万元</w:t>
            </w:r>
          </w:p>
        </w:tc>
        <w:tc>
          <w:tcPr>
            <w:tcW w:w="1152" w:type="pct"/>
            <w:vAlign w:val="center"/>
          </w:tcPr>
          <w:p w14:paraId="4D0C5666">
            <w:pPr>
              <w:spacing w:line="280" w:lineRule="exact"/>
              <w:jc w:val="center"/>
              <w:rPr>
                <w:color w:val="000000"/>
                <w:sz w:val="21"/>
                <w:szCs w:val="21"/>
              </w:rPr>
            </w:pPr>
            <w:r>
              <w:rPr>
                <w:rFonts w:hint="eastAsia"/>
                <w:color w:val="000000"/>
                <w:sz w:val="21"/>
                <w:szCs w:val="21"/>
              </w:rPr>
              <w:t>1500</w:t>
            </w:r>
          </w:p>
        </w:tc>
      </w:tr>
      <w:tr w14:paraId="434C659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64" w:type="pct"/>
            <w:vAlign w:val="center"/>
          </w:tcPr>
          <w:p w14:paraId="0C1F73CE">
            <w:pPr>
              <w:spacing w:line="280" w:lineRule="exact"/>
              <w:jc w:val="center"/>
              <w:rPr>
                <w:color w:val="000000"/>
                <w:sz w:val="21"/>
                <w:szCs w:val="21"/>
              </w:rPr>
            </w:pPr>
            <w:r>
              <w:rPr>
                <w:color w:val="000000"/>
                <w:sz w:val="21"/>
                <w:szCs w:val="21"/>
              </w:rPr>
              <w:t>2</w:t>
            </w:r>
          </w:p>
        </w:tc>
        <w:tc>
          <w:tcPr>
            <w:tcW w:w="2100" w:type="pct"/>
            <w:vAlign w:val="center"/>
          </w:tcPr>
          <w:p w14:paraId="42E79D1E">
            <w:pPr>
              <w:spacing w:line="280" w:lineRule="exact"/>
              <w:jc w:val="center"/>
              <w:rPr>
                <w:color w:val="000000"/>
                <w:sz w:val="21"/>
                <w:szCs w:val="21"/>
              </w:rPr>
            </w:pPr>
            <w:r>
              <w:rPr>
                <w:rFonts w:hAnsi="宋体"/>
                <w:color w:val="000000"/>
                <w:sz w:val="21"/>
                <w:szCs w:val="21"/>
              </w:rPr>
              <w:t>固定资产投资</w:t>
            </w:r>
          </w:p>
        </w:tc>
        <w:tc>
          <w:tcPr>
            <w:tcW w:w="884" w:type="pct"/>
            <w:vAlign w:val="center"/>
          </w:tcPr>
          <w:p w14:paraId="6E70B99C">
            <w:pPr>
              <w:spacing w:line="280" w:lineRule="exact"/>
              <w:jc w:val="center"/>
              <w:rPr>
                <w:color w:val="000000"/>
                <w:sz w:val="21"/>
                <w:szCs w:val="21"/>
              </w:rPr>
            </w:pPr>
            <w:r>
              <w:rPr>
                <w:rFonts w:hAnsi="宋体"/>
                <w:color w:val="000000"/>
                <w:sz w:val="21"/>
                <w:szCs w:val="21"/>
              </w:rPr>
              <w:t>万元</w:t>
            </w:r>
          </w:p>
        </w:tc>
        <w:tc>
          <w:tcPr>
            <w:tcW w:w="1152" w:type="pct"/>
            <w:vAlign w:val="center"/>
          </w:tcPr>
          <w:p w14:paraId="7A8CCABD">
            <w:pPr>
              <w:spacing w:line="280" w:lineRule="exact"/>
              <w:jc w:val="center"/>
              <w:rPr>
                <w:color w:val="000000"/>
                <w:sz w:val="21"/>
                <w:szCs w:val="21"/>
              </w:rPr>
            </w:pPr>
            <w:r>
              <w:rPr>
                <w:rFonts w:hint="eastAsia"/>
                <w:color w:val="000000"/>
                <w:sz w:val="21"/>
                <w:szCs w:val="21"/>
              </w:rPr>
              <w:t>1000</w:t>
            </w:r>
          </w:p>
        </w:tc>
      </w:tr>
      <w:tr w14:paraId="269E72A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64" w:type="pct"/>
            <w:vAlign w:val="center"/>
          </w:tcPr>
          <w:p w14:paraId="1C830462">
            <w:pPr>
              <w:spacing w:line="280" w:lineRule="exact"/>
              <w:jc w:val="center"/>
              <w:rPr>
                <w:color w:val="000000"/>
                <w:sz w:val="21"/>
                <w:szCs w:val="21"/>
              </w:rPr>
            </w:pPr>
            <w:r>
              <w:rPr>
                <w:color w:val="000000"/>
                <w:sz w:val="21"/>
                <w:szCs w:val="21"/>
              </w:rPr>
              <w:t>3</w:t>
            </w:r>
          </w:p>
        </w:tc>
        <w:tc>
          <w:tcPr>
            <w:tcW w:w="2100" w:type="pct"/>
            <w:vAlign w:val="center"/>
          </w:tcPr>
          <w:p w14:paraId="354D3F1C">
            <w:pPr>
              <w:spacing w:line="280" w:lineRule="exact"/>
              <w:jc w:val="center"/>
              <w:rPr>
                <w:color w:val="000000"/>
                <w:sz w:val="21"/>
                <w:szCs w:val="21"/>
              </w:rPr>
            </w:pPr>
            <w:r>
              <w:rPr>
                <w:rFonts w:hAnsi="宋体"/>
                <w:color w:val="000000"/>
                <w:sz w:val="21"/>
                <w:szCs w:val="21"/>
              </w:rPr>
              <w:t>年均销售额</w:t>
            </w:r>
          </w:p>
        </w:tc>
        <w:tc>
          <w:tcPr>
            <w:tcW w:w="884" w:type="pct"/>
            <w:vAlign w:val="center"/>
          </w:tcPr>
          <w:p w14:paraId="62998EEC">
            <w:pPr>
              <w:spacing w:line="280" w:lineRule="exact"/>
              <w:jc w:val="center"/>
              <w:rPr>
                <w:color w:val="000000"/>
                <w:sz w:val="21"/>
                <w:szCs w:val="21"/>
              </w:rPr>
            </w:pPr>
            <w:r>
              <w:rPr>
                <w:rFonts w:hAnsi="宋体"/>
                <w:color w:val="000000"/>
                <w:sz w:val="21"/>
                <w:szCs w:val="21"/>
              </w:rPr>
              <w:t>万元</w:t>
            </w:r>
          </w:p>
        </w:tc>
        <w:tc>
          <w:tcPr>
            <w:tcW w:w="1152" w:type="pct"/>
            <w:vAlign w:val="center"/>
          </w:tcPr>
          <w:p w14:paraId="4F8CF4F2">
            <w:pPr>
              <w:spacing w:line="280" w:lineRule="exact"/>
              <w:jc w:val="center"/>
              <w:rPr>
                <w:color w:val="000000"/>
                <w:sz w:val="21"/>
                <w:szCs w:val="21"/>
              </w:rPr>
            </w:pPr>
            <w:r>
              <w:rPr>
                <w:rFonts w:hint="eastAsia"/>
                <w:color w:val="000000"/>
                <w:sz w:val="21"/>
                <w:szCs w:val="21"/>
              </w:rPr>
              <w:t>4500</w:t>
            </w:r>
          </w:p>
        </w:tc>
      </w:tr>
      <w:tr w14:paraId="0EFA10D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64" w:type="pct"/>
            <w:vAlign w:val="center"/>
          </w:tcPr>
          <w:p w14:paraId="35F3570E">
            <w:pPr>
              <w:spacing w:line="280" w:lineRule="exact"/>
              <w:jc w:val="center"/>
              <w:rPr>
                <w:color w:val="000000"/>
                <w:sz w:val="21"/>
                <w:szCs w:val="21"/>
              </w:rPr>
            </w:pPr>
            <w:r>
              <w:rPr>
                <w:color w:val="000000"/>
                <w:sz w:val="21"/>
                <w:szCs w:val="21"/>
              </w:rPr>
              <w:t>4</w:t>
            </w:r>
          </w:p>
        </w:tc>
        <w:tc>
          <w:tcPr>
            <w:tcW w:w="2100" w:type="pct"/>
            <w:vAlign w:val="center"/>
          </w:tcPr>
          <w:p w14:paraId="1BD33906">
            <w:pPr>
              <w:spacing w:line="280" w:lineRule="exact"/>
              <w:jc w:val="center"/>
              <w:rPr>
                <w:color w:val="000000"/>
                <w:sz w:val="21"/>
                <w:szCs w:val="21"/>
              </w:rPr>
            </w:pPr>
            <w:r>
              <w:rPr>
                <w:rFonts w:hAnsi="宋体"/>
                <w:color w:val="000000"/>
                <w:sz w:val="21"/>
                <w:szCs w:val="21"/>
              </w:rPr>
              <w:t>年均总成本</w:t>
            </w:r>
          </w:p>
        </w:tc>
        <w:tc>
          <w:tcPr>
            <w:tcW w:w="884" w:type="pct"/>
            <w:vAlign w:val="center"/>
          </w:tcPr>
          <w:p w14:paraId="730EF785">
            <w:pPr>
              <w:spacing w:line="280" w:lineRule="exact"/>
              <w:jc w:val="center"/>
              <w:rPr>
                <w:color w:val="000000"/>
                <w:sz w:val="21"/>
                <w:szCs w:val="21"/>
              </w:rPr>
            </w:pPr>
            <w:r>
              <w:rPr>
                <w:rFonts w:hAnsi="宋体"/>
                <w:color w:val="000000"/>
                <w:sz w:val="21"/>
                <w:szCs w:val="21"/>
              </w:rPr>
              <w:t>万元</w:t>
            </w:r>
          </w:p>
        </w:tc>
        <w:tc>
          <w:tcPr>
            <w:tcW w:w="1152" w:type="pct"/>
            <w:vAlign w:val="center"/>
          </w:tcPr>
          <w:p w14:paraId="27D627A1">
            <w:pPr>
              <w:spacing w:line="280" w:lineRule="exact"/>
              <w:jc w:val="center"/>
              <w:rPr>
                <w:color w:val="000000"/>
                <w:sz w:val="21"/>
                <w:szCs w:val="21"/>
              </w:rPr>
            </w:pPr>
            <w:r>
              <w:rPr>
                <w:rFonts w:hint="eastAsia"/>
                <w:color w:val="000000"/>
                <w:sz w:val="21"/>
                <w:szCs w:val="21"/>
              </w:rPr>
              <w:t>4080</w:t>
            </w:r>
          </w:p>
        </w:tc>
      </w:tr>
      <w:tr w14:paraId="2D21790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64" w:type="pct"/>
            <w:vAlign w:val="center"/>
          </w:tcPr>
          <w:p w14:paraId="79E96204">
            <w:pPr>
              <w:spacing w:line="280" w:lineRule="exact"/>
              <w:jc w:val="center"/>
              <w:rPr>
                <w:color w:val="000000"/>
                <w:sz w:val="21"/>
                <w:szCs w:val="21"/>
              </w:rPr>
            </w:pPr>
            <w:r>
              <w:rPr>
                <w:color w:val="000000"/>
                <w:sz w:val="21"/>
                <w:szCs w:val="21"/>
              </w:rPr>
              <w:t>5</w:t>
            </w:r>
          </w:p>
        </w:tc>
        <w:tc>
          <w:tcPr>
            <w:tcW w:w="2100" w:type="pct"/>
            <w:vAlign w:val="center"/>
          </w:tcPr>
          <w:p w14:paraId="5BECB8D2">
            <w:pPr>
              <w:spacing w:line="280" w:lineRule="exact"/>
              <w:jc w:val="center"/>
              <w:rPr>
                <w:color w:val="000000"/>
                <w:sz w:val="21"/>
                <w:szCs w:val="21"/>
              </w:rPr>
            </w:pPr>
            <w:r>
              <w:rPr>
                <w:rFonts w:hAnsi="宋体"/>
                <w:color w:val="000000"/>
                <w:sz w:val="21"/>
                <w:szCs w:val="21"/>
              </w:rPr>
              <w:t>年均利润总额</w:t>
            </w:r>
          </w:p>
        </w:tc>
        <w:tc>
          <w:tcPr>
            <w:tcW w:w="884" w:type="pct"/>
            <w:vAlign w:val="center"/>
          </w:tcPr>
          <w:p w14:paraId="4DD4639D">
            <w:pPr>
              <w:spacing w:line="280" w:lineRule="exact"/>
              <w:jc w:val="center"/>
              <w:rPr>
                <w:color w:val="000000"/>
                <w:sz w:val="21"/>
                <w:szCs w:val="21"/>
              </w:rPr>
            </w:pPr>
            <w:r>
              <w:rPr>
                <w:rFonts w:hAnsi="宋体"/>
                <w:color w:val="000000"/>
                <w:sz w:val="21"/>
                <w:szCs w:val="21"/>
              </w:rPr>
              <w:t>万元</w:t>
            </w:r>
          </w:p>
        </w:tc>
        <w:tc>
          <w:tcPr>
            <w:tcW w:w="1152" w:type="pct"/>
            <w:vAlign w:val="center"/>
          </w:tcPr>
          <w:p w14:paraId="79D80A1A">
            <w:pPr>
              <w:spacing w:line="280" w:lineRule="exact"/>
              <w:jc w:val="center"/>
              <w:rPr>
                <w:color w:val="000000"/>
                <w:sz w:val="21"/>
                <w:szCs w:val="21"/>
              </w:rPr>
            </w:pPr>
            <w:r>
              <w:rPr>
                <w:rFonts w:hint="eastAsia"/>
                <w:color w:val="000000"/>
                <w:sz w:val="21"/>
                <w:szCs w:val="21"/>
              </w:rPr>
              <w:t>420</w:t>
            </w:r>
          </w:p>
        </w:tc>
      </w:tr>
      <w:tr w14:paraId="5B663DF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64" w:type="pct"/>
            <w:vAlign w:val="center"/>
          </w:tcPr>
          <w:p w14:paraId="593375FE">
            <w:pPr>
              <w:spacing w:line="280" w:lineRule="exact"/>
              <w:jc w:val="center"/>
              <w:rPr>
                <w:color w:val="000000"/>
                <w:sz w:val="21"/>
                <w:szCs w:val="21"/>
              </w:rPr>
            </w:pPr>
            <w:r>
              <w:rPr>
                <w:color w:val="000000"/>
                <w:sz w:val="21"/>
                <w:szCs w:val="21"/>
              </w:rPr>
              <w:t>6</w:t>
            </w:r>
          </w:p>
        </w:tc>
        <w:tc>
          <w:tcPr>
            <w:tcW w:w="2100" w:type="pct"/>
            <w:vAlign w:val="center"/>
          </w:tcPr>
          <w:p w14:paraId="7BDC3E7E">
            <w:pPr>
              <w:spacing w:line="280" w:lineRule="exact"/>
              <w:jc w:val="center"/>
              <w:rPr>
                <w:color w:val="000000"/>
                <w:sz w:val="21"/>
                <w:szCs w:val="21"/>
              </w:rPr>
            </w:pPr>
            <w:r>
              <w:rPr>
                <w:rFonts w:hAnsi="宋体"/>
                <w:color w:val="000000"/>
                <w:sz w:val="21"/>
                <w:szCs w:val="21"/>
              </w:rPr>
              <w:t>总投资收益率</w:t>
            </w:r>
          </w:p>
        </w:tc>
        <w:tc>
          <w:tcPr>
            <w:tcW w:w="884" w:type="pct"/>
            <w:vAlign w:val="center"/>
          </w:tcPr>
          <w:p w14:paraId="44D6A092">
            <w:pPr>
              <w:spacing w:line="280" w:lineRule="exact"/>
              <w:jc w:val="center"/>
              <w:rPr>
                <w:color w:val="000000"/>
                <w:sz w:val="21"/>
                <w:szCs w:val="21"/>
              </w:rPr>
            </w:pPr>
            <w:r>
              <w:rPr>
                <w:color w:val="000000"/>
                <w:sz w:val="21"/>
                <w:szCs w:val="21"/>
              </w:rPr>
              <w:t>%</w:t>
            </w:r>
          </w:p>
        </w:tc>
        <w:tc>
          <w:tcPr>
            <w:tcW w:w="1152" w:type="pct"/>
            <w:vAlign w:val="center"/>
          </w:tcPr>
          <w:p w14:paraId="22F243C1">
            <w:pPr>
              <w:spacing w:line="280" w:lineRule="exact"/>
              <w:jc w:val="center"/>
              <w:rPr>
                <w:color w:val="000000"/>
                <w:sz w:val="21"/>
                <w:szCs w:val="21"/>
              </w:rPr>
            </w:pPr>
            <w:r>
              <w:rPr>
                <w:rFonts w:hint="eastAsia"/>
                <w:color w:val="000000"/>
                <w:sz w:val="21"/>
                <w:szCs w:val="21"/>
              </w:rPr>
              <w:t>28</w:t>
            </w:r>
          </w:p>
        </w:tc>
      </w:tr>
      <w:tr w14:paraId="311F43D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64" w:type="pct"/>
            <w:vAlign w:val="center"/>
          </w:tcPr>
          <w:p w14:paraId="48FCBB24">
            <w:pPr>
              <w:spacing w:line="280" w:lineRule="exact"/>
              <w:jc w:val="center"/>
              <w:rPr>
                <w:color w:val="000000"/>
                <w:sz w:val="21"/>
                <w:szCs w:val="21"/>
              </w:rPr>
            </w:pPr>
            <w:r>
              <w:rPr>
                <w:color w:val="000000"/>
                <w:sz w:val="21"/>
                <w:szCs w:val="21"/>
              </w:rPr>
              <w:t>7</w:t>
            </w:r>
          </w:p>
        </w:tc>
        <w:tc>
          <w:tcPr>
            <w:tcW w:w="2100" w:type="pct"/>
            <w:vAlign w:val="center"/>
          </w:tcPr>
          <w:p w14:paraId="6F783087">
            <w:pPr>
              <w:spacing w:line="280" w:lineRule="exact"/>
              <w:jc w:val="center"/>
              <w:rPr>
                <w:color w:val="000000"/>
                <w:sz w:val="21"/>
                <w:szCs w:val="21"/>
              </w:rPr>
            </w:pPr>
            <w:r>
              <w:rPr>
                <w:rFonts w:hAnsi="宋体"/>
                <w:color w:val="000000"/>
                <w:sz w:val="21"/>
                <w:szCs w:val="21"/>
              </w:rPr>
              <w:t>投资回收期</w:t>
            </w:r>
          </w:p>
        </w:tc>
        <w:tc>
          <w:tcPr>
            <w:tcW w:w="884" w:type="pct"/>
            <w:vAlign w:val="center"/>
          </w:tcPr>
          <w:p w14:paraId="33B046DC">
            <w:pPr>
              <w:spacing w:line="280" w:lineRule="exact"/>
              <w:jc w:val="center"/>
              <w:rPr>
                <w:color w:val="000000"/>
                <w:sz w:val="21"/>
                <w:szCs w:val="21"/>
              </w:rPr>
            </w:pPr>
            <w:r>
              <w:rPr>
                <w:rFonts w:hAnsi="宋体"/>
                <w:color w:val="000000"/>
                <w:sz w:val="21"/>
                <w:szCs w:val="21"/>
              </w:rPr>
              <w:t>年</w:t>
            </w:r>
          </w:p>
        </w:tc>
        <w:tc>
          <w:tcPr>
            <w:tcW w:w="1152" w:type="pct"/>
            <w:vAlign w:val="center"/>
          </w:tcPr>
          <w:p w14:paraId="29F89116">
            <w:pPr>
              <w:spacing w:line="280" w:lineRule="exact"/>
              <w:jc w:val="center"/>
              <w:rPr>
                <w:color w:val="000000"/>
                <w:sz w:val="21"/>
                <w:szCs w:val="21"/>
              </w:rPr>
            </w:pPr>
            <w:r>
              <w:rPr>
                <w:color w:val="000000"/>
                <w:sz w:val="21"/>
                <w:szCs w:val="21"/>
              </w:rPr>
              <w:t>3.5</w:t>
            </w:r>
            <w:r>
              <w:rPr>
                <w:rFonts w:hint="eastAsia"/>
                <w:color w:val="000000"/>
                <w:sz w:val="21"/>
                <w:szCs w:val="21"/>
              </w:rPr>
              <w:t>7</w:t>
            </w:r>
          </w:p>
        </w:tc>
      </w:tr>
    </w:tbl>
    <w:p w14:paraId="455E25B4">
      <w:pPr>
        <w:pStyle w:val="4"/>
        <w:spacing w:after="0" w:line="480" w:lineRule="exact"/>
        <w:jc w:val="both"/>
      </w:pPr>
      <w:bookmarkStart w:id="239" w:name="_Toc23793"/>
      <w:r>
        <w:rPr>
          <w:rFonts w:hint="eastAsia"/>
        </w:rPr>
        <w:t>7.2 社会效益分析</w:t>
      </w:r>
      <w:bookmarkEnd w:id="239"/>
    </w:p>
    <w:p w14:paraId="0178029D">
      <w:pPr>
        <w:snapToGrid w:val="0"/>
        <w:spacing w:line="480" w:lineRule="exact"/>
        <w:ind w:firstLine="480" w:firstLineChars="200"/>
        <w:rPr>
          <w:color w:val="000000"/>
        </w:rPr>
      </w:pPr>
      <w:r>
        <w:rPr>
          <w:rFonts w:hAnsi="宋体"/>
          <w:color w:val="000000"/>
        </w:rPr>
        <w:t>本项目建设投产后可带来的社会效益：</w:t>
      </w:r>
    </w:p>
    <w:p w14:paraId="258EC051">
      <w:pPr>
        <w:snapToGrid w:val="0"/>
        <w:spacing w:line="480" w:lineRule="exact"/>
        <w:ind w:firstLine="480" w:firstLineChars="200"/>
        <w:rPr>
          <w:color w:val="000000"/>
        </w:rPr>
      </w:pPr>
      <w:r>
        <w:rPr>
          <w:color w:val="000000"/>
        </w:rPr>
        <w:t>1</w:t>
      </w:r>
      <w:r>
        <w:rPr>
          <w:rFonts w:hAnsi="宋体"/>
          <w:color w:val="000000"/>
        </w:rPr>
        <w:t>、项目提供一定就业机会，有利于促进当地居民收入增加，生活水平得到提高。</w:t>
      </w:r>
    </w:p>
    <w:p w14:paraId="7D812B7E">
      <w:pPr>
        <w:snapToGrid w:val="0"/>
        <w:spacing w:line="480" w:lineRule="exact"/>
        <w:ind w:firstLine="480" w:firstLineChars="200"/>
        <w:rPr>
          <w:color w:val="000000"/>
        </w:rPr>
      </w:pPr>
      <w:r>
        <w:rPr>
          <w:rFonts w:hAnsi="宋体"/>
          <w:color w:val="000000"/>
        </w:rPr>
        <w:t>本项目建成后需要劳动人员约</w:t>
      </w:r>
      <w:r>
        <w:rPr>
          <w:rFonts w:hint="eastAsia"/>
          <w:color w:val="000000"/>
        </w:rPr>
        <w:t>20</w:t>
      </w:r>
      <w:r>
        <w:rPr>
          <w:rFonts w:hAnsi="宋体"/>
          <w:color w:val="000000"/>
        </w:rPr>
        <w:t>人，可直接吸收当地劳动力就业，有利于提高当地农民的收入水平和消费水平。</w:t>
      </w:r>
    </w:p>
    <w:p w14:paraId="35FAA21F">
      <w:pPr>
        <w:snapToGrid w:val="0"/>
        <w:spacing w:line="480" w:lineRule="exact"/>
        <w:ind w:firstLine="480" w:firstLineChars="200"/>
        <w:rPr>
          <w:color w:val="000000"/>
        </w:rPr>
      </w:pPr>
      <w:r>
        <w:rPr>
          <w:color w:val="000000"/>
        </w:rPr>
        <w:t>2</w:t>
      </w:r>
      <w:r>
        <w:rPr>
          <w:rFonts w:hAnsi="宋体"/>
          <w:color w:val="000000"/>
        </w:rPr>
        <w:t>、对养殖业发展将起到积极的示范作用</w:t>
      </w:r>
    </w:p>
    <w:p w14:paraId="7CFB7A5B">
      <w:pPr>
        <w:snapToGrid w:val="0"/>
        <w:spacing w:line="480" w:lineRule="exact"/>
        <w:ind w:firstLine="480" w:firstLineChars="200"/>
        <w:rPr>
          <w:color w:val="000000"/>
        </w:rPr>
      </w:pPr>
      <w:r>
        <w:rPr>
          <w:rFonts w:hAnsi="宋体"/>
          <w:color w:val="000000"/>
        </w:rPr>
        <w:t>该项目建设起点高，表现在管理及养殖技术先进、产品质量可靠，生产模式采用全封闭、规模化饲养，流水性作业，按循环经济模式进行整体设计。项目的建设对</w:t>
      </w:r>
      <w:r>
        <w:rPr>
          <w:rFonts w:hint="eastAsia" w:hAnsi="宋体"/>
          <w:color w:val="000000"/>
        </w:rPr>
        <w:t>泗阳</w:t>
      </w:r>
      <w:r>
        <w:rPr>
          <w:rFonts w:hAnsi="宋体"/>
          <w:color w:val="000000"/>
        </w:rPr>
        <w:t>地区规模化</w:t>
      </w:r>
      <w:r>
        <w:rPr>
          <w:rFonts w:hint="eastAsia" w:hAnsi="宋体"/>
          <w:color w:val="000000"/>
        </w:rPr>
        <w:t>养鸡</w:t>
      </w:r>
      <w:r>
        <w:rPr>
          <w:rFonts w:hAnsi="宋体"/>
          <w:color w:val="000000"/>
        </w:rPr>
        <w:t>业的发展产生较好的示范引导作用。</w:t>
      </w:r>
    </w:p>
    <w:p w14:paraId="2BC5316B">
      <w:pPr>
        <w:snapToGrid w:val="0"/>
        <w:spacing w:line="480" w:lineRule="exact"/>
        <w:ind w:firstLine="480" w:firstLineChars="200"/>
        <w:rPr>
          <w:color w:val="000000"/>
        </w:rPr>
      </w:pPr>
      <w:r>
        <w:rPr>
          <w:color w:val="000000"/>
        </w:rPr>
        <w:t>3</w:t>
      </w:r>
      <w:r>
        <w:rPr>
          <w:rFonts w:hAnsi="宋体"/>
          <w:color w:val="000000"/>
        </w:rPr>
        <w:t>、项目建设能有效促进区域经济的发展</w:t>
      </w:r>
    </w:p>
    <w:p w14:paraId="530940F9">
      <w:pPr>
        <w:snapToGrid w:val="0"/>
        <w:spacing w:line="480" w:lineRule="exact"/>
        <w:ind w:firstLine="480" w:firstLineChars="200"/>
        <w:rPr>
          <w:color w:val="000000"/>
        </w:rPr>
      </w:pPr>
      <w:r>
        <w:rPr>
          <w:rFonts w:hAnsi="宋体"/>
          <w:color w:val="000000"/>
        </w:rPr>
        <w:t>本项目的建设，将有效的利用当地丰富的农业资源，进行加工转化，实现农业产业升级和产品增值，并带动劳动力就业，促进农民收入的增长，对于将资源优势转化为经济优势，发展县域经济，具有重大的现实意义。</w:t>
      </w:r>
    </w:p>
    <w:p w14:paraId="40BE7246">
      <w:pPr>
        <w:snapToGrid w:val="0"/>
        <w:spacing w:line="480" w:lineRule="exact"/>
        <w:ind w:firstLine="480" w:firstLineChars="200"/>
        <w:rPr>
          <w:color w:val="000000"/>
        </w:rPr>
      </w:pPr>
      <w:r>
        <w:rPr>
          <w:rFonts w:hAnsi="宋体"/>
          <w:color w:val="000000"/>
        </w:rPr>
        <w:t>由此可见，该项目建成投产后，可综合利用当地资源优势，满足苏北地区</w:t>
      </w:r>
      <w:r>
        <w:rPr>
          <w:rFonts w:hint="eastAsia" w:hAnsi="宋体"/>
          <w:color w:val="000000"/>
        </w:rPr>
        <w:t>鸡</w:t>
      </w:r>
      <w:r>
        <w:rPr>
          <w:rFonts w:hAnsi="宋体"/>
          <w:color w:val="000000"/>
        </w:rPr>
        <w:t>养殖业的市场需求，既带动农民脱贫致富奔小康，又解决下岗工人及当地剩余劳动力，本项目的建设具有良好的社会效益。</w:t>
      </w:r>
    </w:p>
    <w:p w14:paraId="4D8926F3">
      <w:pPr>
        <w:pStyle w:val="4"/>
        <w:spacing w:after="0" w:line="480" w:lineRule="exact"/>
        <w:jc w:val="both"/>
      </w:pPr>
      <w:bookmarkStart w:id="240" w:name="_Toc11167"/>
      <w:r>
        <w:rPr>
          <w:rFonts w:hint="eastAsia"/>
        </w:rPr>
        <w:t>7.3 环境效益分析</w:t>
      </w:r>
      <w:bookmarkEnd w:id="240"/>
    </w:p>
    <w:p w14:paraId="00DD9EC9">
      <w:pPr>
        <w:snapToGrid w:val="0"/>
        <w:spacing w:line="480" w:lineRule="exact"/>
        <w:ind w:firstLine="480" w:firstLineChars="200"/>
        <w:rPr>
          <w:bCs/>
          <w:color w:val="000000"/>
        </w:rPr>
      </w:pPr>
      <w:r>
        <w:rPr>
          <w:rFonts w:hAnsi="宋体"/>
          <w:bCs/>
          <w:color w:val="000000"/>
        </w:rPr>
        <w:t>根据污染治理措施评价，项目采取的废水、废气、噪声等污染治理设施，可以达到有效控制污染和保护环境的目的。本项目环境保护投资的环境效益表现在以下方面：</w:t>
      </w:r>
    </w:p>
    <w:p w14:paraId="36BEAE52">
      <w:pPr>
        <w:snapToGrid w:val="0"/>
        <w:spacing w:line="480" w:lineRule="exact"/>
        <w:ind w:firstLine="480" w:firstLineChars="200"/>
        <w:rPr>
          <w:bCs/>
          <w:color w:val="000000"/>
        </w:rPr>
      </w:pPr>
      <w:r>
        <w:rPr>
          <w:rFonts w:hAnsi="宋体"/>
          <w:bCs/>
          <w:color w:val="000000"/>
        </w:rPr>
        <w:t>（</w:t>
      </w:r>
      <w:r>
        <w:rPr>
          <w:bCs/>
          <w:color w:val="000000"/>
        </w:rPr>
        <w:t>1</w:t>
      </w:r>
      <w:r>
        <w:rPr>
          <w:rFonts w:hAnsi="宋体"/>
          <w:bCs/>
          <w:color w:val="000000"/>
        </w:rPr>
        <w:t>）废水治理环境效益</w:t>
      </w:r>
    </w:p>
    <w:p w14:paraId="4F52B5D2">
      <w:pPr>
        <w:snapToGrid w:val="0"/>
        <w:spacing w:line="480" w:lineRule="exact"/>
        <w:ind w:firstLine="480" w:firstLineChars="200"/>
        <w:rPr>
          <w:bCs/>
          <w:color w:val="000000"/>
        </w:rPr>
      </w:pPr>
      <w:r>
        <w:rPr>
          <w:rFonts w:hAnsi="宋体"/>
          <w:bCs/>
          <w:color w:val="000000"/>
        </w:rPr>
        <w:t>项目主要排放废水包括</w:t>
      </w:r>
      <w:r>
        <w:rPr>
          <w:rFonts w:hint="eastAsia" w:hAnsi="宋体"/>
          <w:bCs/>
          <w:color w:val="000000"/>
        </w:rPr>
        <w:t>冲洗废水、喷淋废水</w:t>
      </w:r>
      <w:r>
        <w:rPr>
          <w:rFonts w:hAnsi="宋体"/>
          <w:bCs/>
          <w:color w:val="000000"/>
        </w:rPr>
        <w:t>、</w:t>
      </w:r>
      <w:r>
        <w:rPr>
          <w:rFonts w:hint="eastAsia" w:hAnsi="宋体"/>
          <w:bCs/>
          <w:color w:val="000000"/>
        </w:rPr>
        <w:t>初期雨水及</w:t>
      </w:r>
      <w:r>
        <w:rPr>
          <w:rFonts w:hAnsi="宋体"/>
          <w:bCs/>
          <w:color w:val="000000"/>
        </w:rPr>
        <w:t>生活污水，</w:t>
      </w:r>
      <w:r>
        <w:rPr>
          <w:rFonts w:hint="eastAsia" w:hAnsi="宋体"/>
          <w:bCs/>
          <w:color w:val="000000"/>
        </w:rPr>
        <w:t>废水</w:t>
      </w:r>
      <w:r>
        <w:rPr>
          <w:rFonts w:hAnsi="宋体"/>
          <w:bCs/>
          <w:color w:val="000000"/>
        </w:rPr>
        <w:t>经自建污水处理站处理后，</w:t>
      </w:r>
      <w:r>
        <w:rPr>
          <w:rFonts w:hint="eastAsia" w:hAnsi="宋体"/>
          <w:color w:val="000000"/>
          <w:szCs w:val="24"/>
        </w:rPr>
        <w:t>通</w:t>
      </w:r>
      <w:r>
        <w:rPr>
          <w:rFonts w:hint="eastAsia" w:hAnsi="宋体"/>
          <w:color w:val="000000"/>
          <w:szCs w:val="24"/>
          <w:lang w:eastAsia="zh-CN"/>
        </w:rPr>
        <w:t>过管道输送至项目配套农田</w:t>
      </w:r>
      <w:r>
        <w:rPr>
          <w:rFonts w:hint="eastAsia" w:hAnsi="宋体"/>
          <w:color w:val="000000"/>
          <w:szCs w:val="24"/>
        </w:rPr>
        <w:t>作为</w:t>
      </w:r>
      <w:r>
        <w:rPr>
          <w:rFonts w:hAnsi="宋体"/>
          <w:color w:val="000000"/>
          <w:szCs w:val="24"/>
        </w:rPr>
        <w:t>灌溉</w:t>
      </w:r>
      <w:r>
        <w:rPr>
          <w:rFonts w:hint="eastAsia" w:hAnsi="宋体"/>
          <w:color w:val="000000"/>
          <w:szCs w:val="24"/>
        </w:rPr>
        <w:t>用水</w:t>
      </w:r>
      <w:r>
        <w:rPr>
          <w:rFonts w:hAnsi="宋体"/>
          <w:bCs/>
          <w:color w:val="000000"/>
        </w:rPr>
        <w:t>。废水经深度处理后无有毒有害物质，排放的废水中不仅含有一定的氮、磷、钾等元素，而且还含有钙、镁、锰等多种微量元素，对农作物的生长是有利的。将废水处理后用于灌溉，可以节省大量化肥，提高作物产量，还可以改善土壤的物理化学性质，提高土壤肥力，有利于农作物的生长，节约水资源，减少污染物排放量。</w:t>
      </w:r>
    </w:p>
    <w:p w14:paraId="7B337AF7">
      <w:pPr>
        <w:snapToGrid w:val="0"/>
        <w:spacing w:line="480" w:lineRule="exact"/>
        <w:ind w:firstLine="480" w:firstLineChars="200"/>
        <w:rPr>
          <w:bCs/>
          <w:color w:val="000000"/>
        </w:rPr>
      </w:pPr>
      <w:r>
        <w:rPr>
          <w:rFonts w:hAnsi="宋体"/>
          <w:bCs/>
          <w:color w:val="000000"/>
        </w:rPr>
        <w:t>（</w:t>
      </w:r>
      <w:r>
        <w:rPr>
          <w:bCs/>
          <w:color w:val="000000"/>
        </w:rPr>
        <w:t>2</w:t>
      </w:r>
      <w:r>
        <w:rPr>
          <w:rFonts w:hAnsi="宋体"/>
          <w:bCs/>
          <w:color w:val="000000"/>
        </w:rPr>
        <w:t>）废气治理的环境效益分析</w:t>
      </w:r>
    </w:p>
    <w:p w14:paraId="6EA09B7B">
      <w:pPr>
        <w:snapToGrid w:val="0"/>
        <w:spacing w:line="480" w:lineRule="exact"/>
        <w:ind w:firstLine="480" w:firstLineChars="200"/>
        <w:rPr>
          <w:bCs/>
          <w:color w:val="000000"/>
        </w:rPr>
      </w:pPr>
      <w:r>
        <w:rPr>
          <w:rFonts w:hAnsi="宋体"/>
          <w:bCs/>
          <w:color w:val="000000"/>
        </w:rPr>
        <w:t>恶臭气体通过生物除臭技术、加强绿化、加强恶臭污染源管理、科学喂养、做好场区规划等相关措施，</w:t>
      </w:r>
      <w:r>
        <w:rPr>
          <w:rFonts w:hint="eastAsia" w:hAnsi="宋体"/>
          <w:bCs/>
          <w:color w:val="000000"/>
        </w:rPr>
        <w:t>厂</w:t>
      </w:r>
      <w:r>
        <w:rPr>
          <w:rFonts w:hAnsi="宋体"/>
          <w:bCs/>
          <w:color w:val="000000"/>
        </w:rPr>
        <w:t>界可达标。</w:t>
      </w:r>
    </w:p>
    <w:p w14:paraId="0762142A">
      <w:pPr>
        <w:snapToGrid w:val="0"/>
        <w:spacing w:line="480" w:lineRule="exact"/>
        <w:ind w:firstLine="480" w:firstLineChars="200"/>
        <w:rPr>
          <w:bCs/>
          <w:color w:val="000000"/>
        </w:rPr>
      </w:pPr>
      <w:r>
        <w:rPr>
          <w:rFonts w:hAnsi="宋体"/>
          <w:bCs/>
          <w:color w:val="000000"/>
        </w:rPr>
        <w:t>（</w:t>
      </w:r>
      <w:r>
        <w:rPr>
          <w:bCs/>
          <w:color w:val="000000"/>
        </w:rPr>
        <w:t>3</w:t>
      </w:r>
      <w:r>
        <w:rPr>
          <w:rFonts w:hAnsi="宋体"/>
          <w:bCs/>
          <w:color w:val="000000"/>
        </w:rPr>
        <w:t>）噪声治理的环境效益分析</w:t>
      </w:r>
    </w:p>
    <w:p w14:paraId="367AA702">
      <w:pPr>
        <w:snapToGrid w:val="0"/>
        <w:spacing w:line="480" w:lineRule="exact"/>
        <w:ind w:firstLine="480" w:firstLineChars="200"/>
        <w:rPr>
          <w:bCs/>
          <w:color w:val="000000"/>
        </w:rPr>
      </w:pPr>
      <w:r>
        <w:rPr>
          <w:rFonts w:hAnsi="宋体"/>
          <w:bCs/>
          <w:color w:val="000000"/>
        </w:rPr>
        <w:t>本项目通过合理布局及采取针对性较强的噪声污染防治措施，如减震、隔声等。这些措施的落实大大减轻了噪声污染，确保内部重点保护区域达标，</w:t>
      </w:r>
      <w:r>
        <w:rPr>
          <w:rFonts w:hint="eastAsia" w:hAnsi="宋体"/>
          <w:bCs/>
          <w:color w:val="000000"/>
        </w:rPr>
        <w:t>厂</w:t>
      </w:r>
      <w:r>
        <w:rPr>
          <w:rFonts w:hAnsi="宋体"/>
          <w:bCs/>
          <w:color w:val="000000"/>
        </w:rPr>
        <w:t>界噪声达标。对外部环境影响较小，能够收到良好的环境效益。</w:t>
      </w:r>
    </w:p>
    <w:p w14:paraId="20BEC6F4">
      <w:pPr>
        <w:snapToGrid w:val="0"/>
        <w:spacing w:line="480" w:lineRule="exact"/>
        <w:ind w:firstLine="480" w:firstLineChars="200"/>
        <w:rPr>
          <w:color w:val="000000"/>
        </w:rPr>
      </w:pPr>
      <w:r>
        <w:rPr>
          <w:rFonts w:hAnsi="宋体"/>
          <w:color w:val="000000"/>
        </w:rPr>
        <w:t>（</w:t>
      </w:r>
      <w:r>
        <w:rPr>
          <w:color w:val="000000"/>
        </w:rPr>
        <w:t>4</w:t>
      </w:r>
      <w:r>
        <w:rPr>
          <w:rFonts w:hAnsi="宋体"/>
          <w:color w:val="000000"/>
        </w:rPr>
        <w:t>）固废的环境效益分析</w:t>
      </w:r>
    </w:p>
    <w:p w14:paraId="32CBA559">
      <w:pPr>
        <w:snapToGrid w:val="0"/>
        <w:spacing w:line="480" w:lineRule="exact"/>
        <w:ind w:firstLine="480" w:firstLineChars="200"/>
        <w:rPr>
          <w:color w:val="000000"/>
        </w:rPr>
      </w:pPr>
      <w:r>
        <w:rPr>
          <w:rFonts w:hAnsi="宋体"/>
          <w:color w:val="000000"/>
        </w:rPr>
        <w:t>本项目固体废物主要来自职工生活垃圾、</w:t>
      </w:r>
      <w:r>
        <w:rPr>
          <w:rFonts w:ascii="Times New Roman" w:hAnsi="Times New Roman" w:cs="Times New Roman"/>
          <w:szCs w:val="24"/>
        </w:rPr>
        <w:t>病死鸡、鸡粪、废包装、医疗废物、污泥、</w:t>
      </w:r>
      <w:r>
        <w:rPr>
          <w:rFonts w:ascii="Times New Roman" w:hAnsi="Times New Roman" w:cs="Times New Roman"/>
          <w:kern w:val="0"/>
          <w:szCs w:val="24"/>
        </w:rPr>
        <w:t>饲料残渣</w:t>
      </w:r>
      <w:r>
        <w:rPr>
          <w:rFonts w:hint="eastAsia" w:ascii="Times New Roman" w:hAnsi="Times New Roman" w:cs="Times New Roman"/>
          <w:kern w:val="0"/>
          <w:szCs w:val="24"/>
        </w:rPr>
        <w:t>及</w:t>
      </w:r>
      <w:r>
        <w:rPr>
          <w:rFonts w:ascii="Times New Roman" w:hAnsi="Times New Roman" w:cs="Times New Roman"/>
          <w:kern w:val="0"/>
          <w:szCs w:val="24"/>
        </w:rPr>
        <w:t>散落羽毛</w:t>
      </w:r>
      <w:r>
        <w:rPr>
          <w:rFonts w:hint="eastAsia" w:ascii="Times New Roman" w:hAnsi="Times New Roman" w:cs="Times New Roman"/>
          <w:kern w:val="0"/>
          <w:szCs w:val="24"/>
        </w:rPr>
        <w:t>、废树脂</w:t>
      </w:r>
      <w:r>
        <w:rPr>
          <w:rFonts w:hAnsi="宋体"/>
          <w:color w:val="000000"/>
        </w:rPr>
        <w:t>等。</w:t>
      </w:r>
      <w:r>
        <w:rPr>
          <w:rFonts w:ascii="Times New Roman" w:hAnsi="Times New Roman" w:cs="Times New Roman"/>
          <w:szCs w:val="24"/>
        </w:rPr>
        <w:t>病死鸡</w:t>
      </w:r>
      <w:r>
        <w:rPr>
          <w:rFonts w:hint="eastAsia" w:ascii="Times New Roman" w:hAnsi="Times New Roman" w:cs="Times New Roman"/>
          <w:szCs w:val="24"/>
        </w:rPr>
        <w:t>委托</w:t>
      </w:r>
      <w:r>
        <w:rPr>
          <w:rFonts w:hint="eastAsia" w:ascii="Times New Roman" w:hAnsi="Times New Roman" w:eastAsia="宋体" w:cs="Times New Roman"/>
          <w:bCs/>
          <w:kern w:val="0"/>
          <w:szCs w:val="24"/>
        </w:rPr>
        <w:t>泗阳北斗星动物无害化处理有限公司</w:t>
      </w:r>
      <w:r>
        <w:rPr>
          <w:rFonts w:ascii="Times New Roman" w:hAnsi="Times New Roman" w:eastAsia="宋体" w:cs="Times New Roman"/>
          <w:bCs/>
          <w:szCs w:val="24"/>
        </w:rPr>
        <w:t>无害化处理</w:t>
      </w:r>
      <w:r>
        <w:rPr>
          <w:rFonts w:hint="eastAsia" w:ascii="Times New Roman" w:hAnsi="Times New Roman" w:eastAsia="宋体" w:cs="Times New Roman"/>
          <w:bCs/>
          <w:szCs w:val="24"/>
        </w:rPr>
        <w:t>，鸡粪</w:t>
      </w:r>
      <w:r>
        <w:rPr>
          <w:rFonts w:ascii="Times New Roman" w:hAnsi="Times New Roman" w:eastAsia="宋体" w:cs="Times New Roman"/>
          <w:bCs/>
          <w:szCs w:val="24"/>
        </w:rPr>
        <w:t>外售</w:t>
      </w:r>
      <w:r>
        <w:rPr>
          <w:rFonts w:hint="eastAsia" w:ascii="Times New Roman" w:hAnsi="Times New Roman" w:eastAsia="宋体" w:cs="Times New Roman"/>
          <w:bCs/>
          <w:szCs w:val="24"/>
          <w:lang w:eastAsia="zh-CN"/>
        </w:rPr>
        <w:t>泗阳巨宇畜禽粪污处理有限公司</w:t>
      </w:r>
      <w:r>
        <w:rPr>
          <w:rFonts w:ascii="Times New Roman" w:hAnsi="Times New Roman" w:eastAsia="宋体" w:cs="Times New Roman"/>
          <w:bCs/>
          <w:szCs w:val="24"/>
        </w:rPr>
        <w:t>综合利用</w:t>
      </w:r>
      <w:r>
        <w:rPr>
          <w:rFonts w:hint="eastAsia" w:ascii="Times New Roman" w:hAnsi="Times New Roman" w:eastAsia="宋体" w:cs="Times New Roman"/>
          <w:bCs/>
          <w:szCs w:val="24"/>
        </w:rPr>
        <w:t>，污泥委外资源化</w:t>
      </w:r>
      <w:r>
        <w:rPr>
          <w:rFonts w:ascii="Times New Roman" w:hAnsi="Times New Roman" w:eastAsia="宋体" w:cs="Times New Roman"/>
          <w:bCs/>
          <w:szCs w:val="24"/>
        </w:rPr>
        <w:t>利用</w:t>
      </w:r>
      <w:r>
        <w:rPr>
          <w:rFonts w:hint="eastAsia" w:ascii="Times New Roman" w:hAnsi="Times New Roman" w:eastAsia="宋体" w:cs="Times New Roman"/>
          <w:bCs/>
          <w:szCs w:val="24"/>
        </w:rPr>
        <w:t>，</w:t>
      </w:r>
      <w:r>
        <w:rPr>
          <w:rFonts w:ascii="Times New Roman" w:hAnsi="Times New Roman" w:cs="Times New Roman"/>
          <w:szCs w:val="24"/>
        </w:rPr>
        <w:t>废包装、</w:t>
      </w:r>
      <w:r>
        <w:rPr>
          <w:rFonts w:ascii="Times New Roman" w:hAnsi="Times New Roman" w:cs="Times New Roman"/>
          <w:kern w:val="0"/>
          <w:szCs w:val="24"/>
        </w:rPr>
        <w:t>饲料残渣</w:t>
      </w:r>
      <w:r>
        <w:rPr>
          <w:rFonts w:hint="eastAsia" w:ascii="Times New Roman" w:hAnsi="Times New Roman" w:cs="Times New Roman"/>
          <w:kern w:val="0"/>
          <w:szCs w:val="24"/>
        </w:rPr>
        <w:t>及</w:t>
      </w:r>
      <w:r>
        <w:rPr>
          <w:rFonts w:ascii="Times New Roman" w:hAnsi="Times New Roman" w:cs="Times New Roman"/>
          <w:kern w:val="0"/>
          <w:szCs w:val="24"/>
        </w:rPr>
        <w:t>散落羽毛</w:t>
      </w:r>
      <w:r>
        <w:rPr>
          <w:rFonts w:ascii="Times New Roman"/>
          <w:color w:val="000000"/>
          <w:szCs w:val="24"/>
        </w:rPr>
        <w:t>可由建设单位集中收集后外售</w:t>
      </w:r>
      <w:r>
        <w:rPr>
          <w:rFonts w:hint="eastAsia" w:ascii="Times New Roman"/>
          <w:color w:val="000000"/>
          <w:szCs w:val="24"/>
        </w:rPr>
        <w:t>处理</w:t>
      </w:r>
      <w:r>
        <w:rPr>
          <w:rFonts w:ascii="Times New Roman"/>
          <w:color w:val="000000"/>
          <w:szCs w:val="24"/>
        </w:rPr>
        <w:t>，</w:t>
      </w:r>
      <w:r>
        <w:rPr>
          <w:rFonts w:hint="eastAsia" w:ascii="Times New Roman" w:hAnsi="Times New Roman" w:cs="Times New Roman"/>
          <w:kern w:val="0"/>
          <w:szCs w:val="24"/>
        </w:rPr>
        <w:t>废树脂</w:t>
      </w:r>
      <w:r>
        <w:rPr>
          <w:rFonts w:hint="eastAsia" w:ascii="Times New Roman" w:hAnsi="Times New Roman" w:cs="Times New Roman"/>
          <w:kern w:val="0"/>
          <w:szCs w:val="24"/>
          <w:lang w:val="en-US" w:eastAsia="zh-CN"/>
        </w:rPr>
        <w:t>收集后可由生产厂家回收再利用，</w:t>
      </w:r>
      <w:r>
        <w:rPr>
          <w:rFonts w:hint="eastAsia" w:ascii="Times New Roman" w:hAnsi="宋体"/>
          <w:szCs w:val="24"/>
        </w:rPr>
        <w:t>一般固废</w:t>
      </w:r>
      <w:r>
        <w:rPr>
          <w:rFonts w:ascii="Times New Roman"/>
          <w:color w:val="000000"/>
          <w:szCs w:val="24"/>
        </w:rPr>
        <w:t>最终</w:t>
      </w:r>
      <w:r>
        <w:rPr>
          <w:rFonts w:hint="eastAsia" w:ascii="Times New Roman"/>
          <w:color w:val="000000"/>
          <w:szCs w:val="24"/>
        </w:rPr>
        <w:t>全部</w:t>
      </w:r>
      <w:r>
        <w:rPr>
          <w:rFonts w:ascii="Times New Roman"/>
          <w:color w:val="000000"/>
          <w:szCs w:val="24"/>
        </w:rPr>
        <w:t>进行综合利用；项目产生的危险废物</w:t>
      </w:r>
      <w:r>
        <w:rPr>
          <w:rFonts w:hint="eastAsia" w:ascii="Times New Roman"/>
          <w:bCs/>
          <w:szCs w:val="24"/>
        </w:rPr>
        <w:t>医疗废物</w:t>
      </w:r>
      <w:r>
        <w:rPr>
          <w:rFonts w:ascii="Times New Roman"/>
          <w:color w:val="000000"/>
          <w:szCs w:val="24"/>
        </w:rPr>
        <w:t>委托</w:t>
      </w:r>
      <w:r>
        <w:rPr>
          <w:rFonts w:ascii="Times New Roman"/>
          <w:bCs/>
          <w:color w:val="000000"/>
          <w:szCs w:val="24"/>
        </w:rPr>
        <w:t>有资质单位</w:t>
      </w:r>
      <w:r>
        <w:rPr>
          <w:rFonts w:ascii="Times New Roman"/>
          <w:color w:val="000000"/>
          <w:szCs w:val="24"/>
        </w:rPr>
        <w:t>进行安全处置</w:t>
      </w:r>
      <w:r>
        <w:rPr>
          <w:rFonts w:hint="eastAsia" w:hAnsi="宋体"/>
          <w:color w:val="000000"/>
        </w:rPr>
        <w:t>，</w:t>
      </w:r>
      <w:r>
        <w:rPr>
          <w:rFonts w:hAnsi="宋体"/>
          <w:color w:val="000000"/>
        </w:rPr>
        <w:t>生活垃圾由环卫部门清运。固体废物都能得到妥善处置，无排放，不会造成二次污染。</w:t>
      </w:r>
    </w:p>
    <w:p w14:paraId="72D07B56">
      <w:pPr>
        <w:pStyle w:val="4"/>
        <w:spacing w:after="0" w:line="480" w:lineRule="exact"/>
        <w:jc w:val="both"/>
      </w:pPr>
      <w:bookmarkStart w:id="241" w:name="_Toc30007"/>
      <w:r>
        <w:rPr>
          <w:rFonts w:hint="eastAsia"/>
        </w:rPr>
        <w:t>7.4 结论</w:t>
      </w:r>
      <w:bookmarkEnd w:id="241"/>
    </w:p>
    <w:p w14:paraId="5A4AFD07">
      <w:pPr>
        <w:snapToGrid w:val="0"/>
        <w:spacing w:line="480" w:lineRule="exact"/>
        <w:ind w:firstLine="480" w:firstLineChars="200"/>
      </w:pPr>
      <w:r>
        <w:rPr>
          <w:rFonts w:hint="eastAsia" w:ascii="Times New Roman" w:hAnsi="Times New Roman" w:cs="Times New Roman"/>
          <w:kern w:val="0"/>
          <w:szCs w:val="24"/>
          <w:lang w:val="zh-CN"/>
        </w:rPr>
        <w:t>通过以上对本项目建设的社会、经济和环境效益分析可知，在落实本评价所提出各项污染防治措施的前提下，本项目的建设能够达到经济效益、社会效益和环境效益相统一的要求，既为地方经济发展做出贡献，又通过环保投资减少了污染物排放量，使污染物排放量在环境容量容许的范围内。本项目的建设满足可持续发展的要求，从环境经济的角度而言，项目建设是可行的</w:t>
      </w:r>
      <w:bookmarkStart w:id="242" w:name="_Toc179971985"/>
      <w:bookmarkStart w:id="243" w:name="_Toc150595383"/>
      <w:bookmarkStart w:id="244" w:name="_Toc170127831"/>
      <w:bookmarkStart w:id="245" w:name="_Toc212262128"/>
      <w:bookmarkStart w:id="246" w:name="_Toc163317077"/>
      <w:bookmarkStart w:id="247" w:name="_Toc204716519"/>
      <w:r>
        <w:rPr>
          <w:rFonts w:hint="eastAsia" w:ascii="Times New Roman" w:hAnsi="Times New Roman" w:cs="Times New Roman"/>
          <w:kern w:val="0"/>
          <w:szCs w:val="24"/>
          <w:lang w:val="zh-CN"/>
        </w:rPr>
        <w:t>。</w:t>
      </w:r>
      <w:bookmarkEnd w:id="242"/>
      <w:bookmarkEnd w:id="243"/>
      <w:bookmarkEnd w:id="244"/>
      <w:bookmarkEnd w:id="245"/>
      <w:bookmarkEnd w:id="246"/>
      <w:bookmarkEnd w:id="247"/>
      <w:r>
        <w:br w:type="page"/>
      </w:r>
    </w:p>
    <w:p w14:paraId="0B7A248B">
      <w:pPr>
        <w:pStyle w:val="3"/>
        <w:spacing w:line="480" w:lineRule="exact"/>
      </w:pPr>
      <w:bookmarkStart w:id="248" w:name="_Toc24633"/>
      <w:r>
        <w:rPr>
          <w:rFonts w:hint="eastAsia"/>
        </w:rPr>
        <w:t>8 环境管理与监测计划</w:t>
      </w:r>
      <w:bookmarkEnd w:id="248"/>
    </w:p>
    <w:p w14:paraId="266FD029">
      <w:pPr>
        <w:pStyle w:val="4"/>
        <w:spacing w:after="0" w:line="480" w:lineRule="exact"/>
        <w:jc w:val="both"/>
      </w:pPr>
      <w:bookmarkStart w:id="249" w:name="_Toc19912"/>
      <w:r>
        <w:rPr>
          <w:rFonts w:hint="eastAsia"/>
        </w:rPr>
        <w:t>8.1 施工期环境监测与管理</w:t>
      </w:r>
      <w:bookmarkEnd w:id="249"/>
    </w:p>
    <w:p w14:paraId="67E1E1A8">
      <w:pPr>
        <w:spacing w:line="480" w:lineRule="exact"/>
        <w:ind w:firstLine="480" w:firstLineChars="200"/>
      </w:pPr>
      <w:r>
        <w:rPr>
          <w:rFonts w:hint="eastAsia"/>
        </w:rPr>
        <w:t>为预防和治理施工中的环境污染问题，除采取必要的污染治理措施外，还必须加强施工期的环境监测和管理。对此，提出以下建议：</w:t>
      </w:r>
    </w:p>
    <w:p w14:paraId="5C3CECBD">
      <w:pPr>
        <w:spacing w:line="480" w:lineRule="exact"/>
        <w:ind w:firstLine="480" w:firstLineChars="200"/>
      </w:pPr>
      <w:r>
        <w:rPr>
          <w:rFonts w:hint="eastAsia"/>
        </w:rPr>
        <w:t>（1）建设单位在签订施工承包合同时，应将有关环境保护的条款列入合同，其中应包括对施工承包方环境污染预防和治理等方面的具体要求，如施工噪声污染、废水、扬尘等排放治理，施工垃圾处理处置等内容。</w:t>
      </w:r>
    </w:p>
    <w:p w14:paraId="4F57B991">
      <w:pPr>
        <w:spacing w:line="480" w:lineRule="exact"/>
        <w:ind w:firstLine="480" w:firstLineChars="200"/>
      </w:pPr>
      <w:r>
        <w:rPr>
          <w:rFonts w:hint="eastAsia"/>
        </w:rPr>
        <w:t>（2）建设期间业主单位应指派一名环保专职或兼职人员，负责施工的环境管理工作，并参与制定和落实施工中的污染防治措施和应急计划，向施工人员讲明施工应采取的环保措施及注意事项。</w:t>
      </w:r>
    </w:p>
    <w:p w14:paraId="1D13B7E0">
      <w:pPr>
        <w:spacing w:line="480" w:lineRule="exact"/>
        <w:ind w:firstLine="480" w:firstLineChars="200"/>
      </w:pPr>
      <w:r>
        <w:rPr>
          <w:rFonts w:hint="eastAsia"/>
        </w:rPr>
        <w:t>（3）环保奖惩制度。对在施工中遵守环保措施的施工人员给予表扬和奖励，对违反环保条款，造成重大污染事故，按照有关法律、法规，追究其应当承担的法律责任。</w:t>
      </w:r>
    </w:p>
    <w:p w14:paraId="278D0F7B">
      <w:pPr>
        <w:spacing w:line="480" w:lineRule="exact"/>
        <w:ind w:firstLine="480" w:firstLineChars="200"/>
      </w:pPr>
      <w:r>
        <w:rPr>
          <w:rFonts w:hint="eastAsia"/>
        </w:rPr>
        <w:t>施工期的监测主要是对施工场界噪声和大气的监测，具体监测计划为：</w:t>
      </w:r>
    </w:p>
    <w:p w14:paraId="44494D4F">
      <w:pPr>
        <w:spacing w:line="480" w:lineRule="exact"/>
        <w:ind w:firstLine="480" w:firstLineChars="200"/>
      </w:pPr>
      <w:r>
        <w:rPr>
          <w:rFonts w:hint="eastAsia"/>
        </w:rPr>
        <w:t>噪声：在施工场界周围布设4个监测点，每月监测一天，昼夜各监测一次，监测因子为等效A声级。</w:t>
      </w:r>
    </w:p>
    <w:p w14:paraId="1ABF8549">
      <w:pPr>
        <w:spacing w:line="480" w:lineRule="exact"/>
        <w:ind w:firstLine="480" w:firstLineChars="200"/>
      </w:pPr>
      <w:r>
        <w:rPr>
          <w:rFonts w:hint="eastAsia"/>
        </w:rPr>
        <w:t>大气：在施工区及其周围布设1~2个大气监测点，每季度监测一次，每次连续三天，监测因子为粉尘。</w:t>
      </w:r>
    </w:p>
    <w:p w14:paraId="08F084D8">
      <w:pPr>
        <w:pStyle w:val="4"/>
        <w:spacing w:after="0" w:line="480" w:lineRule="exact"/>
        <w:jc w:val="both"/>
      </w:pPr>
      <w:bookmarkStart w:id="250" w:name="_Toc10121"/>
      <w:r>
        <w:rPr>
          <w:rFonts w:hint="eastAsia"/>
        </w:rPr>
        <w:t>8.2 营运期环境管理与监测</w:t>
      </w:r>
      <w:bookmarkEnd w:id="250"/>
    </w:p>
    <w:p w14:paraId="4E5B5C34">
      <w:pPr>
        <w:pStyle w:val="7"/>
        <w:spacing w:line="480" w:lineRule="exact"/>
      </w:pPr>
      <w:r>
        <w:rPr>
          <w:rFonts w:hint="eastAsia"/>
        </w:rPr>
        <w:t>8.2.1 环境管理</w:t>
      </w:r>
    </w:p>
    <w:p w14:paraId="6615777D">
      <w:pPr>
        <w:pStyle w:val="8"/>
        <w:spacing w:line="480" w:lineRule="exact"/>
      </w:pPr>
      <w:r>
        <w:rPr>
          <w:rFonts w:hint="eastAsia"/>
        </w:rPr>
        <w:t>8.2.1.1 组织机构</w:t>
      </w:r>
    </w:p>
    <w:p w14:paraId="6E7A5DE9">
      <w:pPr>
        <w:spacing w:line="480" w:lineRule="exact"/>
        <w:ind w:firstLine="480" w:firstLineChars="200"/>
        <w:rPr>
          <w:rFonts w:ascii="Times New Roman"/>
          <w:snapToGrid w:val="0"/>
          <w:color w:val="000000"/>
          <w:szCs w:val="24"/>
        </w:rPr>
      </w:pPr>
      <w:r>
        <w:rPr>
          <w:rFonts w:ascii="Times New Roman"/>
          <w:color w:val="000000"/>
          <w:szCs w:val="24"/>
        </w:rPr>
        <w:t>本项目应设置专门的环保安全和事故应急机构，</w:t>
      </w:r>
      <w:r>
        <w:rPr>
          <w:rFonts w:ascii="Times New Roman"/>
          <w:snapToGrid w:val="0"/>
          <w:color w:val="000000"/>
          <w:szCs w:val="24"/>
        </w:rPr>
        <w:t>该机构应由一名厂级负责人分管主抓，由厂环保管理部门、环保设施运行、设备保护维修、监督巡回检查和工艺技术开发等部分组成。环保组织网络的特点如下：</w:t>
      </w:r>
    </w:p>
    <w:p w14:paraId="24F7EF24">
      <w:pPr>
        <w:spacing w:line="480" w:lineRule="exact"/>
        <w:ind w:firstLine="482"/>
        <w:rPr>
          <w:rFonts w:ascii="Times New Roman"/>
          <w:snapToGrid w:val="0"/>
          <w:color w:val="000000"/>
          <w:szCs w:val="24"/>
        </w:rPr>
      </w:pPr>
      <w:r>
        <w:rPr>
          <w:rFonts w:ascii="Times New Roman"/>
          <w:snapToGrid w:val="0"/>
          <w:color w:val="000000"/>
          <w:szCs w:val="24"/>
        </w:rPr>
        <w:t>（1）厂级主管领导统一指挥、协调，生产人员和管理人员相配合；</w:t>
      </w:r>
    </w:p>
    <w:p w14:paraId="332F0C11">
      <w:pPr>
        <w:spacing w:line="480" w:lineRule="exact"/>
        <w:ind w:firstLine="482"/>
        <w:rPr>
          <w:rFonts w:ascii="Times New Roman"/>
          <w:snapToGrid w:val="0"/>
          <w:color w:val="000000"/>
          <w:szCs w:val="24"/>
        </w:rPr>
      </w:pPr>
      <w:r>
        <w:rPr>
          <w:rFonts w:ascii="Times New Roman"/>
          <w:snapToGrid w:val="0"/>
          <w:color w:val="000000"/>
          <w:szCs w:val="24"/>
        </w:rPr>
        <w:t>（2）以环保设施正常运行的管理为核心；</w:t>
      </w:r>
    </w:p>
    <w:p w14:paraId="228D1866">
      <w:pPr>
        <w:spacing w:line="480" w:lineRule="exact"/>
        <w:ind w:firstLine="482"/>
        <w:rPr>
          <w:rFonts w:ascii="Times New Roman"/>
          <w:snapToGrid w:val="0"/>
          <w:color w:val="000000"/>
          <w:szCs w:val="24"/>
        </w:rPr>
      </w:pPr>
      <w:r>
        <w:rPr>
          <w:rFonts w:ascii="Times New Roman"/>
          <w:snapToGrid w:val="0"/>
          <w:color w:val="000000"/>
          <w:szCs w:val="24"/>
        </w:rPr>
        <w:t>（3）巡回检查和环保部门共同监督，加强控制防治对策的实施；</w:t>
      </w:r>
    </w:p>
    <w:p w14:paraId="0F288B09">
      <w:pPr>
        <w:spacing w:line="480" w:lineRule="exact"/>
        <w:ind w:firstLine="482"/>
        <w:rPr>
          <w:rFonts w:ascii="Times New Roman"/>
          <w:snapToGrid w:val="0"/>
          <w:color w:val="000000"/>
          <w:szCs w:val="24"/>
        </w:rPr>
      </w:pPr>
      <w:r>
        <w:rPr>
          <w:rFonts w:ascii="Times New Roman"/>
          <w:snapToGrid w:val="0"/>
          <w:color w:val="000000"/>
          <w:szCs w:val="24"/>
        </w:rPr>
        <w:t>（4）提供及时维修的条件，保障环保设施正常运行的基础；</w:t>
      </w:r>
    </w:p>
    <w:p w14:paraId="27E0EAA2">
      <w:pPr>
        <w:spacing w:line="480" w:lineRule="exact"/>
        <w:ind w:firstLine="482"/>
        <w:rPr>
          <w:rFonts w:ascii="Times New Roman"/>
          <w:snapToGrid w:val="0"/>
          <w:color w:val="000000"/>
          <w:szCs w:val="24"/>
        </w:rPr>
      </w:pPr>
      <w:r>
        <w:rPr>
          <w:rFonts w:ascii="Times New Roman"/>
          <w:snapToGrid w:val="0"/>
          <w:color w:val="000000"/>
          <w:szCs w:val="24"/>
        </w:rPr>
        <w:t>（5）利用监测分析手段，掌握运行效果动态情况；</w:t>
      </w:r>
    </w:p>
    <w:p w14:paraId="774149A2">
      <w:pPr>
        <w:spacing w:line="480" w:lineRule="exact"/>
        <w:ind w:firstLine="482"/>
        <w:rPr>
          <w:rFonts w:ascii="Times New Roman"/>
          <w:snapToGrid w:val="0"/>
          <w:color w:val="000000"/>
          <w:szCs w:val="24"/>
        </w:rPr>
      </w:pPr>
      <w:r>
        <w:rPr>
          <w:rFonts w:ascii="Times New Roman"/>
          <w:snapToGrid w:val="0"/>
          <w:color w:val="000000"/>
          <w:szCs w:val="24"/>
        </w:rPr>
        <w:t>（6）通过技术开发不断提高防治对策的水平和可操作性。</w:t>
      </w:r>
    </w:p>
    <w:p w14:paraId="75C5C11D">
      <w:pPr>
        <w:pStyle w:val="8"/>
        <w:spacing w:line="480" w:lineRule="exact"/>
      </w:pPr>
      <w:r>
        <w:rPr>
          <w:rFonts w:hint="eastAsia"/>
        </w:rPr>
        <w:t>8.2.1.2管理职责和制度</w:t>
      </w:r>
    </w:p>
    <w:p w14:paraId="2F143409">
      <w:pPr>
        <w:spacing w:line="480" w:lineRule="exact"/>
        <w:ind w:firstLine="480" w:firstLineChars="200"/>
        <w:rPr>
          <w:rFonts w:ascii="Times New Roman"/>
          <w:color w:val="000000"/>
          <w:szCs w:val="24"/>
        </w:rPr>
      </w:pPr>
      <w:r>
        <w:rPr>
          <w:rFonts w:ascii="Times New Roman"/>
          <w:color w:val="000000"/>
          <w:szCs w:val="24"/>
        </w:rPr>
        <w:t>1、职责</w:t>
      </w:r>
    </w:p>
    <w:p w14:paraId="10EA168B">
      <w:pPr>
        <w:spacing w:line="480" w:lineRule="exact"/>
        <w:ind w:firstLine="480"/>
        <w:rPr>
          <w:rFonts w:ascii="Times New Roman"/>
          <w:color w:val="000000"/>
          <w:szCs w:val="24"/>
        </w:rPr>
      </w:pPr>
      <w:r>
        <w:rPr>
          <w:rFonts w:ascii="Times New Roman"/>
          <w:color w:val="000000"/>
          <w:szCs w:val="24"/>
        </w:rPr>
        <w:t>（1）主管负责人</w:t>
      </w:r>
    </w:p>
    <w:p w14:paraId="56C23F99">
      <w:pPr>
        <w:spacing w:line="480" w:lineRule="exact"/>
        <w:ind w:firstLine="480" w:firstLineChars="200"/>
        <w:rPr>
          <w:rFonts w:ascii="Times New Roman"/>
          <w:color w:val="000000"/>
          <w:szCs w:val="24"/>
        </w:rPr>
      </w:pPr>
      <w:r>
        <w:rPr>
          <w:rFonts w:ascii="Times New Roman"/>
          <w:color w:val="000000"/>
          <w:szCs w:val="24"/>
        </w:rPr>
        <w:t>应掌握生产和环保工作的全面动态情况；负责审批全公司环保岗位制度、工作和年度计划；指挥全公司环保工作的实施；直辖公司内外各有关部门和组织间的关系。</w:t>
      </w:r>
    </w:p>
    <w:p w14:paraId="575EA3EF">
      <w:pPr>
        <w:spacing w:line="480" w:lineRule="exact"/>
        <w:ind w:firstLine="480"/>
        <w:rPr>
          <w:rFonts w:ascii="Times New Roman"/>
          <w:color w:val="000000"/>
          <w:szCs w:val="24"/>
        </w:rPr>
      </w:pPr>
      <w:r>
        <w:rPr>
          <w:rFonts w:ascii="Times New Roman"/>
          <w:color w:val="000000"/>
          <w:szCs w:val="24"/>
        </w:rPr>
        <w:t>（2）公司环保部门</w:t>
      </w:r>
    </w:p>
    <w:p w14:paraId="73C6568C">
      <w:pPr>
        <w:spacing w:line="480" w:lineRule="exact"/>
        <w:ind w:firstLine="480"/>
        <w:rPr>
          <w:rFonts w:ascii="Times New Roman"/>
          <w:color w:val="000000"/>
          <w:szCs w:val="24"/>
        </w:rPr>
      </w:pPr>
      <w:r>
        <w:rPr>
          <w:rFonts w:ascii="Times New Roman"/>
          <w:color w:val="000000"/>
          <w:szCs w:val="24"/>
        </w:rPr>
        <w:t>专职环保管理机构，应由熟悉生产工艺和污染防治对策系统的管理、技术人员组成。其主要职责是：</w:t>
      </w:r>
    </w:p>
    <w:p w14:paraId="7F44C432">
      <w:pPr>
        <w:spacing w:line="480" w:lineRule="exact"/>
        <w:ind w:firstLine="480" w:firstLineChars="200"/>
        <w:rPr>
          <w:rFonts w:ascii="Times New Roman"/>
          <w:color w:val="000000"/>
          <w:szCs w:val="24"/>
        </w:rPr>
      </w:pPr>
      <w:r>
        <w:rPr>
          <w:rFonts w:ascii="Times New Roman"/>
          <w:color w:val="000000"/>
          <w:szCs w:val="24"/>
        </w:rPr>
        <w:t>①制订全公司及岗位环保规章制度，检查制度落实情况；</w:t>
      </w:r>
    </w:p>
    <w:p w14:paraId="4717884C">
      <w:pPr>
        <w:pStyle w:val="57"/>
        <w:spacing w:line="480" w:lineRule="exact"/>
        <w:ind w:firstLine="480" w:firstLineChars="200"/>
        <w:jc w:val="both"/>
        <w:rPr>
          <w:rFonts w:ascii="Times New Roman" w:hAnsi="Times New Roman"/>
          <w:color w:val="000000"/>
          <w:sz w:val="24"/>
          <w:szCs w:val="24"/>
        </w:rPr>
      </w:pPr>
      <w:r>
        <w:rPr>
          <w:rFonts w:ascii="Times New Roman" w:hAnsi="Times New Roman"/>
          <w:color w:val="000000"/>
          <w:sz w:val="24"/>
          <w:szCs w:val="24"/>
        </w:rPr>
        <w:t>②制订环保工作年度计划，负责组织实施；</w:t>
      </w:r>
    </w:p>
    <w:p w14:paraId="3C984C9B">
      <w:pPr>
        <w:spacing w:line="480" w:lineRule="exact"/>
        <w:ind w:firstLine="480" w:firstLineChars="200"/>
        <w:rPr>
          <w:rFonts w:ascii="Times New Roman"/>
          <w:color w:val="000000"/>
          <w:szCs w:val="24"/>
        </w:rPr>
      </w:pPr>
      <w:r>
        <w:rPr>
          <w:rFonts w:ascii="Times New Roman"/>
          <w:color w:val="000000"/>
          <w:szCs w:val="24"/>
          <w:lang w:eastAsia="ja-JP"/>
        </w:rPr>
        <w:t>③</w:t>
      </w:r>
      <w:r>
        <w:rPr>
          <w:rFonts w:ascii="Times New Roman"/>
          <w:color w:val="000000"/>
          <w:szCs w:val="24"/>
        </w:rPr>
        <w:t>领导公司内环保监测工作，汇总各产污环节排污、环保设施运行状态及环境质量情况；</w:t>
      </w:r>
    </w:p>
    <w:p w14:paraId="61DB07FF">
      <w:pPr>
        <w:spacing w:line="480" w:lineRule="exact"/>
        <w:ind w:firstLine="480" w:firstLineChars="200"/>
        <w:rPr>
          <w:rFonts w:ascii="Times New Roman"/>
          <w:color w:val="000000"/>
          <w:szCs w:val="24"/>
        </w:rPr>
      </w:pPr>
      <w:r>
        <w:rPr>
          <w:rFonts w:ascii="Times New Roman"/>
          <w:color w:val="000000"/>
          <w:szCs w:val="24"/>
        </w:rPr>
        <w:t>④提出环保设施运行管理计划及改进建议。</w:t>
      </w:r>
    </w:p>
    <w:p w14:paraId="3EAFE429">
      <w:pPr>
        <w:spacing w:line="480" w:lineRule="exact"/>
        <w:ind w:firstLine="480"/>
        <w:rPr>
          <w:rFonts w:ascii="Times New Roman"/>
          <w:color w:val="000000"/>
          <w:szCs w:val="24"/>
        </w:rPr>
      </w:pPr>
      <w:r>
        <w:rPr>
          <w:rFonts w:ascii="Times New Roman"/>
          <w:color w:val="000000"/>
          <w:szCs w:val="24"/>
        </w:rPr>
        <w:t>本机构除向主管领导及时汇报工作情况外，还有义务配合地方环境保护主管部门开展各项环保工作。</w:t>
      </w:r>
    </w:p>
    <w:p w14:paraId="0E105AC5">
      <w:pPr>
        <w:spacing w:line="480" w:lineRule="exact"/>
        <w:ind w:firstLine="480"/>
        <w:rPr>
          <w:rFonts w:ascii="Times New Roman"/>
          <w:color w:val="000000"/>
          <w:szCs w:val="24"/>
        </w:rPr>
      </w:pPr>
      <w:r>
        <w:rPr>
          <w:rFonts w:ascii="Times New Roman"/>
          <w:color w:val="000000"/>
          <w:szCs w:val="24"/>
        </w:rPr>
        <w:t>（3）环保设施运行</w:t>
      </w:r>
    </w:p>
    <w:p w14:paraId="243E824B">
      <w:pPr>
        <w:spacing w:line="480" w:lineRule="exact"/>
        <w:ind w:firstLine="480"/>
        <w:rPr>
          <w:rFonts w:ascii="Times New Roman"/>
          <w:color w:val="000000"/>
          <w:szCs w:val="24"/>
        </w:rPr>
      </w:pPr>
      <w:r>
        <w:rPr>
          <w:rFonts w:ascii="Times New Roman"/>
          <w:color w:val="000000"/>
          <w:szCs w:val="24"/>
        </w:rPr>
        <w:t>由涉及环保设施运行的生产操作人员组成，为一兼职组织。每个岗位班次上，至少应有一名人员参与环保工作。任务除按岗位规范进行操作外，应将当班环保设备运行情况记录在案，及时汇报情况。</w:t>
      </w:r>
    </w:p>
    <w:p w14:paraId="18A9ECEE">
      <w:pPr>
        <w:spacing w:line="480" w:lineRule="exact"/>
        <w:ind w:firstLine="480"/>
        <w:rPr>
          <w:rFonts w:ascii="Times New Roman"/>
          <w:color w:val="000000"/>
          <w:szCs w:val="24"/>
        </w:rPr>
      </w:pPr>
      <w:r>
        <w:rPr>
          <w:rFonts w:ascii="Times New Roman"/>
          <w:color w:val="000000"/>
          <w:szCs w:val="24"/>
        </w:rPr>
        <w:t>（4）监督巡回检查</w:t>
      </w:r>
    </w:p>
    <w:p w14:paraId="3C5E3CC3">
      <w:pPr>
        <w:spacing w:line="480" w:lineRule="exact"/>
        <w:ind w:firstLine="480" w:firstLineChars="200"/>
        <w:rPr>
          <w:rFonts w:ascii="Times New Roman"/>
          <w:color w:val="000000"/>
          <w:szCs w:val="24"/>
        </w:rPr>
      </w:pPr>
      <w:r>
        <w:rPr>
          <w:rFonts w:ascii="Times New Roman"/>
          <w:color w:val="000000"/>
          <w:szCs w:val="24"/>
        </w:rPr>
        <w:t>此部门为兼职组织，可由运行班次负责人、生产调度人员组成，每个班次设一至二人。其主要职责是监督检查各运行岗位工况，汇总生产中存在的各种环保问题。通知维修部门进行检修，经常向厂主管领导反映情况，并对可能进行的技术开发提出建议。</w:t>
      </w:r>
    </w:p>
    <w:p w14:paraId="20EE046B">
      <w:pPr>
        <w:spacing w:line="480" w:lineRule="exact"/>
        <w:ind w:firstLine="480"/>
        <w:rPr>
          <w:rFonts w:ascii="Times New Roman"/>
          <w:color w:val="000000"/>
          <w:szCs w:val="24"/>
        </w:rPr>
      </w:pPr>
      <w:r>
        <w:rPr>
          <w:rFonts w:ascii="Times New Roman"/>
          <w:color w:val="000000"/>
          <w:szCs w:val="24"/>
        </w:rPr>
        <w:t>（5）设备维修保养</w:t>
      </w:r>
    </w:p>
    <w:p w14:paraId="150AB9E8">
      <w:pPr>
        <w:spacing w:line="480" w:lineRule="exact"/>
        <w:ind w:firstLine="480" w:firstLineChars="200"/>
        <w:rPr>
          <w:rFonts w:ascii="Times New Roman"/>
          <w:color w:val="000000"/>
          <w:szCs w:val="24"/>
        </w:rPr>
      </w:pPr>
      <w:r>
        <w:rPr>
          <w:rFonts w:ascii="Times New Roman"/>
          <w:color w:val="000000"/>
          <w:szCs w:val="24"/>
        </w:rPr>
        <w:t>由生产维修部门兼职完成。其基本工作方式同生产部门规程要求，同时，应具备维修设备运行原理、功用及环保要求等知识。</w:t>
      </w:r>
    </w:p>
    <w:p w14:paraId="1272B0BC">
      <w:pPr>
        <w:spacing w:line="480" w:lineRule="exact"/>
        <w:ind w:firstLine="480"/>
        <w:rPr>
          <w:rFonts w:ascii="Times New Roman"/>
          <w:color w:val="000000"/>
          <w:szCs w:val="24"/>
        </w:rPr>
      </w:pPr>
      <w:r>
        <w:rPr>
          <w:rFonts w:ascii="Times New Roman"/>
          <w:color w:val="000000"/>
          <w:szCs w:val="24"/>
        </w:rPr>
        <w:t>（6）危废存储</w:t>
      </w:r>
    </w:p>
    <w:p w14:paraId="4C47FD29">
      <w:pPr>
        <w:spacing w:line="480" w:lineRule="exact"/>
        <w:ind w:firstLine="480"/>
        <w:rPr>
          <w:rFonts w:ascii="Times New Roman"/>
          <w:color w:val="000000"/>
          <w:szCs w:val="24"/>
        </w:rPr>
      </w:pPr>
      <w:r>
        <w:rPr>
          <w:rFonts w:ascii="Times New Roman"/>
          <w:color w:val="000000"/>
          <w:szCs w:val="24"/>
        </w:rPr>
        <w:t>①不同品种危险废物分别存放在不同容器中，不得混合。</w:t>
      </w:r>
    </w:p>
    <w:p w14:paraId="7E862DFD">
      <w:pPr>
        <w:spacing w:line="480" w:lineRule="exact"/>
        <w:ind w:firstLine="480"/>
        <w:rPr>
          <w:rFonts w:ascii="Times New Roman"/>
          <w:color w:val="000000"/>
          <w:szCs w:val="24"/>
        </w:rPr>
      </w:pPr>
      <w:r>
        <w:rPr>
          <w:rFonts w:ascii="Times New Roman"/>
          <w:color w:val="000000"/>
          <w:szCs w:val="24"/>
        </w:rPr>
        <w:t>②危险废物贮藏间外贴有“危险废物”字样标识</w:t>
      </w:r>
    </w:p>
    <w:p w14:paraId="79606F48">
      <w:pPr>
        <w:spacing w:line="480" w:lineRule="exact"/>
        <w:ind w:firstLine="480"/>
        <w:rPr>
          <w:rFonts w:ascii="Times New Roman"/>
          <w:color w:val="000000"/>
          <w:szCs w:val="24"/>
        </w:rPr>
      </w:pPr>
      <w:r>
        <w:rPr>
          <w:rFonts w:ascii="Times New Roman"/>
          <w:color w:val="000000"/>
          <w:szCs w:val="24"/>
        </w:rPr>
        <w:t>③固体危险废物：包装完整，不渗漏。</w:t>
      </w:r>
    </w:p>
    <w:p w14:paraId="5913B1EF">
      <w:pPr>
        <w:spacing w:line="480" w:lineRule="exact"/>
        <w:ind w:firstLine="480"/>
        <w:rPr>
          <w:rFonts w:ascii="Times New Roman"/>
          <w:color w:val="000000"/>
          <w:szCs w:val="24"/>
        </w:rPr>
      </w:pPr>
      <w:r>
        <w:rPr>
          <w:rFonts w:ascii="Times New Roman"/>
          <w:color w:val="000000"/>
          <w:szCs w:val="24"/>
        </w:rPr>
        <w:t>④危险废液暂时存放应采取防渗漏、防外溢措施。</w:t>
      </w:r>
    </w:p>
    <w:p w14:paraId="69D2E812">
      <w:pPr>
        <w:spacing w:line="480" w:lineRule="exact"/>
        <w:ind w:firstLine="480" w:firstLineChars="200"/>
        <w:rPr>
          <w:rFonts w:ascii="Times New Roman"/>
          <w:color w:val="000000"/>
          <w:szCs w:val="24"/>
        </w:rPr>
      </w:pPr>
      <w:r>
        <w:rPr>
          <w:rFonts w:ascii="Times New Roman"/>
          <w:color w:val="000000"/>
          <w:szCs w:val="24"/>
        </w:rPr>
        <w:t>2、环境管理制度</w:t>
      </w:r>
    </w:p>
    <w:p w14:paraId="757088EF">
      <w:pPr>
        <w:spacing w:line="480" w:lineRule="exact"/>
        <w:ind w:firstLine="480" w:firstLineChars="200"/>
        <w:rPr>
          <w:rFonts w:ascii="Times New Roman"/>
          <w:color w:val="000000"/>
          <w:szCs w:val="24"/>
        </w:rPr>
      </w:pPr>
      <w:r>
        <w:rPr>
          <w:rFonts w:ascii="Times New Roman"/>
          <w:color w:val="000000"/>
          <w:szCs w:val="24"/>
        </w:rPr>
        <w:t>企业应建立健全环境管理制度体系，将环保纳入考核体系，确保在日常运行中将环保目标落实到实处。</w:t>
      </w:r>
    </w:p>
    <w:p w14:paraId="3730AFB6">
      <w:pPr>
        <w:spacing w:line="480" w:lineRule="exact"/>
        <w:ind w:firstLine="480"/>
        <w:rPr>
          <w:rFonts w:ascii="Times New Roman"/>
          <w:color w:val="000000"/>
          <w:szCs w:val="24"/>
        </w:rPr>
      </w:pPr>
      <w:r>
        <w:rPr>
          <w:rFonts w:ascii="Times New Roman"/>
          <w:color w:val="000000"/>
          <w:szCs w:val="24"/>
        </w:rPr>
        <w:t>（1）排污许可证制度</w:t>
      </w:r>
    </w:p>
    <w:p w14:paraId="4E53ADAB">
      <w:pPr>
        <w:spacing w:line="480" w:lineRule="exact"/>
        <w:ind w:firstLine="480" w:firstLineChars="200"/>
        <w:jc w:val="left"/>
        <w:rPr>
          <w:rFonts w:ascii="Times New Roman"/>
          <w:szCs w:val="24"/>
        </w:rPr>
      </w:pPr>
      <w:r>
        <w:rPr>
          <w:rFonts w:ascii="Times New Roman"/>
          <w:color w:val="000000"/>
          <w:szCs w:val="24"/>
        </w:rPr>
        <w:t>本项目为</w:t>
      </w:r>
      <w:r>
        <w:rPr>
          <w:rFonts w:hint="eastAsia" w:ascii="Times New Roman"/>
          <w:color w:val="000000"/>
          <w:szCs w:val="24"/>
        </w:rPr>
        <w:t>新建</w:t>
      </w:r>
      <w:r>
        <w:rPr>
          <w:rFonts w:ascii="Times New Roman"/>
          <w:color w:val="000000"/>
          <w:szCs w:val="24"/>
        </w:rPr>
        <w:t>项目，属于《固定污染源排污许可分类管理名录（2019年版）》中的“</w:t>
      </w:r>
      <w:r>
        <w:rPr>
          <w:rFonts w:hint="eastAsia" w:ascii="Times New Roman"/>
          <w:color w:val="000000"/>
          <w:szCs w:val="24"/>
        </w:rPr>
        <w:t>一、畜牧业03</w:t>
      </w:r>
      <w:r>
        <w:rPr>
          <w:rFonts w:ascii="Times New Roman"/>
          <w:color w:val="000000"/>
          <w:szCs w:val="24"/>
        </w:rPr>
        <w:t>”中“</w:t>
      </w:r>
      <w:r>
        <w:rPr>
          <w:rFonts w:hint="eastAsia" w:ascii="Times New Roman"/>
          <w:color w:val="000000"/>
          <w:szCs w:val="24"/>
        </w:rPr>
        <w:t>1</w:t>
      </w:r>
      <w:r>
        <w:rPr>
          <w:rFonts w:ascii="Times New Roman"/>
          <w:color w:val="000000"/>
          <w:szCs w:val="24"/>
        </w:rPr>
        <w:t>-</w:t>
      </w:r>
      <w:r>
        <w:rPr>
          <w:rFonts w:hint="eastAsia" w:ascii="Times New Roman"/>
          <w:color w:val="000000"/>
          <w:szCs w:val="24"/>
        </w:rPr>
        <w:t>牲畜饲养031，家禽饲养032</w:t>
      </w:r>
      <w:r>
        <w:rPr>
          <w:rFonts w:ascii="Times New Roman"/>
          <w:color w:val="000000"/>
          <w:szCs w:val="24"/>
        </w:rPr>
        <w:t>”中“</w:t>
      </w:r>
      <w:r>
        <w:rPr>
          <w:rFonts w:hint="eastAsia" w:ascii="Times New Roman"/>
          <w:szCs w:val="24"/>
        </w:rPr>
        <w:t>无污水排放口的规模化畜禽养殖场、养殖小区，设有污水排放口的规模以下畜禽养殖场、养殖小区</w:t>
      </w:r>
      <w:r>
        <w:rPr>
          <w:rFonts w:ascii="Times New Roman"/>
          <w:color w:val="000000"/>
          <w:szCs w:val="24"/>
        </w:rPr>
        <w:t>”，</w:t>
      </w:r>
      <w:r>
        <w:rPr>
          <w:rFonts w:hint="eastAsia" w:ascii="Times New Roman"/>
          <w:color w:val="000000"/>
          <w:szCs w:val="24"/>
        </w:rPr>
        <w:t>为排污许可登记</w:t>
      </w:r>
      <w:r>
        <w:rPr>
          <w:rFonts w:ascii="Times New Roman"/>
          <w:color w:val="000000"/>
          <w:szCs w:val="24"/>
        </w:rPr>
        <w:t>管理</w:t>
      </w:r>
      <w:r>
        <w:rPr>
          <w:rFonts w:hint="eastAsia" w:ascii="Times New Roman"/>
          <w:color w:val="000000"/>
          <w:szCs w:val="24"/>
        </w:rPr>
        <w:t>行业</w:t>
      </w:r>
      <w:r>
        <w:rPr>
          <w:rFonts w:ascii="Times New Roman"/>
          <w:color w:val="000000"/>
          <w:szCs w:val="24"/>
        </w:rPr>
        <w:t>。</w:t>
      </w:r>
      <w:r>
        <w:rPr>
          <w:rFonts w:ascii="Times New Roman"/>
          <w:szCs w:val="24"/>
        </w:rPr>
        <w:t>根据《排污许可管理办法（试行）》应当在本项目取得环境影响评价审批意见后，排污行为发生之日前申请领取排污</w:t>
      </w:r>
      <w:r>
        <w:rPr>
          <w:rFonts w:hint="eastAsia" w:ascii="Times New Roman"/>
          <w:szCs w:val="24"/>
        </w:rPr>
        <w:t>登记回执</w:t>
      </w:r>
      <w:r>
        <w:rPr>
          <w:rFonts w:ascii="Times New Roman"/>
          <w:szCs w:val="24"/>
        </w:rPr>
        <w:t>，不得无证和不按证排污。</w:t>
      </w:r>
    </w:p>
    <w:p w14:paraId="47C79C15">
      <w:pPr>
        <w:spacing w:line="480" w:lineRule="exact"/>
        <w:ind w:firstLine="480"/>
        <w:rPr>
          <w:rFonts w:ascii="Times New Roman"/>
          <w:color w:val="000000"/>
          <w:szCs w:val="24"/>
        </w:rPr>
      </w:pPr>
      <w:r>
        <w:rPr>
          <w:rFonts w:ascii="Times New Roman"/>
          <w:color w:val="000000"/>
          <w:szCs w:val="24"/>
        </w:rPr>
        <w:t>（2）报告制度</w:t>
      </w:r>
    </w:p>
    <w:p w14:paraId="70A4B05B">
      <w:pPr>
        <w:spacing w:line="480" w:lineRule="exact"/>
        <w:ind w:firstLine="482"/>
        <w:rPr>
          <w:rFonts w:ascii="Times New Roman"/>
          <w:color w:val="000000"/>
          <w:szCs w:val="24"/>
        </w:rPr>
      </w:pPr>
      <w:r>
        <w:rPr>
          <w:rFonts w:hAnsi="宋体"/>
          <w:color w:val="000000"/>
        </w:rPr>
        <w:t>企业应定期向当地政府</w:t>
      </w:r>
      <w:r>
        <w:rPr>
          <w:rFonts w:hint="eastAsia" w:hAnsi="宋体"/>
          <w:color w:val="000000"/>
        </w:rPr>
        <w:t>生态环境主管</w:t>
      </w:r>
      <w:r>
        <w:rPr>
          <w:rFonts w:hAnsi="宋体"/>
          <w:color w:val="000000"/>
        </w:rPr>
        <w:t>部门报告污染治理设施运行情况、污染物排放情况以及污染事故、污染纠纷等情况，便于</w:t>
      </w:r>
      <w:r>
        <w:rPr>
          <w:rFonts w:hint="eastAsia" w:hAnsi="宋体"/>
          <w:color w:val="000000"/>
        </w:rPr>
        <w:t>生态环境主管</w:t>
      </w:r>
      <w:r>
        <w:rPr>
          <w:rFonts w:hAnsi="宋体"/>
          <w:color w:val="000000"/>
        </w:rPr>
        <w:t>部门和企业管理人员及时了解企业污染动态，利于采取相应的对策措施。若企业排污情况发生重大变化、污染治理设施改变或企业改建等都必须按《中华人民共和国环境影响评价法》、《建设项目环境保护管理条例》等文件要求，向当地</w:t>
      </w:r>
      <w:r>
        <w:rPr>
          <w:rFonts w:hint="eastAsia" w:hAnsi="宋体"/>
          <w:color w:val="000000"/>
        </w:rPr>
        <w:t>生态环境主管</w:t>
      </w:r>
      <w:r>
        <w:rPr>
          <w:rFonts w:hAnsi="宋体"/>
          <w:color w:val="000000"/>
        </w:rPr>
        <w:t>部门申报，并请有审批权限的</w:t>
      </w:r>
      <w:r>
        <w:rPr>
          <w:rFonts w:hint="eastAsia" w:hAnsi="宋体"/>
          <w:color w:val="000000"/>
        </w:rPr>
        <w:t>生态环境主管</w:t>
      </w:r>
      <w:r>
        <w:rPr>
          <w:rFonts w:hAnsi="宋体"/>
          <w:color w:val="000000"/>
        </w:rPr>
        <w:t>部门审批。企业</w:t>
      </w:r>
      <w:r>
        <w:rPr>
          <w:rFonts w:hint="eastAsia" w:hAnsi="宋体"/>
          <w:color w:val="000000"/>
        </w:rPr>
        <w:t>产能等</w:t>
      </w:r>
      <w:r>
        <w:rPr>
          <w:rFonts w:hAnsi="宋体"/>
          <w:color w:val="000000"/>
        </w:rPr>
        <w:t>发生变化也应及时向</w:t>
      </w:r>
      <w:r>
        <w:rPr>
          <w:rFonts w:hint="eastAsia" w:hAnsi="宋体"/>
          <w:color w:val="000000"/>
        </w:rPr>
        <w:t>生态环境主管</w:t>
      </w:r>
      <w:r>
        <w:rPr>
          <w:rFonts w:hAnsi="宋体"/>
          <w:color w:val="000000"/>
        </w:rPr>
        <w:t>部门报告</w:t>
      </w:r>
      <w:r>
        <w:rPr>
          <w:rFonts w:ascii="Times New Roman"/>
          <w:color w:val="000000"/>
          <w:szCs w:val="24"/>
        </w:rPr>
        <w:t>。</w:t>
      </w:r>
    </w:p>
    <w:p w14:paraId="6D9DE5F2">
      <w:pPr>
        <w:spacing w:line="480" w:lineRule="exact"/>
        <w:ind w:firstLine="480"/>
        <w:rPr>
          <w:rFonts w:ascii="Times New Roman"/>
          <w:color w:val="000000"/>
          <w:szCs w:val="24"/>
        </w:rPr>
      </w:pPr>
      <w:r>
        <w:rPr>
          <w:rFonts w:ascii="Times New Roman"/>
          <w:color w:val="000000"/>
          <w:szCs w:val="24"/>
        </w:rPr>
        <w:t>（3）污染治理设施的管理、监控制度</w:t>
      </w:r>
    </w:p>
    <w:p w14:paraId="4EECBF96">
      <w:pPr>
        <w:spacing w:line="480" w:lineRule="exact"/>
        <w:ind w:firstLine="480"/>
        <w:rPr>
          <w:rFonts w:ascii="Times New Roman"/>
          <w:color w:val="000000"/>
          <w:szCs w:val="24"/>
        </w:rPr>
      </w:pPr>
      <w:r>
        <w:rPr>
          <w:rFonts w:ascii="Times New Roman"/>
          <w:color w:val="000000"/>
          <w:szCs w:val="24"/>
        </w:rPr>
        <w:t>项目建成后，必须确保污染处理设施长期、稳定、有效地运行，不得擅自拆除或者闲置污染处理设施，不得故意不正常使用污染处理设施。污染处理设施的管理必须与生产经营活动一起纳入公司日常管理工作的范畴，落实责任人、操作人员、维修人员、运行经费、设备的备品备件和其他原辅材料。同时要建立岗位责任制、制定操作规程、建立管理台帐，对设备运行情况进行日常记录。</w:t>
      </w:r>
    </w:p>
    <w:p w14:paraId="63F54822">
      <w:pPr>
        <w:spacing w:line="480" w:lineRule="exact"/>
        <w:ind w:firstLine="480"/>
        <w:rPr>
          <w:rFonts w:ascii="Times New Roman"/>
          <w:color w:val="000000"/>
          <w:szCs w:val="24"/>
        </w:rPr>
      </w:pPr>
      <w:r>
        <w:rPr>
          <w:rFonts w:ascii="Times New Roman"/>
          <w:color w:val="000000"/>
          <w:szCs w:val="24"/>
        </w:rPr>
        <w:t>（4）污染防治设施配用电监测与管理系统</w:t>
      </w:r>
    </w:p>
    <w:p w14:paraId="7A9D0623">
      <w:pPr>
        <w:spacing w:line="480" w:lineRule="exact"/>
        <w:ind w:firstLine="480" w:firstLineChars="200"/>
        <w:rPr>
          <w:rFonts w:ascii="Times New Roman"/>
          <w:color w:val="000000"/>
          <w:szCs w:val="24"/>
        </w:rPr>
      </w:pPr>
      <w:r>
        <w:rPr>
          <w:rFonts w:ascii="Times New Roman"/>
          <w:color w:val="000000"/>
          <w:szCs w:val="24"/>
        </w:rPr>
        <w:t>目前，本市已建立“有动力污染治理设施用电监管云平台”，并覆盖全市重点企业。该云平台运用大数据分析、云计算、移动互联网、物联网技术，可对企业生产设备与环保治理设备用电数据、运行工况进行24小时不间断监测。通过关联分析、超限分析、停电分析，及时发现环保治理设备未开启、异常关闭及减速、空转、降频等异常情况，并通过短信、手机APP、Web客户端等方式及时提醒监管部门和企业，切实提升环保监管效率，防止企业违规生产、违规排污。同时，系统通过历史数据分析，追溯企业生产运行状态，为环保监管提供数据支撑。</w:t>
      </w:r>
    </w:p>
    <w:p w14:paraId="4D3BBB42">
      <w:pPr>
        <w:spacing w:line="480" w:lineRule="exact"/>
        <w:ind w:firstLine="480" w:firstLineChars="200"/>
        <w:rPr>
          <w:rFonts w:ascii="Times New Roman"/>
          <w:color w:val="000000"/>
          <w:szCs w:val="24"/>
        </w:rPr>
      </w:pPr>
      <w:r>
        <w:rPr>
          <w:rFonts w:ascii="Times New Roman"/>
          <w:color w:val="000000"/>
          <w:szCs w:val="24"/>
        </w:rPr>
        <w:t>排污企业为配用电监测与管理系统安装运行维护的责任主体，负责配用电监测与管理系统的安装、运行、维护。建设单位应按要求为所有有动力污染防治设施安装配用电监测与管理系统终端，并建立配用电监测与管理系统的运行、维护制度。企业要选择符合《宿迁污染防治设施配用电监测与管理系统技术方案》要求的设备，组织安装并投入使用，实现与市生态环境局联网，纳入全市污染防治设施在线监控系统，不断完善在线监控设施监控监管制度。</w:t>
      </w:r>
    </w:p>
    <w:p w14:paraId="0A410482">
      <w:pPr>
        <w:adjustRightInd w:val="0"/>
        <w:spacing w:line="480" w:lineRule="exact"/>
        <w:ind w:firstLine="480"/>
        <w:rPr>
          <w:rFonts w:ascii="Times New Roman"/>
          <w:szCs w:val="24"/>
        </w:rPr>
      </w:pPr>
      <w:r>
        <w:rPr>
          <w:rFonts w:ascii="Times New Roman"/>
          <w:szCs w:val="24"/>
        </w:rPr>
        <w:t>（5）制定环保奖惩制度</w:t>
      </w:r>
    </w:p>
    <w:p w14:paraId="6BCA14FA">
      <w:pPr>
        <w:adjustRightInd w:val="0"/>
        <w:spacing w:line="480" w:lineRule="exact"/>
        <w:ind w:firstLine="480" w:firstLineChars="200"/>
        <w:rPr>
          <w:rFonts w:ascii="Times New Roman"/>
          <w:szCs w:val="24"/>
        </w:rPr>
      </w:pPr>
      <w:r>
        <w:rPr>
          <w:rFonts w:ascii="Times New Roman"/>
          <w:szCs w:val="24"/>
        </w:rPr>
        <w:t>本项目建设期以及建成后，各级管理人员都应树立保护环境的思想，公司设置环境保护奖惩条例。对爱护环保设施、节能降耗、改善环境者实行奖励；对环保观念淡薄，不按环保要求管理，造成环境设施损坏、环境污染及资源和能源浪费者一律予以重罚。</w:t>
      </w:r>
    </w:p>
    <w:p w14:paraId="6015C847">
      <w:pPr>
        <w:spacing w:line="480" w:lineRule="exact"/>
        <w:ind w:firstLine="480"/>
        <w:rPr>
          <w:rFonts w:ascii="Times New Roman"/>
          <w:color w:val="000000"/>
          <w:szCs w:val="24"/>
        </w:rPr>
      </w:pPr>
      <w:r>
        <w:rPr>
          <w:rFonts w:ascii="Times New Roman"/>
          <w:color w:val="000000"/>
          <w:szCs w:val="24"/>
        </w:rPr>
        <w:t>（6）信息公开制度</w:t>
      </w:r>
    </w:p>
    <w:p w14:paraId="08F1582D">
      <w:pPr>
        <w:spacing w:line="480" w:lineRule="exact"/>
        <w:ind w:firstLine="480" w:firstLineChars="200"/>
        <w:rPr>
          <w:rFonts w:ascii="Times New Roman"/>
          <w:color w:val="000000"/>
          <w:szCs w:val="24"/>
        </w:rPr>
      </w:pPr>
      <w:r>
        <w:rPr>
          <w:rFonts w:ascii="Times New Roman"/>
          <w:color w:val="000000"/>
          <w:szCs w:val="24"/>
        </w:rPr>
        <w:t>建设单位应认真履行信息公开主体责任，完整客观的公开建设项目环评和验收信息，依法开展公众参与，建立公众意见收集、采纳和反馈机制。建设单位应向社会公开本项目污染物排放清单，明确污染物排放的管理要求。包括工程组成及原辅材料组分要求，建设项目拟采取的环境保护措施及主要运行参数，排放的污染物种类、排放浓度和总量指标，排污口信息，执行的环境标准，环境风险防范措施以及环境监测等。</w:t>
      </w:r>
    </w:p>
    <w:p w14:paraId="2E7E0549">
      <w:pPr>
        <w:spacing w:line="480" w:lineRule="exact"/>
        <w:ind w:firstLine="480"/>
        <w:rPr>
          <w:rFonts w:ascii="Times New Roman"/>
          <w:color w:val="000000"/>
          <w:szCs w:val="24"/>
        </w:rPr>
      </w:pPr>
      <w:r>
        <w:rPr>
          <w:rFonts w:ascii="Times New Roman"/>
          <w:color w:val="000000"/>
          <w:szCs w:val="24"/>
        </w:rPr>
        <w:t>（7）环境保护责任制度</w:t>
      </w:r>
    </w:p>
    <w:p w14:paraId="5CFE6104">
      <w:pPr>
        <w:spacing w:line="480" w:lineRule="exact"/>
        <w:ind w:firstLine="480"/>
        <w:rPr>
          <w:rFonts w:ascii="Times New Roman"/>
          <w:color w:val="000000"/>
          <w:szCs w:val="24"/>
        </w:rPr>
      </w:pPr>
      <w:r>
        <w:rPr>
          <w:rFonts w:ascii="Times New Roman"/>
          <w:color w:val="000000"/>
          <w:szCs w:val="24"/>
        </w:rPr>
        <w:t>建设单位应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w:t>
      </w:r>
    </w:p>
    <w:p w14:paraId="0B873A97">
      <w:pPr>
        <w:spacing w:line="480" w:lineRule="exact"/>
        <w:ind w:firstLine="480"/>
        <w:rPr>
          <w:rFonts w:ascii="Times New Roman"/>
          <w:color w:val="000000"/>
          <w:szCs w:val="24"/>
        </w:rPr>
      </w:pPr>
      <w:r>
        <w:rPr>
          <w:rFonts w:ascii="Times New Roman"/>
          <w:color w:val="000000"/>
          <w:szCs w:val="24"/>
        </w:rPr>
        <w:t>建设单位应建立环境保护责任制度，明确单位负责人和相关人员的环境保护责任，不断提高污染治理和环境管理水平，自觉接受监督检查。</w:t>
      </w:r>
    </w:p>
    <w:p w14:paraId="53986A91">
      <w:pPr>
        <w:spacing w:line="480" w:lineRule="exact"/>
        <w:ind w:firstLine="480"/>
        <w:rPr>
          <w:rFonts w:ascii="Times New Roman"/>
          <w:color w:val="000000"/>
          <w:szCs w:val="24"/>
        </w:rPr>
      </w:pPr>
      <w:r>
        <w:rPr>
          <w:rFonts w:ascii="Times New Roman"/>
          <w:color w:val="000000"/>
          <w:szCs w:val="24"/>
        </w:rPr>
        <w:t>（8）环境监测制度</w:t>
      </w:r>
    </w:p>
    <w:p w14:paraId="18A9AC89">
      <w:pPr>
        <w:spacing w:line="480" w:lineRule="exact"/>
        <w:ind w:firstLine="480"/>
        <w:rPr>
          <w:rFonts w:ascii="Times New Roman"/>
          <w:color w:val="000000"/>
          <w:szCs w:val="24"/>
        </w:rPr>
      </w:pPr>
      <w:r>
        <w:rPr>
          <w:rFonts w:ascii="Times New Roman"/>
          <w:color w:val="000000"/>
          <w:szCs w:val="24"/>
        </w:rPr>
        <w:t>建设单位应依法开展自行监测，制定监测计划，安装或使用监测设备应符合国家有关环境监测、计量认证规定和技术规范，保障数据合法有效，保证设备正常运行，妥善保存原始记录，建立准确完整的环境管理台账，安装在线监测设备应与生态环境主管部门联网。</w:t>
      </w:r>
    </w:p>
    <w:p w14:paraId="02CB330B">
      <w:pPr>
        <w:spacing w:line="480" w:lineRule="exact"/>
        <w:ind w:firstLine="480"/>
        <w:rPr>
          <w:rFonts w:ascii="Times New Roman"/>
          <w:color w:val="000000"/>
          <w:szCs w:val="24"/>
        </w:rPr>
      </w:pPr>
      <w:r>
        <w:rPr>
          <w:rFonts w:ascii="Times New Roman"/>
          <w:color w:val="000000"/>
          <w:szCs w:val="24"/>
        </w:rPr>
        <w:t>环境管理机构主要职能是研究决策本公司环保工作的重大事宜，并负责公司环境保护的规划和管理以及环境保护治理设施管理、维修、操作，并下设实验室，负责公司的环境监测，是环境管理工作的具体执行部门。其主要职责如下：</w:t>
      </w:r>
    </w:p>
    <w:p w14:paraId="2A40F862">
      <w:pPr>
        <w:spacing w:line="480" w:lineRule="exact"/>
        <w:ind w:firstLine="480" w:firstLineChars="200"/>
        <w:rPr>
          <w:rFonts w:ascii="Times New Roman"/>
          <w:color w:val="000000"/>
          <w:szCs w:val="24"/>
        </w:rPr>
      </w:pPr>
      <w:r>
        <w:rPr>
          <w:rFonts w:ascii="Times New Roman"/>
          <w:color w:val="000000"/>
          <w:szCs w:val="24"/>
        </w:rPr>
        <w:t>①根据公司规模、性质、特点和国家法律、法规，制定全公司环保规划和环境方针，并负责以多种形式向相关方面宣传。</w:t>
      </w:r>
    </w:p>
    <w:p w14:paraId="73C8EF73">
      <w:pPr>
        <w:spacing w:line="480" w:lineRule="exact"/>
        <w:ind w:firstLine="480" w:firstLineChars="200"/>
        <w:rPr>
          <w:rFonts w:ascii="Times New Roman"/>
          <w:color w:val="000000"/>
          <w:szCs w:val="24"/>
        </w:rPr>
      </w:pPr>
      <w:r>
        <w:rPr>
          <w:rFonts w:ascii="Times New Roman"/>
          <w:color w:val="000000"/>
          <w:szCs w:val="24"/>
        </w:rPr>
        <w:t>②负责获取、更新使用于本企业的与环境相关的法律、法规，负责把适用的法律、法规发放到相关部门。</w:t>
      </w:r>
    </w:p>
    <w:p w14:paraId="24447DBB">
      <w:pPr>
        <w:spacing w:line="480" w:lineRule="exact"/>
        <w:ind w:firstLine="480" w:firstLineChars="200"/>
        <w:rPr>
          <w:rFonts w:ascii="Times New Roman"/>
          <w:color w:val="000000"/>
          <w:szCs w:val="24"/>
        </w:rPr>
      </w:pPr>
      <w:r>
        <w:rPr>
          <w:rFonts w:ascii="Times New Roman"/>
          <w:color w:val="000000"/>
          <w:szCs w:val="24"/>
        </w:rPr>
        <w:t>③协助各车间制定车间的环保规划，并协调和监督各单位具体实施。</w:t>
      </w:r>
    </w:p>
    <w:p w14:paraId="503763D5">
      <w:pPr>
        <w:spacing w:line="480" w:lineRule="exact"/>
        <w:ind w:firstLine="480" w:firstLineChars="200"/>
        <w:rPr>
          <w:rFonts w:ascii="Times New Roman"/>
          <w:color w:val="000000"/>
          <w:szCs w:val="24"/>
        </w:rPr>
      </w:pPr>
      <w:r>
        <w:rPr>
          <w:rFonts w:ascii="Times New Roman"/>
          <w:color w:val="000000"/>
          <w:szCs w:val="24"/>
        </w:rPr>
        <w:t>④负责制定和实施公司的年度环保培训计划。</w:t>
      </w:r>
    </w:p>
    <w:p w14:paraId="2116B017">
      <w:pPr>
        <w:spacing w:line="480" w:lineRule="exact"/>
        <w:ind w:firstLine="480" w:firstLineChars="200"/>
        <w:rPr>
          <w:rFonts w:ascii="Times New Roman"/>
          <w:color w:val="000000"/>
          <w:szCs w:val="24"/>
        </w:rPr>
      </w:pPr>
      <w:r>
        <w:rPr>
          <w:rFonts w:ascii="Times New Roman"/>
          <w:color w:val="000000"/>
          <w:szCs w:val="24"/>
        </w:rPr>
        <w:t>⑤负责公司内外部的环境工作信息交流。</w:t>
      </w:r>
    </w:p>
    <w:p w14:paraId="0D3B7689">
      <w:pPr>
        <w:spacing w:line="480" w:lineRule="exact"/>
        <w:ind w:firstLine="480" w:firstLineChars="200"/>
        <w:rPr>
          <w:rFonts w:ascii="Times New Roman"/>
          <w:color w:val="000000"/>
          <w:szCs w:val="24"/>
        </w:rPr>
      </w:pPr>
      <w:r>
        <w:rPr>
          <w:rFonts w:ascii="Times New Roman"/>
          <w:color w:val="000000"/>
          <w:szCs w:val="24"/>
        </w:rPr>
        <w:t>⑥监督检查各部门环保设施的运行管理，尤其是了解</w:t>
      </w:r>
      <w:r>
        <w:rPr>
          <w:rFonts w:hint="eastAsia" w:ascii="Times New Roman"/>
          <w:color w:val="000000"/>
          <w:szCs w:val="24"/>
        </w:rPr>
        <w:t>脱硝</w:t>
      </w:r>
      <w:r>
        <w:rPr>
          <w:rFonts w:ascii="Times New Roman"/>
          <w:color w:val="000000"/>
          <w:szCs w:val="24"/>
        </w:rPr>
        <w:t>除尘装置、污水处理等设备的运行状况以及噪声污染防治措施的落实情况。</w:t>
      </w:r>
    </w:p>
    <w:p w14:paraId="7709E2BC">
      <w:pPr>
        <w:spacing w:line="480" w:lineRule="exact"/>
        <w:ind w:firstLine="480" w:firstLineChars="200"/>
        <w:rPr>
          <w:rFonts w:ascii="Times New Roman"/>
          <w:color w:val="000000"/>
          <w:szCs w:val="24"/>
        </w:rPr>
      </w:pPr>
      <w:r>
        <w:rPr>
          <w:rFonts w:ascii="Times New Roman"/>
          <w:color w:val="000000"/>
          <w:szCs w:val="24"/>
        </w:rPr>
        <w:t>⑦负责对拟建项目环保工程及其“三同时”执行情况进行环境监测、数据分析、验收评估。</w:t>
      </w:r>
    </w:p>
    <w:p w14:paraId="06DE70C0">
      <w:pPr>
        <w:spacing w:line="480" w:lineRule="exact"/>
        <w:ind w:firstLine="480" w:firstLineChars="200"/>
        <w:rPr>
          <w:rFonts w:ascii="Times New Roman"/>
          <w:color w:val="000000"/>
          <w:szCs w:val="24"/>
        </w:rPr>
      </w:pPr>
      <w:r>
        <w:rPr>
          <w:rFonts w:ascii="Times New Roman"/>
          <w:color w:val="000000"/>
          <w:szCs w:val="24"/>
        </w:rPr>
        <w:t>⑧负责应急计划的监督、检查；负责应急事故的协调处理；指导各单位对环保设施的管理；指导各单位应急与预防工作；对公司范围内重点危险区域部署监控措施。</w:t>
      </w:r>
    </w:p>
    <w:p w14:paraId="5B224379">
      <w:pPr>
        <w:spacing w:line="480" w:lineRule="exact"/>
        <w:ind w:firstLine="480" w:firstLineChars="200"/>
        <w:rPr>
          <w:rFonts w:ascii="Times New Roman"/>
          <w:color w:val="000000"/>
          <w:szCs w:val="24"/>
        </w:rPr>
      </w:pPr>
      <w:r>
        <w:rPr>
          <w:rFonts w:ascii="Times New Roman"/>
          <w:color w:val="000000"/>
          <w:szCs w:val="24"/>
        </w:rPr>
        <w:t>⑨负责公司环境监测技术数据统计管理、环保管理工作的监督和检查。组织实施全公司环境年度评审工作。负责公司的环境教育、培训、宣传，让环境意识深入职工心中。</w:t>
      </w:r>
    </w:p>
    <w:p w14:paraId="0CEEA089">
      <w:pPr>
        <w:spacing w:line="480" w:lineRule="exact"/>
        <w:ind w:firstLine="480"/>
        <w:rPr>
          <w:rFonts w:ascii="Times New Roman"/>
          <w:color w:val="000000"/>
          <w:szCs w:val="24"/>
        </w:rPr>
      </w:pPr>
      <w:r>
        <w:rPr>
          <w:rFonts w:ascii="Times New Roman"/>
          <w:color w:val="000000"/>
          <w:szCs w:val="24"/>
        </w:rPr>
        <w:t>（9）应急制度</w:t>
      </w:r>
    </w:p>
    <w:p w14:paraId="1D94E7EA">
      <w:pPr>
        <w:spacing w:line="480" w:lineRule="exact"/>
        <w:ind w:firstLine="480"/>
        <w:rPr>
          <w:rFonts w:ascii="Times New Roman"/>
          <w:color w:val="000000"/>
          <w:szCs w:val="24"/>
        </w:rPr>
      </w:pPr>
      <w:r>
        <w:rPr>
          <w:rFonts w:ascii="Times New Roman"/>
          <w:color w:val="000000"/>
          <w:szCs w:val="24"/>
        </w:rPr>
        <w:t>建设单位应当在本项目验收之前按规范编制“突发环境事件应急预案”报生态环境主管部门进行备案。针对工程的特点以及可能出现的风险，首先需要采取有针对性的预防措施，避免环境风险事故发生。各种预防措施必须建立责任制，落实到部门（单位）和个人。一旦发生环境污染事故，按应急预案采取措施，控制污染源，使污染程度和范围减至最小。</w:t>
      </w:r>
    </w:p>
    <w:p w14:paraId="459A9456">
      <w:pPr>
        <w:spacing w:line="480" w:lineRule="exact"/>
        <w:ind w:firstLine="480"/>
        <w:rPr>
          <w:rFonts w:ascii="Times New Roman"/>
          <w:color w:val="000000"/>
          <w:szCs w:val="24"/>
        </w:rPr>
      </w:pPr>
      <w:r>
        <w:rPr>
          <w:rFonts w:ascii="Times New Roman"/>
          <w:color w:val="000000"/>
          <w:szCs w:val="24"/>
        </w:rPr>
        <w:t>（10）建立环境管理体系，进行ISO14000认证</w:t>
      </w:r>
    </w:p>
    <w:p w14:paraId="5E0D3B0F">
      <w:pPr>
        <w:spacing w:line="480" w:lineRule="exact"/>
        <w:ind w:firstLine="480"/>
        <w:rPr>
          <w:rFonts w:ascii="Times New Roman"/>
          <w:color w:val="000000"/>
          <w:szCs w:val="24"/>
        </w:rPr>
      </w:pPr>
      <w:r>
        <w:rPr>
          <w:rFonts w:ascii="Times New Roman"/>
          <w:color w:val="000000"/>
          <w:szCs w:val="24"/>
        </w:rPr>
        <w:t>项目建成后，为使环境管理制度更完善</w:t>
      </w:r>
      <w:r>
        <w:rPr>
          <w:rFonts w:hint="eastAsia" w:ascii="Times New Roman"/>
          <w:color w:val="000000"/>
          <w:szCs w:val="24"/>
        </w:rPr>
        <w:t>、</w:t>
      </w:r>
      <w:r>
        <w:rPr>
          <w:rFonts w:ascii="Times New Roman"/>
          <w:color w:val="000000"/>
          <w:szCs w:val="24"/>
        </w:rPr>
        <w:t>有效，建议按ISO14001要求建立、实施和保持环境管理体系，确保公司产品、活动、服务全过程满足相关方和法律、法规的要求，从而对环境保护作出更大贡献。</w:t>
      </w:r>
    </w:p>
    <w:p w14:paraId="01B72D39">
      <w:pPr>
        <w:pStyle w:val="7"/>
        <w:spacing w:line="480" w:lineRule="exact"/>
      </w:pPr>
      <w:r>
        <w:rPr>
          <w:rFonts w:hint="eastAsia"/>
        </w:rPr>
        <w:t>8.2.2 环境监测计划</w:t>
      </w:r>
    </w:p>
    <w:p w14:paraId="2012A795">
      <w:pPr>
        <w:spacing w:line="480" w:lineRule="exact"/>
        <w:ind w:firstLine="480"/>
        <w:rPr>
          <w:rFonts w:ascii="Times New Roman"/>
          <w:color w:val="000000"/>
          <w:szCs w:val="24"/>
        </w:rPr>
      </w:pPr>
      <w:r>
        <w:rPr>
          <w:rFonts w:ascii="Times New Roman"/>
          <w:color w:val="000000"/>
          <w:szCs w:val="24"/>
        </w:rPr>
        <w:t>本项目产生的主要污染物有：</w:t>
      </w:r>
      <w:r>
        <w:rPr>
          <w:rFonts w:hint="eastAsia" w:ascii="Times New Roman"/>
          <w:color w:val="000000"/>
          <w:szCs w:val="24"/>
        </w:rPr>
        <w:t>养殖</w:t>
      </w:r>
      <w:r>
        <w:rPr>
          <w:rFonts w:ascii="Times New Roman"/>
          <w:color w:val="000000"/>
          <w:szCs w:val="24"/>
        </w:rPr>
        <w:t>废水和生活污水、废气和动力设备噪声等。</w:t>
      </w:r>
    </w:p>
    <w:p w14:paraId="0574D7B7">
      <w:pPr>
        <w:spacing w:line="480" w:lineRule="exact"/>
        <w:ind w:firstLine="480"/>
        <w:rPr>
          <w:rFonts w:ascii="Times New Roman"/>
          <w:color w:val="000000"/>
          <w:szCs w:val="24"/>
        </w:rPr>
      </w:pPr>
      <w:r>
        <w:rPr>
          <w:rFonts w:ascii="Times New Roman"/>
          <w:color w:val="000000"/>
          <w:szCs w:val="24"/>
        </w:rPr>
        <w:t>环境保护工作的关键是废水、废气的处理以及噪声的控制。为检查落实国家和地方的各项环保法规、标准的执行情况，公司应建立环境监测室，负责对废水、废气和噪声等常规监测项目的监测和对环保设施的运行情况进行监控，将监测结果与生产情况作对照分析；对</w:t>
      </w:r>
      <w:r>
        <w:rPr>
          <w:rFonts w:hint="eastAsia" w:ascii="Times New Roman"/>
          <w:color w:val="000000"/>
          <w:szCs w:val="24"/>
        </w:rPr>
        <w:t>厂区</w:t>
      </w:r>
      <w:r>
        <w:rPr>
          <w:rFonts w:ascii="Times New Roman"/>
          <w:color w:val="000000"/>
          <w:szCs w:val="24"/>
        </w:rPr>
        <w:t>的废水、废气、噪声排放情况委托有资质的环境监测单位定期监测，为环境管理提供依据。</w:t>
      </w:r>
    </w:p>
    <w:p w14:paraId="04976577">
      <w:pPr>
        <w:pStyle w:val="8"/>
        <w:spacing w:line="480" w:lineRule="exact"/>
      </w:pPr>
      <w:r>
        <w:rPr>
          <w:rFonts w:hint="eastAsia"/>
        </w:rPr>
        <w:t>8.2.2.1污染源监测</w:t>
      </w:r>
    </w:p>
    <w:p w14:paraId="59AAB755">
      <w:pPr>
        <w:pStyle w:val="8"/>
        <w:spacing w:line="480" w:lineRule="exact"/>
      </w:pPr>
      <w:r>
        <w:rPr>
          <w:rFonts w:hint="eastAsia"/>
        </w:rPr>
        <w:t>8.2.2.1.1正常生产运行时排污监测</w:t>
      </w:r>
    </w:p>
    <w:p w14:paraId="4083AF71">
      <w:pPr>
        <w:pStyle w:val="2"/>
        <w:spacing w:after="0" w:line="480" w:lineRule="exact"/>
        <w:ind w:firstLine="480" w:firstLineChars="200"/>
        <w:rPr>
          <w:rFonts w:ascii="Times New Roman" w:hAnsi="Times New Roman" w:cs="Times New Roman" w:eastAsiaTheme="minorEastAsia"/>
          <w:kern w:val="2"/>
          <w:sz w:val="24"/>
          <w:lang w:val="en-US" w:bidi="ar-SA"/>
        </w:rPr>
      </w:pPr>
      <w:r>
        <w:rPr>
          <w:rFonts w:ascii="Times New Roman" w:hAnsi="Times New Roman" w:cs="Times New Roman" w:eastAsiaTheme="minorEastAsia"/>
          <w:kern w:val="2"/>
          <w:sz w:val="24"/>
          <w:szCs w:val="24"/>
          <w:lang w:val="en-US" w:bidi="ar-SA"/>
        </w:rPr>
        <w:t>依据</w:t>
      </w:r>
      <w:r>
        <w:rPr>
          <w:rFonts w:ascii="Times New Roman" w:hAnsi="Times New Roman" w:cs="Times New Roman"/>
          <w:sz w:val="24"/>
          <w:szCs w:val="24"/>
        </w:rPr>
        <w:t>《排污单位自行监测技术指南 畜禽养殖行业》（HJ 1252-2022）</w:t>
      </w:r>
      <w:r>
        <w:rPr>
          <w:rFonts w:ascii="Times New Roman" w:hAnsi="Times New Roman" w:cs="Times New Roman"/>
        </w:rPr>
        <w:t>、</w:t>
      </w:r>
      <w:r>
        <w:rPr>
          <w:rFonts w:ascii="Times New Roman" w:hAnsi="Times New Roman" w:cs="Times New Roman" w:eastAsiaTheme="minorEastAsia"/>
          <w:kern w:val="2"/>
          <w:sz w:val="24"/>
          <w:lang w:val="en-US" w:bidi="ar-SA"/>
        </w:rPr>
        <w:t>《排污单位自行监测技术指南 总则》（HJ819-2017）等相关要求、各环境要素采样及监测的技术要求等，所列环境监测计划详见表8.2-1。</w:t>
      </w:r>
    </w:p>
    <w:p w14:paraId="48BA0C76">
      <w:pPr>
        <w:pStyle w:val="2"/>
        <w:spacing w:after="0" w:line="480" w:lineRule="exact"/>
        <w:jc w:val="center"/>
        <w:rPr>
          <w:rFonts w:ascii="Times New Roman" w:hAnsi="Times New Roman"/>
          <w:b/>
          <w:bCs/>
          <w:color w:val="000000"/>
          <w:sz w:val="21"/>
          <w:szCs w:val="21"/>
        </w:rPr>
        <w:sectPr>
          <w:pgSz w:w="11906" w:h="16838"/>
          <w:pgMar w:top="1417" w:right="1417" w:bottom="1417" w:left="1417" w:header="850" w:footer="850" w:gutter="0"/>
          <w:pgNumType w:fmt="decimal"/>
          <w:cols w:space="425" w:num="1"/>
          <w:docGrid w:type="lines" w:linePitch="326" w:charSpace="0"/>
        </w:sectPr>
      </w:pPr>
    </w:p>
    <w:p w14:paraId="1695C43A">
      <w:pPr>
        <w:pStyle w:val="2"/>
        <w:spacing w:after="0" w:line="500" w:lineRule="exact"/>
        <w:jc w:val="center"/>
        <w:rPr>
          <w:rFonts w:ascii="Times New Roman" w:hAnsi="Times New Roman"/>
          <w:b/>
          <w:bCs/>
          <w:color w:val="000000"/>
          <w:sz w:val="24"/>
          <w:szCs w:val="24"/>
        </w:rPr>
      </w:pPr>
      <w:r>
        <w:rPr>
          <w:rFonts w:ascii="Times New Roman" w:hAnsi="Times New Roman"/>
          <w:b/>
          <w:bCs/>
          <w:color w:val="000000"/>
          <w:sz w:val="24"/>
          <w:szCs w:val="24"/>
        </w:rPr>
        <w:t>表8.2-1 本项目正常生产运行时期污染源监测计划一览</w:t>
      </w:r>
      <w:r>
        <w:rPr>
          <w:rFonts w:hint="eastAsia" w:ascii="Times New Roman" w:hAnsi="Times New Roman"/>
          <w:b/>
          <w:bCs/>
          <w:color w:val="000000"/>
          <w:sz w:val="24"/>
          <w:szCs w:val="24"/>
        </w:rPr>
        <w:t>表</w:t>
      </w:r>
    </w:p>
    <w:tbl>
      <w:tblPr>
        <w:tblStyle w:val="4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3025"/>
        <w:gridCol w:w="905"/>
        <w:gridCol w:w="1958"/>
        <w:gridCol w:w="1338"/>
        <w:gridCol w:w="3654"/>
        <w:gridCol w:w="2684"/>
      </w:tblGrid>
      <w:tr w14:paraId="44B867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Align w:val="center"/>
          </w:tcPr>
          <w:p w14:paraId="09CE2F4F">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类别</w:t>
            </w:r>
          </w:p>
        </w:tc>
        <w:tc>
          <w:tcPr>
            <w:tcW w:w="1063" w:type="pct"/>
            <w:vAlign w:val="center"/>
          </w:tcPr>
          <w:p w14:paraId="5014A9D6">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监测点位</w:t>
            </w:r>
          </w:p>
        </w:tc>
        <w:tc>
          <w:tcPr>
            <w:tcW w:w="318" w:type="pct"/>
            <w:vAlign w:val="center"/>
          </w:tcPr>
          <w:p w14:paraId="35D33424">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监控点</w:t>
            </w:r>
          </w:p>
        </w:tc>
        <w:tc>
          <w:tcPr>
            <w:tcW w:w="688" w:type="pct"/>
            <w:vAlign w:val="center"/>
          </w:tcPr>
          <w:p w14:paraId="226AE201">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监测指标</w:t>
            </w:r>
          </w:p>
        </w:tc>
        <w:tc>
          <w:tcPr>
            <w:tcW w:w="470" w:type="pct"/>
            <w:vAlign w:val="center"/>
          </w:tcPr>
          <w:p w14:paraId="55CDFCBB">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监测频次</w:t>
            </w:r>
          </w:p>
        </w:tc>
        <w:tc>
          <w:tcPr>
            <w:tcW w:w="1284" w:type="pct"/>
            <w:vAlign w:val="center"/>
          </w:tcPr>
          <w:p w14:paraId="2C44DA83">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执行排放标准</w:t>
            </w:r>
          </w:p>
        </w:tc>
        <w:tc>
          <w:tcPr>
            <w:tcW w:w="943" w:type="pct"/>
            <w:vAlign w:val="center"/>
          </w:tcPr>
          <w:p w14:paraId="3E0EA3EA">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监测方案标准</w:t>
            </w:r>
          </w:p>
        </w:tc>
      </w:tr>
      <w:tr w14:paraId="25250F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Align w:val="center"/>
          </w:tcPr>
          <w:p w14:paraId="7FA1C86A">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有组织废气</w:t>
            </w:r>
          </w:p>
        </w:tc>
        <w:tc>
          <w:tcPr>
            <w:tcW w:w="1063" w:type="pct"/>
            <w:vAlign w:val="center"/>
          </w:tcPr>
          <w:p w14:paraId="13DE2592">
            <w:pPr>
              <w:pStyle w:val="89"/>
              <w:rPr>
                <w:rFonts w:ascii="Times New Roman" w:hAnsi="Times New Roman" w:eastAsia="宋体" w:cs="Times New Roman"/>
                <w:sz w:val="21"/>
                <w:szCs w:val="21"/>
              </w:rPr>
            </w:pPr>
            <w:r>
              <w:rPr>
                <w:rFonts w:hint="eastAsia" w:ascii="Times New Roman" w:hAnsi="Times New Roman" w:eastAsia="宋体" w:cs="Times New Roman"/>
                <w:sz w:val="21"/>
                <w:szCs w:val="21"/>
              </w:rPr>
              <w:t>鸡粪暂存库与污水处理站</w:t>
            </w:r>
            <w:r>
              <w:rPr>
                <w:rFonts w:ascii="Times New Roman" w:hAnsi="Times New Roman" w:eastAsia="宋体" w:cs="Times New Roman"/>
                <w:sz w:val="21"/>
                <w:szCs w:val="21"/>
              </w:rPr>
              <w:t>废气排放口（DA001）</w:t>
            </w:r>
          </w:p>
        </w:tc>
        <w:tc>
          <w:tcPr>
            <w:tcW w:w="318" w:type="pct"/>
            <w:vAlign w:val="center"/>
          </w:tcPr>
          <w:p w14:paraId="55CE4400">
            <w:pPr>
              <w:pStyle w:val="89"/>
              <w:rPr>
                <w:rFonts w:ascii="Times New Roman" w:hAnsi="Times New Roman" w:eastAsia="宋体" w:cs="Times New Roman"/>
                <w:color w:val="000000"/>
                <w:sz w:val="21"/>
                <w:szCs w:val="21"/>
              </w:rPr>
            </w:pPr>
          </w:p>
        </w:tc>
        <w:tc>
          <w:tcPr>
            <w:tcW w:w="688" w:type="pct"/>
            <w:vAlign w:val="center"/>
          </w:tcPr>
          <w:p w14:paraId="677968AF">
            <w:pPr>
              <w:pStyle w:val="89"/>
              <w:rPr>
                <w:rFonts w:ascii="Times New Roman" w:hAnsi="Times New Roman" w:eastAsia="宋体" w:cs="Times New Roman"/>
                <w:color w:val="000000"/>
                <w:sz w:val="21"/>
                <w:szCs w:val="21"/>
              </w:rPr>
            </w:pPr>
          </w:p>
        </w:tc>
        <w:tc>
          <w:tcPr>
            <w:tcW w:w="470" w:type="pct"/>
            <w:vAlign w:val="center"/>
          </w:tcPr>
          <w:p w14:paraId="7348DDA2">
            <w:pPr>
              <w:pStyle w:val="89"/>
              <w:rPr>
                <w:rFonts w:ascii="Times New Roman" w:hAnsi="Times New Roman" w:eastAsia="宋体" w:cs="Times New Roman"/>
                <w:color w:val="000000"/>
                <w:sz w:val="21"/>
                <w:szCs w:val="21"/>
              </w:rPr>
            </w:pPr>
          </w:p>
        </w:tc>
        <w:tc>
          <w:tcPr>
            <w:tcW w:w="1284" w:type="pct"/>
            <w:vAlign w:val="center"/>
          </w:tcPr>
          <w:p w14:paraId="1EAE525D">
            <w:pPr>
              <w:pStyle w:val="89"/>
              <w:spacing w:line="260" w:lineRule="exact"/>
              <w:rPr>
                <w:rFonts w:ascii="Times New Roman" w:hAnsi="Times New Roman" w:eastAsia="宋体" w:cs="Times New Roman"/>
                <w:color w:val="000000"/>
                <w:sz w:val="21"/>
                <w:szCs w:val="21"/>
              </w:rPr>
            </w:pPr>
          </w:p>
        </w:tc>
        <w:tc>
          <w:tcPr>
            <w:tcW w:w="943" w:type="pct"/>
            <w:vAlign w:val="center"/>
          </w:tcPr>
          <w:p w14:paraId="3FE34B4C">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《排污单位自行监测技术指南 总则》（HJ819-2017）</w:t>
            </w:r>
          </w:p>
        </w:tc>
      </w:tr>
      <w:tr w14:paraId="01D243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Align w:val="center"/>
          </w:tcPr>
          <w:p w14:paraId="4872FB34">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无组织废气</w:t>
            </w:r>
          </w:p>
        </w:tc>
        <w:tc>
          <w:tcPr>
            <w:tcW w:w="1063" w:type="pct"/>
            <w:vAlign w:val="center"/>
          </w:tcPr>
          <w:p w14:paraId="514A877C">
            <w:pPr>
              <w:pStyle w:val="89"/>
              <w:spacing w:line="300" w:lineRule="atLeas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厂（周）界监控点</w:t>
            </w:r>
          </w:p>
        </w:tc>
        <w:tc>
          <w:tcPr>
            <w:tcW w:w="318" w:type="pct"/>
            <w:vAlign w:val="center"/>
          </w:tcPr>
          <w:p w14:paraId="1181567C">
            <w:pPr>
              <w:pStyle w:val="89"/>
              <w:spacing w:line="300" w:lineRule="atLeast"/>
              <w:rPr>
                <w:rFonts w:ascii="Times New Roman" w:hAnsi="Times New Roman" w:eastAsia="宋体" w:cs="Times New Roman"/>
                <w:color w:val="000000"/>
                <w:sz w:val="21"/>
                <w:szCs w:val="21"/>
              </w:rPr>
            </w:pPr>
          </w:p>
        </w:tc>
        <w:tc>
          <w:tcPr>
            <w:tcW w:w="688" w:type="pct"/>
            <w:vAlign w:val="center"/>
          </w:tcPr>
          <w:p w14:paraId="383D0442">
            <w:pPr>
              <w:pStyle w:val="89"/>
              <w:spacing w:line="300" w:lineRule="atLeast"/>
              <w:rPr>
                <w:rFonts w:ascii="Times New Roman" w:hAnsi="Times New Roman" w:eastAsia="宋体" w:cs="Times New Roman"/>
                <w:color w:val="000000"/>
                <w:sz w:val="21"/>
                <w:szCs w:val="21"/>
              </w:rPr>
            </w:pPr>
          </w:p>
        </w:tc>
        <w:tc>
          <w:tcPr>
            <w:tcW w:w="470" w:type="pct"/>
            <w:vAlign w:val="center"/>
          </w:tcPr>
          <w:p w14:paraId="21C5B023">
            <w:pPr>
              <w:pStyle w:val="89"/>
              <w:spacing w:line="300" w:lineRule="atLeast"/>
              <w:rPr>
                <w:rFonts w:ascii="Times New Roman" w:hAnsi="Times New Roman" w:eastAsia="宋体" w:cs="Times New Roman"/>
                <w:color w:val="000000"/>
                <w:sz w:val="21"/>
                <w:szCs w:val="21"/>
              </w:rPr>
            </w:pPr>
          </w:p>
        </w:tc>
        <w:tc>
          <w:tcPr>
            <w:tcW w:w="1284" w:type="pct"/>
            <w:vAlign w:val="center"/>
          </w:tcPr>
          <w:p w14:paraId="03FDC0C2">
            <w:pPr>
              <w:pStyle w:val="89"/>
              <w:spacing w:line="300" w:lineRule="atLeast"/>
              <w:rPr>
                <w:rFonts w:ascii="Times New Roman" w:hAnsi="Times New Roman" w:eastAsia="宋体" w:cs="Times New Roman"/>
                <w:color w:val="000000"/>
                <w:sz w:val="21"/>
                <w:szCs w:val="21"/>
              </w:rPr>
            </w:pPr>
          </w:p>
        </w:tc>
        <w:tc>
          <w:tcPr>
            <w:tcW w:w="943" w:type="pct"/>
            <w:vAlign w:val="center"/>
          </w:tcPr>
          <w:p w14:paraId="3C05699A">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《排污单位自行监测技术指南 畜禽养殖行业》（HJ 1252-2022）</w:t>
            </w:r>
          </w:p>
        </w:tc>
      </w:tr>
      <w:tr w14:paraId="275FF8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restart"/>
            <w:vAlign w:val="center"/>
          </w:tcPr>
          <w:p w14:paraId="0376A9B3">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废水</w:t>
            </w:r>
          </w:p>
        </w:tc>
        <w:tc>
          <w:tcPr>
            <w:tcW w:w="1063" w:type="pct"/>
            <w:vAlign w:val="center"/>
          </w:tcPr>
          <w:p w14:paraId="79F8BCEC">
            <w:pPr>
              <w:pStyle w:val="89"/>
              <w:spacing w:line="300" w:lineRule="atLeast"/>
              <w:rPr>
                <w:rFonts w:ascii="Times New Roman" w:hAnsi="Times New Roman" w:eastAsia="宋体" w:cs="Times New Roman"/>
                <w:color w:val="000000"/>
                <w:sz w:val="21"/>
                <w:szCs w:val="21"/>
              </w:rPr>
            </w:pPr>
            <w:r>
              <w:rPr>
                <w:rFonts w:ascii="Times New Roman" w:hAnsi="Times New Roman" w:eastAsia="宋体" w:cs="Times New Roman"/>
                <w:sz w:val="21"/>
              </w:rPr>
              <w:t>尾水池出水口</w:t>
            </w:r>
          </w:p>
        </w:tc>
        <w:tc>
          <w:tcPr>
            <w:tcW w:w="318" w:type="pct"/>
            <w:vAlign w:val="center"/>
          </w:tcPr>
          <w:p w14:paraId="2981AE87">
            <w:pPr>
              <w:pStyle w:val="89"/>
              <w:spacing w:line="300" w:lineRule="atLeast"/>
              <w:rPr>
                <w:rFonts w:ascii="Times New Roman" w:hAnsi="Times New Roman" w:eastAsia="宋体" w:cs="Times New Roman"/>
                <w:color w:val="000000"/>
                <w:sz w:val="21"/>
                <w:szCs w:val="21"/>
              </w:rPr>
            </w:pPr>
          </w:p>
        </w:tc>
        <w:tc>
          <w:tcPr>
            <w:tcW w:w="688" w:type="pct"/>
            <w:vAlign w:val="center"/>
          </w:tcPr>
          <w:p w14:paraId="1FBEEEB9">
            <w:pPr>
              <w:pStyle w:val="89"/>
              <w:spacing w:line="300" w:lineRule="atLeast"/>
              <w:rPr>
                <w:rFonts w:ascii="Times New Roman" w:hAnsi="Times New Roman" w:eastAsia="宋体" w:cs="Times New Roman"/>
                <w:color w:val="000000"/>
                <w:sz w:val="21"/>
                <w:szCs w:val="21"/>
              </w:rPr>
            </w:pPr>
          </w:p>
        </w:tc>
        <w:tc>
          <w:tcPr>
            <w:tcW w:w="470" w:type="pct"/>
            <w:vAlign w:val="center"/>
          </w:tcPr>
          <w:p w14:paraId="6D37B361">
            <w:pPr>
              <w:pStyle w:val="89"/>
              <w:spacing w:line="300" w:lineRule="atLeast"/>
              <w:rPr>
                <w:rFonts w:ascii="Times New Roman" w:hAnsi="Times New Roman" w:eastAsia="宋体" w:cs="Times New Roman"/>
                <w:color w:val="000000"/>
                <w:sz w:val="21"/>
                <w:szCs w:val="21"/>
              </w:rPr>
            </w:pPr>
          </w:p>
        </w:tc>
        <w:tc>
          <w:tcPr>
            <w:tcW w:w="1284" w:type="pct"/>
            <w:vAlign w:val="center"/>
          </w:tcPr>
          <w:p w14:paraId="166BAA04">
            <w:pPr>
              <w:pStyle w:val="89"/>
              <w:spacing w:line="300" w:lineRule="atLeast"/>
              <w:rPr>
                <w:rFonts w:ascii="Times New Roman" w:hAnsi="Times New Roman" w:eastAsia="宋体" w:cs="Times New Roman"/>
                <w:color w:val="000000"/>
                <w:sz w:val="21"/>
                <w:szCs w:val="21"/>
              </w:rPr>
            </w:pPr>
          </w:p>
        </w:tc>
        <w:tc>
          <w:tcPr>
            <w:tcW w:w="943" w:type="pct"/>
            <w:vAlign w:val="center"/>
          </w:tcPr>
          <w:p w14:paraId="59824A9E">
            <w:pPr>
              <w:pStyle w:val="89"/>
              <w:spacing w:line="300" w:lineRule="atLeast"/>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r>
      <w:tr w14:paraId="31CC28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Merge w:val="continue"/>
            <w:vAlign w:val="center"/>
          </w:tcPr>
          <w:p w14:paraId="0AF441EA">
            <w:pPr>
              <w:pStyle w:val="89"/>
              <w:rPr>
                <w:rFonts w:ascii="Times New Roman" w:hAnsi="Times New Roman" w:eastAsia="宋体" w:cs="Times New Roman"/>
                <w:color w:val="000000"/>
                <w:sz w:val="21"/>
                <w:szCs w:val="21"/>
              </w:rPr>
            </w:pPr>
          </w:p>
        </w:tc>
        <w:tc>
          <w:tcPr>
            <w:tcW w:w="1063" w:type="pct"/>
            <w:vAlign w:val="center"/>
          </w:tcPr>
          <w:p w14:paraId="5EB4FEFE">
            <w:pPr>
              <w:pStyle w:val="89"/>
              <w:spacing w:line="300" w:lineRule="atLeast"/>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雨水排放口</w:t>
            </w:r>
          </w:p>
        </w:tc>
        <w:tc>
          <w:tcPr>
            <w:tcW w:w="318" w:type="pct"/>
            <w:vAlign w:val="center"/>
          </w:tcPr>
          <w:p w14:paraId="04733CBD">
            <w:pPr>
              <w:pStyle w:val="89"/>
              <w:spacing w:line="300" w:lineRule="atLeast"/>
              <w:rPr>
                <w:rFonts w:ascii="Times New Roman" w:hAnsi="Times New Roman" w:eastAsia="宋体" w:cs="Times New Roman"/>
                <w:color w:val="000000"/>
                <w:sz w:val="21"/>
                <w:szCs w:val="21"/>
              </w:rPr>
            </w:pPr>
          </w:p>
        </w:tc>
        <w:tc>
          <w:tcPr>
            <w:tcW w:w="688" w:type="pct"/>
            <w:vAlign w:val="center"/>
          </w:tcPr>
          <w:p w14:paraId="26A437CA">
            <w:pPr>
              <w:pStyle w:val="89"/>
              <w:spacing w:line="300" w:lineRule="atLeast"/>
              <w:rPr>
                <w:rFonts w:ascii="Times New Roman" w:hAnsi="Times New Roman" w:eastAsia="宋体" w:cs="Times New Roman"/>
                <w:color w:val="000000"/>
                <w:sz w:val="21"/>
                <w:szCs w:val="21"/>
              </w:rPr>
            </w:pPr>
          </w:p>
        </w:tc>
        <w:tc>
          <w:tcPr>
            <w:tcW w:w="470" w:type="pct"/>
            <w:vAlign w:val="center"/>
          </w:tcPr>
          <w:p w14:paraId="06DD5E79">
            <w:pPr>
              <w:pStyle w:val="89"/>
              <w:spacing w:line="300" w:lineRule="atLeast"/>
              <w:rPr>
                <w:rFonts w:ascii="Times New Roman" w:hAnsi="Times New Roman" w:eastAsia="宋体" w:cs="Times New Roman"/>
                <w:color w:val="000000"/>
                <w:sz w:val="21"/>
                <w:szCs w:val="21"/>
              </w:rPr>
            </w:pPr>
          </w:p>
        </w:tc>
        <w:tc>
          <w:tcPr>
            <w:tcW w:w="1284" w:type="pct"/>
            <w:vAlign w:val="center"/>
          </w:tcPr>
          <w:p w14:paraId="59D1CEF1">
            <w:pPr>
              <w:pStyle w:val="89"/>
              <w:spacing w:line="300" w:lineRule="atLeast"/>
              <w:rPr>
                <w:rFonts w:ascii="Times New Roman" w:hAnsi="Times New Roman" w:eastAsia="宋体" w:cs="Times New Roman"/>
                <w:color w:val="000000"/>
                <w:sz w:val="21"/>
                <w:szCs w:val="21"/>
              </w:rPr>
            </w:pPr>
          </w:p>
        </w:tc>
        <w:tc>
          <w:tcPr>
            <w:tcW w:w="943" w:type="pct"/>
            <w:vAlign w:val="center"/>
          </w:tcPr>
          <w:p w14:paraId="766FCC17">
            <w:pPr>
              <w:pStyle w:val="89"/>
              <w:spacing w:line="300" w:lineRule="atLeast"/>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w:t>
            </w:r>
          </w:p>
        </w:tc>
      </w:tr>
      <w:tr w14:paraId="538404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 w:type="pct"/>
            <w:vAlign w:val="center"/>
          </w:tcPr>
          <w:p w14:paraId="7E8DCA85">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噪声</w:t>
            </w:r>
          </w:p>
        </w:tc>
        <w:tc>
          <w:tcPr>
            <w:tcW w:w="1063" w:type="pct"/>
            <w:vAlign w:val="center"/>
          </w:tcPr>
          <w:p w14:paraId="61D19C31">
            <w:pPr>
              <w:pStyle w:val="89"/>
              <w:spacing w:line="300" w:lineRule="atLeas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厂界外1m、高于围墙0.5m以上的位置</w:t>
            </w:r>
          </w:p>
        </w:tc>
        <w:tc>
          <w:tcPr>
            <w:tcW w:w="318" w:type="pct"/>
            <w:vAlign w:val="center"/>
          </w:tcPr>
          <w:p w14:paraId="200E4773">
            <w:pPr>
              <w:pStyle w:val="89"/>
              <w:spacing w:line="300" w:lineRule="atLeast"/>
              <w:rPr>
                <w:rFonts w:ascii="Times New Roman" w:hAnsi="Times New Roman" w:eastAsia="宋体" w:cs="Times New Roman"/>
                <w:color w:val="000000"/>
                <w:sz w:val="21"/>
                <w:szCs w:val="21"/>
              </w:rPr>
            </w:pPr>
          </w:p>
        </w:tc>
        <w:tc>
          <w:tcPr>
            <w:tcW w:w="688" w:type="pct"/>
            <w:vAlign w:val="center"/>
          </w:tcPr>
          <w:p w14:paraId="0BA01FD5">
            <w:pPr>
              <w:pStyle w:val="89"/>
              <w:spacing w:line="300" w:lineRule="atLeast"/>
              <w:rPr>
                <w:rFonts w:ascii="Times New Roman" w:hAnsi="Times New Roman" w:eastAsia="宋体" w:cs="Times New Roman"/>
                <w:color w:val="000000"/>
                <w:sz w:val="21"/>
                <w:szCs w:val="21"/>
              </w:rPr>
            </w:pPr>
          </w:p>
        </w:tc>
        <w:tc>
          <w:tcPr>
            <w:tcW w:w="470" w:type="pct"/>
            <w:vAlign w:val="center"/>
          </w:tcPr>
          <w:p w14:paraId="4BB65674">
            <w:pPr>
              <w:pStyle w:val="89"/>
              <w:spacing w:line="300" w:lineRule="atLeast"/>
              <w:rPr>
                <w:rFonts w:ascii="Times New Roman" w:hAnsi="Times New Roman" w:eastAsia="宋体" w:cs="Times New Roman"/>
                <w:color w:val="000000"/>
                <w:sz w:val="21"/>
                <w:szCs w:val="21"/>
              </w:rPr>
            </w:pPr>
          </w:p>
        </w:tc>
        <w:tc>
          <w:tcPr>
            <w:tcW w:w="1284" w:type="pct"/>
            <w:vAlign w:val="center"/>
          </w:tcPr>
          <w:p w14:paraId="0A46CE37">
            <w:pPr>
              <w:pStyle w:val="89"/>
              <w:spacing w:line="300" w:lineRule="atLeast"/>
              <w:rPr>
                <w:rFonts w:ascii="Times New Roman" w:hAnsi="Times New Roman" w:eastAsia="宋体" w:cs="Times New Roman"/>
                <w:color w:val="000000"/>
                <w:sz w:val="21"/>
                <w:szCs w:val="21"/>
              </w:rPr>
            </w:pPr>
          </w:p>
        </w:tc>
        <w:tc>
          <w:tcPr>
            <w:tcW w:w="943" w:type="pct"/>
            <w:vAlign w:val="center"/>
          </w:tcPr>
          <w:p w14:paraId="0C11F0D5">
            <w:pPr>
              <w:pStyle w:val="89"/>
              <w:spacing w:line="300" w:lineRule="atLeas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《排污单位自行监测技术指南 畜禽养殖行业》（HJ 1252-2022）</w:t>
            </w:r>
          </w:p>
        </w:tc>
      </w:tr>
    </w:tbl>
    <w:p w14:paraId="6F40E1FD"/>
    <w:p w14:paraId="7F0B86AB">
      <w:pPr>
        <w:sectPr>
          <w:pgSz w:w="16838" w:h="11906" w:orient="landscape"/>
          <w:pgMar w:top="1417" w:right="1417" w:bottom="1417" w:left="1417" w:header="850" w:footer="850" w:gutter="0"/>
          <w:pgNumType w:fmt="decimal"/>
          <w:cols w:space="425" w:num="1"/>
          <w:docGrid w:type="lines" w:linePitch="326" w:charSpace="0"/>
        </w:sectPr>
      </w:pPr>
    </w:p>
    <w:p w14:paraId="7389626B">
      <w:pPr>
        <w:pStyle w:val="8"/>
        <w:spacing w:line="480" w:lineRule="exact"/>
      </w:pPr>
      <w:r>
        <w:rPr>
          <w:rFonts w:hint="eastAsia"/>
        </w:rPr>
        <w:t>8.2.2.1.2污染事故状态下监测</w:t>
      </w:r>
    </w:p>
    <w:p w14:paraId="59676DB1">
      <w:pPr>
        <w:spacing w:line="480" w:lineRule="exact"/>
        <w:ind w:firstLine="480"/>
        <w:rPr>
          <w:rFonts w:ascii="Times New Roman"/>
          <w:color w:val="000000"/>
          <w:szCs w:val="24"/>
        </w:rPr>
      </w:pPr>
      <w:r>
        <w:rPr>
          <w:rFonts w:ascii="Times New Roman"/>
          <w:color w:val="000000"/>
          <w:szCs w:val="24"/>
        </w:rPr>
        <w:t>当发生较大及以上污染事故时，为及时有效的了解本企业事故对外界环境的影响，便于上级部门的指挥和调度，公司需委托</w:t>
      </w:r>
      <w:r>
        <w:rPr>
          <w:rFonts w:hint="eastAsia" w:ascii="Times New Roman"/>
          <w:color w:val="000000"/>
          <w:szCs w:val="24"/>
        </w:rPr>
        <w:t>宿迁泗阳环境监测站</w:t>
      </w:r>
      <w:r>
        <w:rPr>
          <w:rFonts w:ascii="Times New Roman"/>
          <w:color w:val="000000"/>
          <w:szCs w:val="24"/>
        </w:rPr>
        <w:t>、宿迁市环境监测中心站或第三方检测机构进行环境监测，直至污染消除。</w:t>
      </w:r>
    </w:p>
    <w:p w14:paraId="76884D25">
      <w:pPr>
        <w:spacing w:line="480" w:lineRule="exact"/>
        <w:ind w:firstLine="480"/>
        <w:rPr>
          <w:rFonts w:ascii="Times New Roman"/>
          <w:color w:val="000000"/>
          <w:szCs w:val="24"/>
        </w:rPr>
      </w:pPr>
      <w:r>
        <w:rPr>
          <w:rFonts w:ascii="Times New Roman"/>
          <w:color w:val="000000"/>
          <w:szCs w:val="24"/>
        </w:rPr>
        <w:t>根据事故类型和事故大小，确定监测点布置，从发生事故开始，直至污染影响消除，方可解除监测。</w:t>
      </w:r>
    </w:p>
    <w:p w14:paraId="10358991">
      <w:pPr>
        <w:spacing w:line="480" w:lineRule="exact"/>
        <w:ind w:firstLine="480"/>
        <w:rPr>
          <w:rFonts w:ascii="Times New Roman"/>
          <w:color w:val="000000"/>
          <w:szCs w:val="24"/>
        </w:rPr>
      </w:pPr>
      <w:r>
        <w:rPr>
          <w:rFonts w:ascii="Times New Roman"/>
          <w:color w:val="000000"/>
          <w:szCs w:val="24"/>
        </w:rPr>
        <w:t xml:space="preserve">（1）废水监测 </w:t>
      </w:r>
    </w:p>
    <w:p w14:paraId="6D895063">
      <w:pPr>
        <w:spacing w:line="480" w:lineRule="exact"/>
        <w:ind w:firstLine="480"/>
        <w:rPr>
          <w:rFonts w:ascii="Times New Roman"/>
          <w:color w:val="000000"/>
          <w:szCs w:val="24"/>
        </w:rPr>
      </w:pPr>
      <w:r>
        <w:rPr>
          <w:rFonts w:ascii="Times New Roman"/>
          <w:color w:val="000000"/>
          <w:szCs w:val="24"/>
        </w:rPr>
        <w:t>监测点：厂内监测点布设同正常生产时的监测采样点。</w:t>
      </w:r>
    </w:p>
    <w:p w14:paraId="5FE0DF23">
      <w:pPr>
        <w:spacing w:line="480" w:lineRule="exact"/>
        <w:ind w:firstLine="480"/>
        <w:rPr>
          <w:rFonts w:ascii="Times New Roman"/>
          <w:color w:val="000000"/>
          <w:szCs w:val="24"/>
        </w:rPr>
      </w:pPr>
      <w:r>
        <w:rPr>
          <w:rFonts w:ascii="Times New Roman"/>
          <w:color w:val="000000"/>
          <w:szCs w:val="24"/>
        </w:rPr>
        <w:t>监测因子：</w:t>
      </w:r>
      <w:r>
        <w:rPr>
          <w:rFonts w:ascii="Times New Roman" w:hAnsi="Times New Roman" w:eastAsia="宋体" w:cs="Times New Roman"/>
          <w:szCs w:val="24"/>
        </w:rPr>
        <w:t>pH、COD、SS、BOD</w:t>
      </w:r>
      <w:r>
        <w:rPr>
          <w:rFonts w:ascii="Times New Roman" w:hAnsi="Times New Roman" w:eastAsia="宋体" w:cs="Times New Roman"/>
          <w:szCs w:val="24"/>
          <w:vertAlign w:val="subscript"/>
        </w:rPr>
        <w:t>5</w:t>
      </w:r>
      <w:r>
        <w:rPr>
          <w:rFonts w:ascii="Times New Roman" w:hAnsi="Times New Roman" w:eastAsia="宋体" w:cs="Times New Roman"/>
          <w:szCs w:val="24"/>
        </w:rPr>
        <w:t>、粪大肠菌群、氯化物、硫化物、全盐量、总铅、总镉、六价铬、总汞、总砷、蛔虫卵数</w:t>
      </w:r>
      <w:r>
        <w:rPr>
          <w:rFonts w:ascii="Times New Roman"/>
          <w:color w:val="000000"/>
          <w:szCs w:val="24"/>
        </w:rPr>
        <w:t>等。</w:t>
      </w:r>
    </w:p>
    <w:p w14:paraId="404CA587">
      <w:pPr>
        <w:spacing w:line="480" w:lineRule="exact"/>
        <w:ind w:firstLine="480"/>
        <w:rPr>
          <w:rFonts w:ascii="Times New Roman"/>
          <w:color w:val="000000"/>
          <w:szCs w:val="24"/>
        </w:rPr>
      </w:pPr>
      <w:r>
        <w:rPr>
          <w:rFonts w:ascii="Times New Roman"/>
          <w:color w:val="000000"/>
          <w:szCs w:val="24"/>
        </w:rPr>
        <w:t>监测频率：每2h一次。</w:t>
      </w:r>
    </w:p>
    <w:p w14:paraId="31851986">
      <w:pPr>
        <w:spacing w:line="480" w:lineRule="exact"/>
        <w:ind w:firstLine="480"/>
        <w:rPr>
          <w:rFonts w:ascii="Times New Roman"/>
          <w:color w:val="000000"/>
          <w:szCs w:val="24"/>
        </w:rPr>
      </w:pPr>
      <w:r>
        <w:rPr>
          <w:rFonts w:ascii="Times New Roman"/>
          <w:color w:val="000000"/>
          <w:szCs w:val="24"/>
        </w:rPr>
        <w:t xml:space="preserve">（2）废气监测 </w:t>
      </w:r>
    </w:p>
    <w:p w14:paraId="51BA1B73">
      <w:pPr>
        <w:spacing w:line="480" w:lineRule="exact"/>
        <w:ind w:firstLine="480"/>
        <w:rPr>
          <w:rFonts w:ascii="Times New Roman"/>
          <w:color w:val="000000"/>
          <w:szCs w:val="24"/>
        </w:rPr>
      </w:pPr>
      <w:r>
        <w:rPr>
          <w:rFonts w:hint="eastAsia" w:ascii="Times New Roman"/>
          <w:color w:val="000000"/>
          <w:szCs w:val="24"/>
        </w:rPr>
        <w:t>火灾事故</w:t>
      </w:r>
      <w:r>
        <w:rPr>
          <w:rFonts w:ascii="Times New Roman"/>
          <w:color w:val="000000"/>
          <w:szCs w:val="24"/>
        </w:rPr>
        <w:t>：监测因子根据事故具体情况确定。下风向布设2～5个监测点，1～2个位于项目厂界外10m处，下风向200m、500m、1000m处各设1个监测点，连续监测2d，每天4次，必要时可增加监测频次。周边居民区等处可视具体风向确定点位。</w:t>
      </w:r>
    </w:p>
    <w:p w14:paraId="6C375081">
      <w:pPr>
        <w:spacing w:line="480" w:lineRule="exact"/>
        <w:ind w:firstLine="480"/>
        <w:rPr>
          <w:rFonts w:ascii="Times New Roman"/>
          <w:color w:val="000000"/>
          <w:szCs w:val="24"/>
        </w:rPr>
      </w:pPr>
      <w:r>
        <w:rPr>
          <w:rFonts w:ascii="Times New Roman"/>
          <w:color w:val="000000"/>
          <w:szCs w:val="24"/>
        </w:rPr>
        <w:t>废气处理设施非正常排放状况：监测因子根据事故具体情况确定。下风向布设2～5个监测点，若当天风速较大（≥1.5m/s），则考虑在下风向200m、500m、1000m处各设1个监测点，连续监测2d，每天4次；若当天风速较小（＜1.5m/s），则考虑在厂区内及下风向150m、500m处各设1个监测点，连续监测2d，每天4次。居民区、保护区等保护目标处可视具体风向、风速确定点位。</w:t>
      </w:r>
    </w:p>
    <w:p w14:paraId="7877B711">
      <w:pPr>
        <w:spacing w:line="480" w:lineRule="exact"/>
        <w:ind w:firstLine="480"/>
        <w:rPr>
          <w:rFonts w:ascii="Times New Roman"/>
          <w:color w:val="000000"/>
          <w:szCs w:val="24"/>
        </w:rPr>
      </w:pPr>
      <w:r>
        <w:rPr>
          <w:rFonts w:ascii="Times New Roman"/>
          <w:color w:val="000000"/>
          <w:szCs w:val="24"/>
        </w:rPr>
        <w:t>（3）噪声监测点</w:t>
      </w:r>
    </w:p>
    <w:p w14:paraId="0D1D10EE">
      <w:pPr>
        <w:widowControl/>
        <w:adjustRightInd w:val="0"/>
        <w:spacing w:line="480" w:lineRule="exact"/>
        <w:ind w:firstLine="480" w:firstLineChars="200"/>
        <w:rPr>
          <w:rFonts w:ascii="Times New Roman"/>
          <w:color w:val="000000"/>
          <w:szCs w:val="24"/>
        </w:rPr>
      </w:pPr>
      <w:bookmarkStart w:id="251" w:name="_Toc11394"/>
      <w:r>
        <w:rPr>
          <w:rFonts w:ascii="Times New Roman"/>
          <w:color w:val="000000"/>
          <w:szCs w:val="24"/>
        </w:rPr>
        <w:t>监测点设在正常生产运行的监测点，设备异常事故引起厂界噪声超标时，及时停机进行检修，消除异常后进行厂界监测，直至厂界达标。</w:t>
      </w:r>
      <w:bookmarkEnd w:id="251"/>
    </w:p>
    <w:p w14:paraId="0C5AFDD5">
      <w:pPr>
        <w:pStyle w:val="8"/>
        <w:spacing w:line="480" w:lineRule="exact"/>
      </w:pPr>
      <w:r>
        <w:rPr>
          <w:rFonts w:hint="eastAsia"/>
        </w:rPr>
        <w:t>8.2.2.2环境质量监测</w:t>
      </w:r>
    </w:p>
    <w:p w14:paraId="7E27F74F">
      <w:pPr>
        <w:spacing w:line="480" w:lineRule="exact"/>
        <w:ind w:firstLine="480"/>
        <w:rPr>
          <w:rFonts w:ascii="Times New Roman"/>
          <w:color w:val="000000"/>
          <w:szCs w:val="24"/>
        </w:rPr>
      </w:pPr>
      <w:r>
        <w:rPr>
          <w:rFonts w:ascii="Times New Roman"/>
          <w:color w:val="000000"/>
          <w:szCs w:val="24"/>
        </w:rPr>
        <w:t>（1）大气环境质量监测</w:t>
      </w:r>
    </w:p>
    <w:p w14:paraId="6D2253CC">
      <w:pPr>
        <w:spacing w:line="480" w:lineRule="exact"/>
        <w:ind w:firstLine="480" w:firstLineChars="200"/>
        <w:rPr>
          <w:rFonts w:ascii="Times New Roman"/>
          <w:color w:val="000000"/>
          <w:szCs w:val="24"/>
        </w:rPr>
      </w:pPr>
      <w:r>
        <w:rPr>
          <w:rFonts w:ascii="Times New Roman"/>
          <w:color w:val="000000"/>
          <w:szCs w:val="24"/>
        </w:rPr>
        <w:t>监测时段：每年一次，连续</w:t>
      </w:r>
      <w:r>
        <w:rPr>
          <w:rFonts w:hint="eastAsia" w:ascii="Times New Roman"/>
          <w:color w:val="000000"/>
          <w:szCs w:val="24"/>
        </w:rPr>
        <w:t>监</w:t>
      </w:r>
      <w:r>
        <w:rPr>
          <w:rFonts w:ascii="Times New Roman"/>
          <w:color w:val="000000"/>
          <w:szCs w:val="24"/>
        </w:rPr>
        <w:t>测</w:t>
      </w:r>
      <w:r>
        <w:rPr>
          <w:rFonts w:hint="eastAsia" w:ascii="Times New Roman"/>
          <w:color w:val="000000"/>
          <w:szCs w:val="24"/>
        </w:rPr>
        <w:t>1</w:t>
      </w:r>
      <w:r>
        <w:rPr>
          <w:rFonts w:ascii="Times New Roman"/>
          <w:color w:val="000000"/>
          <w:szCs w:val="24"/>
        </w:rPr>
        <w:t>天，每天4次。</w:t>
      </w:r>
    </w:p>
    <w:p w14:paraId="1B979E92">
      <w:pPr>
        <w:spacing w:line="480" w:lineRule="exact"/>
        <w:ind w:firstLine="480" w:firstLineChars="200"/>
        <w:rPr>
          <w:rFonts w:ascii="Times New Roman"/>
          <w:color w:val="000000"/>
          <w:szCs w:val="24"/>
        </w:rPr>
      </w:pPr>
      <w:r>
        <w:rPr>
          <w:rFonts w:ascii="Times New Roman"/>
          <w:color w:val="000000"/>
          <w:szCs w:val="24"/>
        </w:rPr>
        <w:t>监测点位：在厂界外侧设置4个监测点，包括厂区全年主导风向上风向、下风向及周边环境敏感点。</w:t>
      </w:r>
    </w:p>
    <w:p w14:paraId="181F2AE7">
      <w:pPr>
        <w:spacing w:line="480" w:lineRule="exact"/>
        <w:ind w:firstLine="480" w:firstLineChars="200"/>
        <w:rPr>
          <w:rFonts w:ascii="Times New Roman"/>
          <w:color w:val="000000"/>
          <w:szCs w:val="24"/>
        </w:rPr>
      </w:pPr>
      <w:r>
        <w:rPr>
          <w:rFonts w:ascii="Times New Roman"/>
          <w:color w:val="000000"/>
          <w:szCs w:val="24"/>
        </w:rPr>
        <w:t>监测项目：氨气、</w:t>
      </w:r>
      <w:r>
        <w:rPr>
          <w:rFonts w:hint="eastAsia" w:ascii="Times New Roman"/>
          <w:color w:val="000000"/>
          <w:szCs w:val="24"/>
        </w:rPr>
        <w:t>硫化氢、臭气浓度</w:t>
      </w:r>
      <w:r>
        <w:rPr>
          <w:rFonts w:ascii="Times New Roman"/>
          <w:color w:val="000000"/>
          <w:szCs w:val="24"/>
        </w:rPr>
        <w:t>等。</w:t>
      </w:r>
    </w:p>
    <w:p w14:paraId="70B4054F">
      <w:pPr>
        <w:pageBreakBefore w:val="0"/>
        <w:widowControl w:val="0"/>
        <w:kinsoku/>
        <w:wordWrap/>
        <w:overflowPunct/>
        <w:topLinePunct w:val="0"/>
        <w:autoSpaceDE/>
        <w:autoSpaceDN/>
        <w:bidi w:val="0"/>
        <w:adjustRightInd/>
        <w:snapToGrid/>
        <w:spacing w:line="460" w:lineRule="exact"/>
        <w:ind w:firstLine="480"/>
        <w:textAlignment w:val="auto"/>
        <w:rPr>
          <w:rFonts w:ascii="Times New Roman"/>
          <w:color w:val="000000"/>
          <w:szCs w:val="24"/>
        </w:rPr>
      </w:pPr>
      <w:r>
        <w:rPr>
          <w:rFonts w:ascii="Times New Roman"/>
          <w:color w:val="000000"/>
          <w:szCs w:val="24"/>
        </w:rPr>
        <w:t>（2）土壤监测：在厂内污水站或危废暂存仓库设1个监测点</w:t>
      </w:r>
      <w:r>
        <w:rPr>
          <w:rFonts w:hint="eastAsia" w:ascii="Times New Roman"/>
          <w:color w:val="000000"/>
          <w:szCs w:val="24"/>
          <w:lang w:eastAsia="zh-CN"/>
        </w:rPr>
        <w:t>，</w:t>
      </w:r>
      <w:r>
        <w:rPr>
          <w:rFonts w:hint="eastAsia" w:ascii="Times New Roman"/>
          <w:color w:val="000000"/>
          <w:szCs w:val="24"/>
          <w:lang w:val="en-US" w:eastAsia="zh-CN"/>
        </w:rPr>
        <w:t>在消纳土地设1个监测点</w:t>
      </w:r>
      <w:r>
        <w:rPr>
          <w:rFonts w:ascii="Times New Roman"/>
          <w:color w:val="000000"/>
          <w:szCs w:val="24"/>
        </w:rPr>
        <w:t>，每个监测点至少采集1个柱状样品（0.5-3m），在厂区办公区布设1个对照监测点，采集表面样品。监测因子为</w:t>
      </w:r>
      <w:r>
        <w:rPr>
          <w:rFonts w:ascii="Times New Roman" w:hAnsi="Times New Roman" w:cs="Times New Roman"/>
          <w:spacing w:val="-4"/>
          <w:szCs w:val="24"/>
        </w:rPr>
        <w:t>pH</w:t>
      </w:r>
      <w:r>
        <w:rPr>
          <w:rFonts w:hint="eastAsia" w:ascii="Times New Roman" w:hAnsi="Times New Roman" w:cs="Times New Roman"/>
          <w:spacing w:val="-4"/>
          <w:szCs w:val="24"/>
        </w:rPr>
        <w:t>、铅、镉、砷、汞、铬、铜、镍、锌</w:t>
      </w:r>
      <w:r>
        <w:rPr>
          <w:rFonts w:ascii="Times New Roman"/>
          <w:color w:val="000000"/>
          <w:szCs w:val="24"/>
        </w:rPr>
        <w:t>，</w:t>
      </w:r>
      <w:r>
        <w:rPr>
          <w:rFonts w:hint="eastAsia"/>
          <w:szCs w:val="24"/>
        </w:rPr>
        <w:t>必要时开展监测</w:t>
      </w:r>
      <w:r>
        <w:rPr>
          <w:rFonts w:ascii="Times New Roman"/>
          <w:color w:val="000000"/>
          <w:szCs w:val="24"/>
        </w:rPr>
        <w:t>。</w:t>
      </w:r>
    </w:p>
    <w:p w14:paraId="0CFC7922">
      <w:pPr>
        <w:pageBreakBefore w:val="0"/>
        <w:widowControl w:val="0"/>
        <w:kinsoku/>
        <w:wordWrap/>
        <w:overflowPunct/>
        <w:topLinePunct w:val="0"/>
        <w:autoSpaceDE/>
        <w:autoSpaceDN/>
        <w:bidi w:val="0"/>
        <w:adjustRightInd/>
        <w:snapToGrid/>
        <w:spacing w:line="460" w:lineRule="exact"/>
        <w:ind w:firstLine="480"/>
        <w:textAlignment w:val="auto"/>
        <w:rPr>
          <w:rFonts w:ascii="Times New Roman"/>
          <w:color w:val="000000"/>
          <w:szCs w:val="24"/>
        </w:rPr>
      </w:pPr>
      <w:r>
        <w:rPr>
          <w:rFonts w:ascii="Times New Roman"/>
          <w:color w:val="000000"/>
          <w:szCs w:val="24"/>
        </w:rPr>
        <w:t>（3）地下水跟踪监测方案：</w:t>
      </w:r>
    </w:p>
    <w:p w14:paraId="2BBE5368">
      <w:pPr>
        <w:pageBreakBefore w:val="0"/>
        <w:widowControl w:val="0"/>
        <w:kinsoku/>
        <w:wordWrap/>
        <w:overflowPunct/>
        <w:topLinePunct w:val="0"/>
        <w:autoSpaceDE/>
        <w:autoSpaceDN/>
        <w:bidi w:val="0"/>
        <w:adjustRightInd/>
        <w:snapToGrid/>
        <w:spacing w:line="460" w:lineRule="exact"/>
        <w:ind w:firstLine="480"/>
        <w:textAlignment w:val="auto"/>
        <w:rPr>
          <w:rFonts w:ascii="Times New Roman"/>
          <w:color w:val="000000"/>
          <w:szCs w:val="24"/>
        </w:rPr>
      </w:pPr>
      <w:r>
        <w:rPr>
          <w:rFonts w:ascii="Times New Roman"/>
          <w:color w:val="000000"/>
          <w:szCs w:val="24"/>
        </w:rPr>
        <w:t>①监测点的位置：项目运行期跟踪监测点的布置一般不少于</w:t>
      </w:r>
      <w:r>
        <w:rPr>
          <w:rFonts w:hint="eastAsia" w:ascii="Times New Roman"/>
          <w:color w:val="000000"/>
          <w:szCs w:val="24"/>
        </w:rPr>
        <w:t>1</w:t>
      </w:r>
      <w:r>
        <w:rPr>
          <w:rFonts w:ascii="Times New Roman"/>
          <w:color w:val="000000"/>
          <w:szCs w:val="24"/>
        </w:rPr>
        <w:t>个，本项目在厂区</w:t>
      </w:r>
      <w:r>
        <w:rPr>
          <w:rFonts w:hint="eastAsia" w:ascii="Times New Roman"/>
          <w:color w:val="000000"/>
          <w:szCs w:val="24"/>
          <w:lang w:val="en-US" w:eastAsia="zh-CN"/>
        </w:rPr>
        <w:t>及消纳土地周边分别</w:t>
      </w:r>
      <w:r>
        <w:rPr>
          <w:rFonts w:ascii="Times New Roman"/>
          <w:color w:val="000000"/>
          <w:szCs w:val="24"/>
        </w:rPr>
        <w:t>布设</w:t>
      </w:r>
      <w:r>
        <w:rPr>
          <w:rFonts w:hint="eastAsia" w:ascii="Times New Roman"/>
          <w:color w:val="000000"/>
          <w:szCs w:val="24"/>
        </w:rPr>
        <w:t>1</w:t>
      </w:r>
      <w:r>
        <w:rPr>
          <w:rFonts w:ascii="Times New Roman"/>
          <w:color w:val="000000"/>
          <w:szCs w:val="24"/>
        </w:rPr>
        <w:t>个地下水监测井。监测层位为潜水含水层，采样深度为水位以下1.0m 之内。</w:t>
      </w:r>
    </w:p>
    <w:p w14:paraId="49AD863A">
      <w:pPr>
        <w:pageBreakBefore w:val="0"/>
        <w:widowControl w:val="0"/>
        <w:kinsoku/>
        <w:wordWrap/>
        <w:overflowPunct/>
        <w:topLinePunct w:val="0"/>
        <w:autoSpaceDE/>
        <w:autoSpaceDN/>
        <w:bidi w:val="0"/>
        <w:adjustRightInd/>
        <w:snapToGrid/>
        <w:spacing w:line="460" w:lineRule="exact"/>
        <w:ind w:firstLine="480"/>
        <w:textAlignment w:val="auto"/>
        <w:rPr>
          <w:rFonts w:ascii="Times New Roman"/>
          <w:color w:val="000000"/>
          <w:szCs w:val="24"/>
        </w:rPr>
      </w:pPr>
      <w:r>
        <w:rPr>
          <w:rFonts w:ascii="Times New Roman"/>
          <w:color w:val="000000"/>
          <w:szCs w:val="24"/>
        </w:rPr>
        <w:t>②监测因子：</w:t>
      </w:r>
      <w:r>
        <w:rPr>
          <w:color w:val="000000"/>
          <w:szCs w:val="21"/>
        </w:rPr>
        <w:t>K</w:t>
      </w:r>
      <w:r>
        <w:rPr>
          <w:color w:val="000000"/>
          <w:szCs w:val="21"/>
          <w:vertAlign w:val="superscript"/>
        </w:rPr>
        <w:t>+</w:t>
      </w:r>
      <w:r>
        <w:rPr>
          <w:rFonts w:hAnsi="宋体"/>
          <w:color w:val="000000"/>
          <w:szCs w:val="21"/>
        </w:rPr>
        <w:t>、</w:t>
      </w:r>
      <w:r>
        <w:rPr>
          <w:color w:val="000000"/>
          <w:szCs w:val="21"/>
        </w:rPr>
        <w:t>Na</w:t>
      </w:r>
      <w:r>
        <w:rPr>
          <w:color w:val="000000"/>
          <w:szCs w:val="21"/>
          <w:vertAlign w:val="superscript"/>
        </w:rPr>
        <w:t>+</w:t>
      </w:r>
      <w:r>
        <w:rPr>
          <w:rFonts w:hAnsi="宋体"/>
          <w:color w:val="000000"/>
          <w:szCs w:val="21"/>
        </w:rPr>
        <w:t>、</w:t>
      </w:r>
      <w:r>
        <w:rPr>
          <w:color w:val="000000"/>
          <w:szCs w:val="21"/>
        </w:rPr>
        <w:t>Ca</w:t>
      </w:r>
      <w:r>
        <w:rPr>
          <w:color w:val="000000"/>
          <w:szCs w:val="21"/>
          <w:vertAlign w:val="superscript"/>
        </w:rPr>
        <w:t>2+</w:t>
      </w:r>
      <w:r>
        <w:rPr>
          <w:rFonts w:hAnsi="宋体"/>
          <w:color w:val="000000"/>
          <w:szCs w:val="21"/>
        </w:rPr>
        <w:t>、</w:t>
      </w:r>
      <w:r>
        <w:rPr>
          <w:color w:val="000000"/>
          <w:szCs w:val="21"/>
        </w:rPr>
        <w:t>Mg</w:t>
      </w:r>
      <w:r>
        <w:rPr>
          <w:color w:val="000000"/>
          <w:szCs w:val="21"/>
          <w:vertAlign w:val="superscript"/>
        </w:rPr>
        <w:t>2+</w:t>
      </w:r>
      <w:r>
        <w:rPr>
          <w:rFonts w:hAnsi="宋体"/>
          <w:color w:val="000000"/>
          <w:szCs w:val="21"/>
        </w:rPr>
        <w:t>、</w:t>
      </w:r>
      <w:r>
        <w:rPr>
          <w:color w:val="000000"/>
          <w:szCs w:val="21"/>
        </w:rPr>
        <w:t>CO</w:t>
      </w:r>
      <w:r>
        <w:rPr>
          <w:color w:val="000000"/>
          <w:szCs w:val="21"/>
          <w:vertAlign w:val="subscript"/>
        </w:rPr>
        <w:t>3</w:t>
      </w:r>
      <w:r>
        <w:rPr>
          <w:color w:val="000000"/>
          <w:szCs w:val="21"/>
          <w:vertAlign w:val="superscript"/>
        </w:rPr>
        <w:t>2-</w:t>
      </w:r>
      <w:r>
        <w:rPr>
          <w:rFonts w:hAnsi="宋体"/>
          <w:color w:val="000000"/>
          <w:szCs w:val="21"/>
        </w:rPr>
        <w:t>、</w:t>
      </w:r>
      <w:r>
        <w:rPr>
          <w:color w:val="000000"/>
          <w:szCs w:val="21"/>
        </w:rPr>
        <w:t>HCO</w:t>
      </w:r>
      <w:r>
        <w:rPr>
          <w:color w:val="000000"/>
          <w:szCs w:val="21"/>
          <w:vertAlign w:val="subscript"/>
        </w:rPr>
        <w:t>3</w:t>
      </w:r>
      <w:r>
        <w:rPr>
          <w:color w:val="000000"/>
          <w:szCs w:val="21"/>
          <w:vertAlign w:val="superscript"/>
        </w:rPr>
        <w:t>-</w:t>
      </w:r>
      <w:r>
        <w:rPr>
          <w:rFonts w:hAnsi="宋体"/>
          <w:color w:val="000000"/>
          <w:szCs w:val="21"/>
        </w:rPr>
        <w:t>、</w:t>
      </w:r>
      <w:r>
        <w:rPr>
          <w:color w:val="000000"/>
          <w:szCs w:val="21"/>
        </w:rPr>
        <w:t>Cl</w:t>
      </w:r>
      <w:r>
        <w:rPr>
          <w:color w:val="000000"/>
          <w:szCs w:val="21"/>
          <w:vertAlign w:val="superscript"/>
        </w:rPr>
        <w:t>-</w:t>
      </w:r>
      <w:r>
        <w:rPr>
          <w:rFonts w:hAnsi="宋体"/>
          <w:color w:val="000000"/>
          <w:szCs w:val="21"/>
        </w:rPr>
        <w:t>、</w:t>
      </w:r>
      <w:r>
        <w:rPr>
          <w:color w:val="000000"/>
          <w:szCs w:val="21"/>
        </w:rPr>
        <w:t>SO</w:t>
      </w:r>
      <w:r>
        <w:rPr>
          <w:color w:val="000000"/>
          <w:szCs w:val="21"/>
          <w:vertAlign w:val="subscript"/>
        </w:rPr>
        <w:t>4</w:t>
      </w:r>
      <w:r>
        <w:rPr>
          <w:color w:val="000000"/>
          <w:szCs w:val="21"/>
          <w:vertAlign w:val="superscript"/>
        </w:rPr>
        <w:t>2-</w:t>
      </w:r>
      <w:r>
        <w:rPr>
          <w:rFonts w:hAnsi="宋体"/>
          <w:color w:val="000000"/>
          <w:szCs w:val="21"/>
        </w:rPr>
        <w:t>、</w:t>
      </w:r>
      <w:r>
        <w:rPr>
          <w:color w:val="000000"/>
          <w:szCs w:val="21"/>
        </w:rPr>
        <w:t>pH</w:t>
      </w:r>
      <w:r>
        <w:rPr>
          <w:rFonts w:hAnsi="宋体"/>
          <w:color w:val="000000"/>
          <w:szCs w:val="21"/>
        </w:rPr>
        <w:t>、总硬度、溶解性总固体、氨氮、</w:t>
      </w:r>
      <w:r>
        <w:rPr>
          <w:rFonts w:hint="eastAsia" w:hAnsi="宋体"/>
          <w:color w:val="000000"/>
          <w:szCs w:val="21"/>
          <w:lang w:val="en-US" w:eastAsia="zh-CN"/>
        </w:rPr>
        <w:t>耗氧量、</w:t>
      </w:r>
      <w:r>
        <w:rPr>
          <w:rFonts w:hAnsi="宋体"/>
          <w:color w:val="000000"/>
          <w:szCs w:val="21"/>
        </w:rPr>
        <w:t>总磷、硝酸盐、亚硝酸盐、氟化物、铅、砷、六价铬、铜、锌、</w:t>
      </w:r>
      <w:r>
        <w:rPr>
          <w:rFonts w:hint="eastAsia" w:hAnsi="宋体"/>
          <w:color w:val="000000"/>
          <w:szCs w:val="21"/>
        </w:rPr>
        <w:t>铁、锰、氯化物、硫酸盐、</w:t>
      </w:r>
      <w:r>
        <w:rPr>
          <w:rFonts w:hAnsi="宋体"/>
          <w:color w:val="000000"/>
          <w:szCs w:val="21"/>
        </w:rPr>
        <w:t>挥发酚、总大肠菌群数</w:t>
      </w:r>
      <w:r>
        <w:rPr>
          <w:rFonts w:hint="eastAsia" w:hAnsi="宋体"/>
          <w:color w:val="000000"/>
          <w:szCs w:val="21"/>
        </w:rPr>
        <w:t>、菌落总数</w:t>
      </w:r>
      <w:r>
        <w:rPr>
          <w:rFonts w:ascii="Times New Roman"/>
          <w:bCs/>
          <w:color w:val="000000"/>
          <w:szCs w:val="24"/>
        </w:rPr>
        <w:t>等。</w:t>
      </w:r>
    </w:p>
    <w:p w14:paraId="788F48D1">
      <w:pPr>
        <w:pStyle w:val="57"/>
        <w:pageBreakBefore w:val="0"/>
        <w:widowControl w:val="0"/>
        <w:kinsoku/>
        <w:wordWrap/>
        <w:overflowPunct/>
        <w:topLinePunct w:val="0"/>
        <w:autoSpaceDE/>
        <w:autoSpaceDN/>
        <w:bidi w:val="0"/>
        <w:adjustRightInd/>
        <w:snapToGrid/>
        <w:spacing w:line="460" w:lineRule="exact"/>
        <w:ind w:firstLine="560"/>
        <w:jc w:val="both"/>
        <w:textAlignment w:val="auto"/>
        <w:rPr>
          <w:rFonts w:ascii="Times New Roman" w:hAnsi="Times New Roman"/>
          <w:color w:val="000000"/>
          <w:sz w:val="24"/>
          <w:szCs w:val="24"/>
        </w:rPr>
      </w:pPr>
      <w:r>
        <w:rPr>
          <w:rFonts w:ascii="Times New Roman" w:hAnsi="Times New Roman"/>
          <w:color w:val="000000"/>
          <w:sz w:val="24"/>
          <w:szCs w:val="24"/>
        </w:rPr>
        <w:t>③监测频率：每年监测一次</w:t>
      </w:r>
      <w:r>
        <w:rPr>
          <w:rFonts w:hint="eastAsia" w:ascii="Times New Roman"/>
          <w:color w:val="000000"/>
          <w:sz w:val="24"/>
          <w:szCs w:val="24"/>
        </w:rPr>
        <w:t>，每次一天</w:t>
      </w:r>
      <w:r>
        <w:rPr>
          <w:rFonts w:ascii="Times New Roman" w:hAnsi="Times New Roman"/>
          <w:color w:val="000000"/>
          <w:sz w:val="24"/>
          <w:szCs w:val="24"/>
        </w:rPr>
        <w:t>。</w:t>
      </w:r>
    </w:p>
    <w:p w14:paraId="4911A8B2">
      <w:pPr>
        <w:pageBreakBefore w:val="0"/>
        <w:widowControl w:val="0"/>
        <w:kinsoku/>
        <w:wordWrap/>
        <w:overflowPunct/>
        <w:topLinePunct w:val="0"/>
        <w:autoSpaceDE/>
        <w:autoSpaceDN/>
        <w:bidi w:val="0"/>
        <w:adjustRightInd/>
        <w:snapToGrid/>
        <w:spacing w:line="460" w:lineRule="exact"/>
        <w:ind w:firstLine="480"/>
        <w:textAlignment w:val="auto"/>
        <w:rPr>
          <w:rFonts w:ascii="Times New Roman"/>
          <w:color w:val="000000"/>
          <w:szCs w:val="24"/>
        </w:rPr>
      </w:pPr>
      <w:r>
        <w:rPr>
          <w:rFonts w:ascii="Times New Roman"/>
          <w:color w:val="000000"/>
          <w:szCs w:val="24"/>
        </w:rPr>
        <w:t>若企业不具备上述污染源及环境质量的监测条件，须委托有监测能力的监测单位进行监测，监测结果以报告形式上报当地生态环境部门。如发现问题，必须及时纠正，防止环境污染。</w:t>
      </w:r>
    </w:p>
    <w:p w14:paraId="48AEA773">
      <w:pPr>
        <w:pageBreakBefore w:val="0"/>
        <w:widowControl w:val="0"/>
        <w:kinsoku/>
        <w:wordWrap/>
        <w:overflowPunct/>
        <w:topLinePunct w:val="0"/>
        <w:autoSpaceDE/>
        <w:autoSpaceDN/>
        <w:bidi w:val="0"/>
        <w:adjustRightInd/>
        <w:snapToGrid/>
        <w:spacing w:line="460" w:lineRule="exact"/>
        <w:ind w:firstLine="480"/>
        <w:textAlignment w:val="auto"/>
        <w:rPr>
          <w:rFonts w:ascii="Times New Roman"/>
          <w:color w:val="000000"/>
          <w:szCs w:val="24"/>
        </w:rPr>
      </w:pPr>
      <w:r>
        <w:rPr>
          <w:rFonts w:ascii="Times New Roman"/>
          <w:color w:val="000000"/>
          <w:szCs w:val="24"/>
        </w:rPr>
        <w:t>上述污染源监测及环境质量监测须委托当地环境监测站或得到环境管理部门认可的有资质单位进行监测，如厂内自行安排人员开展监测工作，根据《环境监测人员持证上岗考核制度》（环发[2014]114号），负责环境监测工作的人员需有环境监测上岗证。</w:t>
      </w:r>
    </w:p>
    <w:p w14:paraId="0288F244">
      <w:pPr>
        <w:pageBreakBefore w:val="0"/>
        <w:widowControl w:val="0"/>
        <w:kinsoku/>
        <w:wordWrap/>
        <w:overflowPunct/>
        <w:topLinePunct w:val="0"/>
        <w:autoSpaceDE/>
        <w:autoSpaceDN/>
        <w:bidi w:val="0"/>
        <w:adjustRightInd/>
        <w:snapToGrid/>
        <w:spacing w:line="460" w:lineRule="exact"/>
        <w:ind w:firstLine="480"/>
        <w:textAlignment w:val="auto"/>
        <w:rPr>
          <w:rFonts w:ascii="Times New Roman"/>
          <w:color w:val="000000"/>
          <w:szCs w:val="24"/>
        </w:rPr>
      </w:pPr>
      <w:r>
        <w:rPr>
          <w:rFonts w:ascii="Times New Roman"/>
          <w:color w:val="000000"/>
          <w:szCs w:val="24"/>
        </w:rPr>
        <w:t>企业将以上监测结果按月、季进行统计，编制环境监测报表，上报上级生态环境主管部门，如发现问题，必须及时采取纠正措施，防止环境污染。上述监测内容若企业不具备监测条件，需委托当地环境监测站</w:t>
      </w:r>
      <w:r>
        <w:rPr>
          <w:rFonts w:hint="eastAsia" w:ascii="Times New Roman"/>
          <w:color w:val="000000"/>
          <w:szCs w:val="24"/>
          <w:lang w:val="en-US" w:eastAsia="zh-CN"/>
        </w:rPr>
        <w:t>或</w:t>
      </w:r>
      <w:r>
        <w:rPr>
          <w:rFonts w:ascii="Times New Roman"/>
          <w:color w:val="000000"/>
          <w:szCs w:val="24"/>
        </w:rPr>
        <w:t>得到环境管理部门认可的有资质单位进行监测，监测结果以报告形式上报生态环境主管部门。</w:t>
      </w:r>
    </w:p>
    <w:p w14:paraId="44D04096">
      <w:pPr>
        <w:pStyle w:val="8"/>
        <w:pageBreakBefore w:val="0"/>
        <w:widowControl w:val="0"/>
        <w:kinsoku/>
        <w:wordWrap/>
        <w:overflowPunct/>
        <w:topLinePunct w:val="0"/>
        <w:autoSpaceDE/>
        <w:autoSpaceDN/>
        <w:bidi w:val="0"/>
        <w:adjustRightInd/>
        <w:snapToGrid/>
        <w:spacing w:line="460" w:lineRule="exact"/>
        <w:textAlignment w:val="auto"/>
      </w:pPr>
      <w:r>
        <w:rPr>
          <w:rFonts w:hint="eastAsia"/>
        </w:rPr>
        <w:t>8.2.2.3环境监测制度</w:t>
      </w:r>
    </w:p>
    <w:p w14:paraId="63ADA965">
      <w:pPr>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bCs/>
          <w:color w:val="000000"/>
          <w:szCs w:val="24"/>
        </w:rPr>
      </w:pPr>
      <w:r>
        <w:rPr>
          <w:rFonts w:ascii="Times New Roman"/>
          <w:bCs/>
          <w:color w:val="000000"/>
          <w:szCs w:val="24"/>
        </w:rPr>
        <w:t>（1）监测数据逐级呈报制度</w:t>
      </w:r>
    </w:p>
    <w:p w14:paraId="43784AF2">
      <w:pPr>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bCs/>
          <w:color w:val="000000"/>
          <w:szCs w:val="24"/>
        </w:rPr>
      </w:pPr>
      <w:r>
        <w:rPr>
          <w:rFonts w:ascii="Times New Roman"/>
          <w:bCs/>
          <w:color w:val="000000"/>
          <w:szCs w:val="24"/>
        </w:rPr>
        <w:t>各类监测数据要定期上报公司环境保护管理机构，并及时上报上级生态环境局。事故排放报告要及时报送上述单位。</w:t>
      </w:r>
    </w:p>
    <w:p w14:paraId="72964345">
      <w:pPr>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bCs/>
          <w:color w:val="000000"/>
          <w:szCs w:val="24"/>
        </w:rPr>
      </w:pPr>
      <w:r>
        <w:rPr>
          <w:rFonts w:ascii="Times New Roman"/>
          <w:bCs/>
          <w:color w:val="000000"/>
          <w:szCs w:val="24"/>
        </w:rPr>
        <w:t>（2）监测人员持证上岗制度</w:t>
      </w:r>
    </w:p>
    <w:p w14:paraId="755073D1">
      <w:pPr>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bCs/>
          <w:color w:val="000000"/>
          <w:szCs w:val="24"/>
        </w:rPr>
      </w:pPr>
      <w:r>
        <w:rPr>
          <w:rFonts w:ascii="Times New Roman"/>
          <w:bCs/>
          <w:color w:val="000000"/>
          <w:szCs w:val="24"/>
        </w:rPr>
        <w:t>定期对监测人员进行培训，监测和分析人员必须经市生态环境监测部门考核，取得合格证后才能上岗，保证监测数据的可靠性。</w:t>
      </w:r>
    </w:p>
    <w:p w14:paraId="0E715F88">
      <w:pPr>
        <w:spacing w:line="480" w:lineRule="exact"/>
        <w:ind w:firstLine="480" w:firstLineChars="200"/>
        <w:rPr>
          <w:rFonts w:ascii="Times New Roman"/>
          <w:bCs/>
          <w:color w:val="000000"/>
          <w:szCs w:val="24"/>
        </w:rPr>
      </w:pPr>
      <w:r>
        <w:rPr>
          <w:rFonts w:ascii="Times New Roman"/>
          <w:bCs/>
          <w:color w:val="000000"/>
          <w:szCs w:val="24"/>
        </w:rPr>
        <w:t>（3）建立环境保护教育制度</w:t>
      </w:r>
    </w:p>
    <w:p w14:paraId="511D5E83">
      <w:pPr>
        <w:spacing w:line="480" w:lineRule="exact"/>
        <w:ind w:firstLine="480" w:firstLineChars="200"/>
        <w:rPr>
          <w:rFonts w:ascii="Times New Roman"/>
          <w:bCs/>
          <w:color w:val="000000"/>
          <w:szCs w:val="24"/>
        </w:rPr>
      </w:pPr>
      <w:r>
        <w:rPr>
          <w:rFonts w:ascii="Times New Roman"/>
          <w:bCs/>
          <w:color w:val="000000"/>
          <w:szCs w:val="24"/>
        </w:rPr>
        <w:t>对工人尤其新进公司人员要进行环境保护知识的教育，明确环境保护的重要性，增强环境意识。教育他们文明生产，严格执行各种规章制度，这是防止污染事故发生的有力措施。</w:t>
      </w:r>
    </w:p>
    <w:p w14:paraId="2E99A7BB">
      <w:pPr>
        <w:pStyle w:val="4"/>
        <w:spacing w:after="0" w:line="480" w:lineRule="exact"/>
        <w:jc w:val="both"/>
      </w:pPr>
      <w:bookmarkStart w:id="252" w:name="_Toc26730"/>
      <w:r>
        <w:rPr>
          <w:rFonts w:hint="eastAsia"/>
        </w:rPr>
        <w:t>8.3建设项目环保设施竣工验收计划</w:t>
      </w:r>
      <w:bookmarkEnd w:id="252"/>
    </w:p>
    <w:p w14:paraId="4D4FC9FD">
      <w:pPr>
        <w:spacing w:line="480" w:lineRule="exact"/>
        <w:ind w:firstLine="480" w:firstLineChars="200"/>
        <w:rPr>
          <w:rFonts w:ascii="Times New Roman"/>
          <w:color w:val="000000"/>
          <w:szCs w:val="24"/>
        </w:rPr>
      </w:pPr>
      <w:r>
        <w:rPr>
          <w:rFonts w:ascii="Times New Roman"/>
          <w:color w:val="000000"/>
          <w:szCs w:val="24"/>
        </w:rPr>
        <w:t>根据相关法律、法规的要求以及国家、省、市以及地方的环保要求，项目建成后应开展建设项目环境保护设施竣工验收。</w:t>
      </w:r>
    </w:p>
    <w:p w14:paraId="5EFDD5E9">
      <w:pPr>
        <w:spacing w:line="480" w:lineRule="exact"/>
        <w:ind w:firstLine="480" w:firstLineChars="200"/>
        <w:rPr>
          <w:rFonts w:ascii="Times New Roman"/>
          <w:color w:val="000000"/>
          <w:szCs w:val="24"/>
        </w:rPr>
      </w:pPr>
      <w:r>
        <w:rPr>
          <w:rFonts w:ascii="Times New Roman"/>
          <w:color w:val="000000"/>
          <w:szCs w:val="24"/>
        </w:rPr>
        <w:t>建设单位是建设项目竣工环境保护验收的责任主体，应当按照《建设项目竣工环境保护验收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0D621179">
      <w:pPr>
        <w:spacing w:line="480" w:lineRule="exact"/>
        <w:ind w:firstLine="480"/>
        <w:rPr>
          <w:rFonts w:ascii="Times New Roman"/>
          <w:color w:val="000000"/>
          <w:szCs w:val="24"/>
        </w:rPr>
      </w:pPr>
      <w:r>
        <w:rPr>
          <w:rFonts w:ascii="Times New Roman"/>
          <w:color w:val="000000"/>
          <w:szCs w:val="24"/>
        </w:rPr>
        <w:t>（1）验收报告的编制</w:t>
      </w:r>
    </w:p>
    <w:p w14:paraId="4283B331">
      <w:pPr>
        <w:spacing w:line="480" w:lineRule="exact"/>
        <w:ind w:firstLine="480" w:firstLineChars="200"/>
        <w:rPr>
          <w:rFonts w:ascii="Times New Roman"/>
          <w:color w:val="000000"/>
          <w:szCs w:val="24"/>
        </w:rPr>
      </w:pPr>
      <w:r>
        <w:rPr>
          <w:rFonts w:ascii="Times New Roman"/>
          <w:color w:val="000000"/>
          <w:szCs w:val="24"/>
        </w:rPr>
        <w:t>验收条件：建设项目竣工后，建设单位应当如实查验、监测、记载建设项目环境保护设施的建设和调试情况，编制验收监测报告（可委托有能力的技术机构编制）。环境保护设施未与主体工程同时建成的，应当取得排污许可未取得的，不得对该建设项目进行调试。</w:t>
      </w:r>
    </w:p>
    <w:p w14:paraId="38F2C9ED">
      <w:pPr>
        <w:spacing w:line="480" w:lineRule="exact"/>
        <w:ind w:firstLine="480" w:firstLineChars="200"/>
        <w:rPr>
          <w:rFonts w:ascii="Times New Roman"/>
          <w:color w:val="FF0000"/>
          <w:szCs w:val="24"/>
        </w:rPr>
      </w:pPr>
      <w:r>
        <w:rPr>
          <w:rFonts w:ascii="Times New Roman"/>
          <w:color w:val="000000"/>
          <w:szCs w:val="24"/>
        </w:rPr>
        <w:t>验收监测报告内容应包括但不限于以下内容：验收项目概况、验收依据、工程建设情况、主要污染源及环境保护设施、环评结论与建议及及环评批复要求、验收执行标准、验收监测内容、质量保证和质量控制、验收监测结果及分析、验收结论和建议、建设项目环境保护“三同时”竣工验收登记表、相关附件等。</w:t>
      </w:r>
    </w:p>
    <w:p w14:paraId="4B685654">
      <w:pPr>
        <w:spacing w:line="480" w:lineRule="exact"/>
        <w:ind w:firstLine="480" w:firstLineChars="200"/>
        <w:rPr>
          <w:rFonts w:ascii="Times New Roman"/>
          <w:color w:val="000000"/>
          <w:szCs w:val="24"/>
        </w:rPr>
      </w:pPr>
      <w:r>
        <w:rPr>
          <w:rFonts w:ascii="Times New Roman"/>
          <w:color w:val="000000"/>
          <w:szCs w:val="24"/>
        </w:rPr>
        <w:t>验收监测：调试期间，建设单位需对环境保护设施运行情况和建设项目对环境的影响进行监测。验收监测需在确保主体工程调试工况稳定、环境保护设施运行正常的情况下进行，并如实记录监测时的实际工况。国家和地方有关污染物排放标准或者行业验收技术规范对工况和生产负荷另有规定的，按其规定执行。竣工验收监测计划主要从以下方面入手：</w:t>
      </w:r>
    </w:p>
    <w:p w14:paraId="6D643FC3">
      <w:pPr>
        <w:spacing w:line="480" w:lineRule="exact"/>
        <w:ind w:firstLine="480"/>
        <w:rPr>
          <w:rFonts w:ascii="Times New Roman"/>
          <w:color w:val="000000"/>
          <w:szCs w:val="24"/>
        </w:rPr>
      </w:pPr>
      <w:r>
        <w:rPr>
          <w:rFonts w:ascii="Times New Roman"/>
          <w:color w:val="000000"/>
          <w:szCs w:val="24"/>
        </w:rPr>
        <w:t>①各种资料手续是否完整。</w:t>
      </w:r>
    </w:p>
    <w:p w14:paraId="55AA006B">
      <w:pPr>
        <w:spacing w:line="480" w:lineRule="exact"/>
        <w:ind w:firstLine="480"/>
        <w:rPr>
          <w:rFonts w:ascii="Times New Roman"/>
          <w:color w:val="000000"/>
          <w:szCs w:val="24"/>
        </w:rPr>
      </w:pPr>
      <w:r>
        <w:rPr>
          <w:rFonts w:ascii="Times New Roman"/>
          <w:color w:val="000000"/>
          <w:szCs w:val="24"/>
        </w:rPr>
        <w:t>②各生产装置的实际生产能力是否具备竣工验收条件。</w:t>
      </w:r>
    </w:p>
    <w:p w14:paraId="26F35D7B">
      <w:pPr>
        <w:spacing w:line="480" w:lineRule="exact"/>
        <w:ind w:firstLine="480"/>
        <w:rPr>
          <w:rFonts w:ascii="Times New Roman"/>
          <w:color w:val="000000"/>
          <w:szCs w:val="24"/>
        </w:rPr>
      </w:pPr>
      <w:r>
        <w:rPr>
          <w:rFonts w:ascii="Times New Roman"/>
          <w:color w:val="000000"/>
          <w:szCs w:val="24"/>
        </w:rPr>
        <w:t>③按“三同时”要求，各项环保设施是否安装到位，运转是否正常。</w:t>
      </w:r>
    </w:p>
    <w:p w14:paraId="15988F48">
      <w:pPr>
        <w:keepNext w:val="0"/>
        <w:keepLines w:val="0"/>
        <w:pageBreakBefore w:val="0"/>
        <w:widowControl w:val="0"/>
        <w:kinsoku/>
        <w:wordWrap/>
        <w:overflowPunct/>
        <w:topLinePunct w:val="0"/>
        <w:autoSpaceDE/>
        <w:autoSpaceDN/>
        <w:bidi w:val="0"/>
        <w:adjustRightInd/>
        <w:snapToGrid/>
        <w:spacing w:line="470" w:lineRule="exact"/>
        <w:ind w:firstLine="480"/>
        <w:textAlignment w:val="auto"/>
        <w:rPr>
          <w:rFonts w:ascii="Times New Roman"/>
          <w:color w:val="000000"/>
          <w:szCs w:val="24"/>
        </w:rPr>
      </w:pPr>
      <w:r>
        <w:rPr>
          <w:rFonts w:ascii="Times New Roman"/>
          <w:color w:val="000000"/>
          <w:szCs w:val="24"/>
        </w:rPr>
        <w:t>④现场监测</w:t>
      </w:r>
    </w:p>
    <w:p w14:paraId="766802F8">
      <w:pPr>
        <w:keepNext w:val="0"/>
        <w:keepLines w:val="0"/>
        <w:pageBreakBefore w:val="0"/>
        <w:widowControl w:val="0"/>
        <w:kinsoku/>
        <w:wordWrap/>
        <w:overflowPunct/>
        <w:topLinePunct w:val="0"/>
        <w:autoSpaceDE/>
        <w:autoSpaceDN/>
        <w:bidi w:val="0"/>
        <w:adjustRightInd/>
        <w:snapToGrid/>
        <w:spacing w:line="470" w:lineRule="exact"/>
        <w:ind w:firstLine="480"/>
        <w:textAlignment w:val="auto"/>
        <w:rPr>
          <w:rFonts w:ascii="Times New Roman"/>
          <w:color w:val="000000"/>
          <w:szCs w:val="24"/>
        </w:rPr>
      </w:pPr>
      <w:r>
        <w:rPr>
          <w:rFonts w:ascii="Times New Roman"/>
          <w:color w:val="000000"/>
          <w:szCs w:val="24"/>
        </w:rPr>
        <w:t>包括对废气（各废气处理设施的进出口）、废水（污水处理产的进水、出水）、噪声（厂界噪声）等处理情况的测试，进而分析各种环保设施的处理效果；按照本报告污染物排放清单，通过对污染物的实际排放浓度和排放速率与相应的标准的对比，判断污染物是否达标排放；通过污染物的实际排放浓度和烟气流量测算出各污染物的排放总量，分析判断其是否满足总量控制的要求；对周围环境敏感点环境质量进行验证；厂界无组织废气浓度的监测等。各监测布点按相关标准要求执行，监测因子应覆盖项目所有污染因子。</w:t>
      </w:r>
    </w:p>
    <w:p w14:paraId="3E10FF5F">
      <w:pPr>
        <w:keepNext w:val="0"/>
        <w:keepLines w:val="0"/>
        <w:pageBreakBefore w:val="0"/>
        <w:widowControl w:val="0"/>
        <w:kinsoku/>
        <w:wordWrap/>
        <w:overflowPunct/>
        <w:topLinePunct w:val="0"/>
        <w:autoSpaceDE/>
        <w:autoSpaceDN/>
        <w:bidi w:val="0"/>
        <w:adjustRightInd/>
        <w:snapToGrid/>
        <w:spacing w:line="470" w:lineRule="exact"/>
        <w:ind w:firstLine="480"/>
        <w:textAlignment w:val="auto"/>
        <w:rPr>
          <w:rFonts w:ascii="Times New Roman"/>
          <w:color w:val="000000"/>
          <w:szCs w:val="24"/>
        </w:rPr>
      </w:pPr>
      <w:r>
        <w:rPr>
          <w:rFonts w:ascii="Times New Roman"/>
          <w:color w:val="000000"/>
          <w:szCs w:val="24"/>
        </w:rPr>
        <w:t>⑤环境管理的检查</w:t>
      </w:r>
    </w:p>
    <w:p w14:paraId="367348F4">
      <w:pPr>
        <w:keepNext w:val="0"/>
        <w:keepLines w:val="0"/>
        <w:pageBreakBefore w:val="0"/>
        <w:widowControl w:val="0"/>
        <w:kinsoku/>
        <w:wordWrap/>
        <w:overflowPunct/>
        <w:topLinePunct w:val="0"/>
        <w:autoSpaceDE/>
        <w:autoSpaceDN/>
        <w:bidi w:val="0"/>
        <w:adjustRightInd/>
        <w:snapToGrid/>
        <w:spacing w:line="470" w:lineRule="exact"/>
        <w:ind w:firstLine="480"/>
        <w:textAlignment w:val="auto"/>
        <w:rPr>
          <w:rFonts w:ascii="Times New Roman"/>
          <w:color w:val="FF0000"/>
          <w:szCs w:val="24"/>
        </w:rPr>
      </w:pPr>
      <w:r>
        <w:rPr>
          <w:rFonts w:ascii="Times New Roman"/>
          <w:color w:val="000000"/>
          <w:szCs w:val="24"/>
        </w:rPr>
        <w:t>包括对各种环境管理制度、固体废物（废液）的处置情况是否有完善的风险应急措施和应急计划、各排污口是否规范化等其它非测试性管理制度的落实情况。</w:t>
      </w:r>
    </w:p>
    <w:p w14:paraId="554BEE1D">
      <w:pPr>
        <w:keepNext w:val="0"/>
        <w:keepLines w:val="0"/>
        <w:pageBreakBefore w:val="0"/>
        <w:widowControl w:val="0"/>
        <w:kinsoku/>
        <w:wordWrap/>
        <w:overflowPunct/>
        <w:topLinePunct w:val="0"/>
        <w:autoSpaceDE/>
        <w:autoSpaceDN/>
        <w:bidi w:val="0"/>
        <w:adjustRightInd/>
        <w:snapToGrid/>
        <w:spacing w:line="470" w:lineRule="exact"/>
        <w:ind w:firstLine="480"/>
        <w:textAlignment w:val="auto"/>
        <w:rPr>
          <w:rFonts w:ascii="Times New Roman"/>
          <w:color w:val="000000"/>
          <w:szCs w:val="24"/>
        </w:rPr>
      </w:pPr>
      <w:r>
        <w:rPr>
          <w:rFonts w:ascii="Times New Roman"/>
          <w:color w:val="000000"/>
          <w:szCs w:val="24"/>
        </w:rPr>
        <w:t>⑥对环境敏感点环境质量的验证，大气环境防护距离和卫生防护距离的落实等。</w:t>
      </w:r>
    </w:p>
    <w:p w14:paraId="74964B95">
      <w:pPr>
        <w:keepNext w:val="0"/>
        <w:keepLines w:val="0"/>
        <w:pageBreakBefore w:val="0"/>
        <w:widowControl w:val="0"/>
        <w:kinsoku/>
        <w:wordWrap/>
        <w:overflowPunct/>
        <w:topLinePunct w:val="0"/>
        <w:autoSpaceDE/>
        <w:autoSpaceDN/>
        <w:bidi w:val="0"/>
        <w:adjustRightInd/>
        <w:snapToGrid/>
        <w:spacing w:line="470" w:lineRule="exact"/>
        <w:ind w:firstLine="480"/>
        <w:textAlignment w:val="auto"/>
        <w:rPr>
          <w:rFonts w:ascii="Times New Roman"/>
          <w:color w:val="000000"/>
          <w:szCs w:val="24"/>
        </w:rPr>
      </w:pPr>
      <w:r>
        <w:rPr>
          <w:rFonts w:ascii="Times New Roman"/>
          <w:color w:val="000000"/>
          <w:szCs w:val="24"/>
        </w:rPr>
        <w:t>⑦现场检查</w:t>
      </w:r>
    </w:p>
    <w:p w14:paraId="00E56711">
      <w:pPr>
        <w:keepNext w:val="0"/>
        <w:keepLines w:val="0"/>
        <w:pageBreakBefore w:val="0"/>
        <w:widowControl w:val="0"/>
        <w:kinsoku/>
        <w:wordWrap/>
        <w:overflowPunct/>
        <w:topLinePunct w:val="0"/>
        <w:autoSpaceDE/>
        <w:autoSpaceDN/>
        <w:bidi w:val="0"/>
        <w:adjustRightInd/>
        <w:snapToGrid/>
        <w:spacing w:line="460" w:lineRule="exact"/>
        <w:ind w:firstLine="482"/>
        <w:textAlignment w:val="auto"/>
        <w:rPr>
          <w:rFonts w:ascii="Times New Roman"/>
          <w:color w:val="FF0000"/>
          <w:szCs w:val="24"/>
        </w:rPr>
      </w:pPr>
      <w:r>
        <w:rPr>
          <w:rFonts w:ascii="Times New Roman"/>
          <w:color w:val="000000"/>
          <w:szCs w:val="24"/>
        </w:rPr>
        <w:t>检查各种设施是否按“三同时”要求落实到位，各项环保设施的施工质量是否满足要求，各项环保设施是否满足正常运转等。是否实现“清污分流、雨污分流”。</w:t>
      </w:r>
    </w:p>
    <w:p w14:paraId="7A8D5F15">
      <w:pPr>
        <w:keepNext w:val="0"/>
        <w:keepLines w:val="0"/>
        <w:pageBreakBefore w:val="0"/>
        <w:widowControl w:val="0"/>
        <w:kinsoku/>
        <w:wordWrap/>
        <w:overflowPunct/>
        <w:topLinePunct w:val="0"/>
        <w:autoSpaceDE/>
        <w:autoSpaceDN/>
        <w:bidi w:val="0"/>
        <w:adjustRightInd/>
        <w:snapToGrid/>
        <w:spacing w:line="460" w:lineRule="exact"/>
        <w:ind w:firstLine="482"/>
        <w:textAlignment w:val="auto"/>
        <w:rPr>
          <w:rFonts w:ascii="Times New Roman"/>
          <w:color w:val="000000"/>
          <w:szCs w:val="24"/>
        </w:rPr>
      </w:pPr>
      <w:r>
        <w:rPr>
          <w:rFonts w:ascii="Times New Roman"/>
          <w:color w:val="000000"/>
          <w:szCs w:val="24"/>
        </w:rPr>
        <w:t>⑧是否有完善的风险应急措施和应急计划。</w:t>
      </w:r>
    </w:p>
    <w:p w14:paraId="65653BB3">
      <w:pPr>
        <w:keepNext w:val="0"/>
        <w:keepLines w:val="0"/>
        <w:pageBreakBefore w:val="0"/>
        <w:widowControl w:val="0"/>
        <w:kinsoku/>
        <w:wordWrap/>
        <w:overflowPunct/>
        <w:topLinePunct w:val="0"/>
        <w:autoSpaceDE/>
        <w:autoSpaceDN/>
        <w:bidi w:val="0"/>
        <w:adjustRightInd/>
        <w:snapToGrid/>
        <w:spacing w:line="460" w:lineRule="exact"/>
        <w:ind w:firstLine="482"/>
        <w:textAlignment w:val="auto"/>
        <w:rPr>
          <w:rFonts w:ascii="Times New Roman"/>
          <w:color w:val="000000"/>
          <w:szCs w:val="24"/>
        </w:rPr>
      </w:pPr>
      <w:r>
        <w:rPr>
          <w:rFonts w:ascii="Times New Roman"/>
          <w:color w:val="000000"/>
          <w:szCs w:val="24"/>
        </w:rPr>
        <w:t>⑨竣工验收结论与建议。</w:t>
      </w:r>
    </w:p>
    <w:p w14:paraId="744E4D1B">
      <w:pPr>
        <w:keepNext w:val="0"/>
        <w:keepLines w:val="0"/>
        <w:pageBreakBefore w:val="0"/>
        <w:widowControl w:val="0"/>
        <w:kinsoku/>
        <w:wordWrap/>
        <w:overflowPunct/>
        <w:topLinePunct w:val="0"/>
        <w:autoSpaceDE/>
        <w:autoSpaceDN/>
        <w:bidi w:val="0"/>
        <w:adjustRightInd/>
        <w:snapToGrid/>
        <w:spacing w:line="460" w:lineRule="exact"/>
        <w:ind w:firstLine="482"/>
        <w:textAlignment w:val="auto"/>
        <w:rPr>
          <w:rFonts w:ascii="Times New Roman"/>
          <w:color w:val="000000"/>
          <w:szCs w:val="24"/>
        </w:rPr>
      </w:pPr>
      <w:r>
        <w:rPr>
          <w:rFonts w:ascii="Times New Roman"/>
          <w:color w:val="000000"/>
          <w:szCs w:val="24"/>
        </w:rPr>
        <w:t>⑩污染物排放总量是否满足环评批复要求；是否具备非正常工况情况下的污染物控制方案和设施。</w:t>
      </w:r>
    </w:p>
    <w:p w14:paraId="233EE682">
      <w:pPr>
        <w:keepNext w:val="0"/>
        <w:keepLines w:val="0"/>
        <w:pageBreakBefore w:val="0"/>
        <w:widowControl w:val="0"/>
        <w:kinsoku/>
        <w:wordWrap/>
        <w:overflowPunct/>
        <w:topLinePunct w:val="0"/>
        <w:autoSpaceDE/>
        <w:autoSpaceDN/>
        <w:bidi w:val="0"/>
        <w:adjustRightInd/>
        <w:snapToGrid/>
        <w:spacing w:line="460" w:lineRule="exact"/>
        <w:ind w:firstLine="482"/>
        <w:textAlignment w:val="auto"/>
        <w:rPr>
          <w:rFonts w:ascii="Times New Roman"/>
          <w:color w:val="000000"/>
          <w:szCs w:val="24"/>
        </w:rPr>
      </w:pPr>
      <w:r>
        <w:rPr>
          <w:rFonts w:ascii="Times New Roman"/>
          <w:color w:val="000000"/>
          <w:szCs w:val="24"/>
        </w:rPr>
        <w:t>（2）成立验收工作组</w:t>
      </w:r>
    </w:p>
    <w:p w14:paraId="444FDEB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color w:val="FF0000"/>
          <w:szCs w:val="24"/>
        </w:rPr>
      </w:pPr>
      <w:r>
        <w:rPr>
          <w:rFonts w:ascii="Times New Roman"/>
          <w:color w:val="000000"/>
          <w:szCs w:val="24"/>
        </w:rPr>
        <w:t>验收报告编制完成后，建设单位需组织成立验收工作组。验收工作组由建设单位、设计单位、施工单位、环境影响报告书（表）编制机构、验收监测（调查）报告编制机构等单位代表以及专业技术专家等组成，代表范围和人数自定。</w:t>
      </w:r>
    </w:p>
    <w:p w14:paraId="62057FA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color w:val="000000"/>
          <w:szCs w:val="24"/>
        </w:rPr>
      </w:pPr>
      <w:r>
        <w:rPr>
          <w:rFonts w:ascii="Times New Roman"/>
          <w:color w:val="000000"/>
          <w:szCs w:val="24"/>
        </w:rPr>
        <w:t>验收工作组需严格依照国家有关法律法规、建设项目竣工环境保护验收技术规范、建设项目环境影响报告书（表）和环评批复文件等要求对建设项目配套建设的环境保护设施进行验收，形成验收意见。验收意见包括工程建设基本情况、工程变动情况、环境保护设施落实情况、环境保护设施调试效果、工程建设对环境的影响、验收结论和后续要求等内容，验收结论应当明确该建设项目环境保护设施是否验收合格。建设项目环境保护设施存在《建设项目竣工环境保护验收暂行办法》第八条所列情形之一的，建设单位不得提出验收合格的意见。</w:t>
      </w:r>
    </w:p>
    <w:p w14:paraId="37F4F79B">
      <w:pPr>
        <w:spacing w:line="500" w:lineRule="exact"/>
        <w:ind w:firstLine="480" w:firstLineChars="200"/>
        <w:rPr>
          <w:rFonts w:ascii="Times New Roman"/>
          <w:color w:val="000000"/>
          <w:szCs w:val="24"/>
        </w:rPr>
      </w:pPr>
      <w:r>
        <w:rPr>
          <w:rFonts w:ascii="Times New Roman"/>
          <w:color w:val="000000"/>
          <w:szCs w:val="24"/>
        </w:rPr>
        <w:t>建设项目配套建设的环境保护设施经验收合格后，其主体工程方可投入生产或者使用；未经验收或者验收不合格的，不得投入生产或者使用。</w:t>
      </w:r>
    </w:p>
    <w:p w14:paraId="2E6636FF">
      <w:pPr>
        <w:pStyle w:val="2"/>
        <w:spacing w:after="0" w:line="500" w:lineRule="exact"/>
        <w:ind w:firstLine="480" w:firstLineChars="200"/>
        <w:rPr>
          <w:rFonts w:ascii="Times New Roman" w:hAnsi="Times New Roman"/>
          <w:sz w:val="24"/>
          <w:szCs w:val="24"/>
        </w:rPr>
      </w:pPr>
      <w:r>
        <w:rPr>
          <w:rFonts w:ascii="Times New Roman" w:hAnsi="Times New Roman"/>
          <w:color w:val="000000"/>
          <w:sz w:val="24"/>
          <w:szCs w:val="24"/>
        </w:rPr>
        <w:t>（3）信息公开</w:t>
      </w:r>
    </w:p>
    <w:p w14:paraId="58F5F0E3">
      <w:pPr>
        <w:pStyle w:val="57"/>
        <w:spacing w:line="500" w:lineRule="exact"/>
        <w:ind w:firstLine="480" w:firstLineChars="200"/>
        <w:jc w:val="both"/>
        <w:rPr>
          <w:rFonts w:ascii="Times New Roman" w:hAnsi="Times New Roman"/>
          <w:color w:val="000000"/>
          <w:sz w:val="24"/>
          <w:szCs w:val="24"/>
        </w:rPr>
      </w:pPr>
      <w:r>
        <w:rPr>
          <w:rFonts w:ascii="Times New Roman" w:hAnsi="Times New Roman"/>
          <w:color w:val="000000"/>
          <w:sz w:val="24"/>
          <w:szCs w:val="24"/>
        </w:rPr>
        <w:t>①建设项目配套建设的环境保护设施竣工后，公开竣工日期；</w:t>
      </w:r>
    </w:p>
    <w:p w14:paraId="744415C6">
      <w:pPr>
        <w:spacing w:line="500" w:lineRule="exact"/>
        <w:ind w:firstLine="480" w:firstLineChars="200"/>
        <w:rPr>
          <w:rFonts w:ascii="Times New Roman"/>
          <w:color w:val="000000"/>
          <w:szCs w:val="24"/>
        </w:rPr>
      </w:pPr>
      <w:r>
        <w:rPr>
          <w:rFonts w:ascii="Times New Roman"/>
          <w:color w:val="000000"/>
          <w:szCs w:val="24"/>
        </w:rPr>
        <w:t>②对建设项目配套建设的环境保护设施进行调试前，公开调试的起止日期；</w:t>
      </w:r>
    </w:p>
    <w:p w14:paraId="5D8D50C8">
      <w:pPr>
        <w:spacing w:line="500" w:lineRule="exact"/>
        <w:ind w:firstLine="480" w:firstLineChars="200"/>
        <w:rPr>
          <w:rFonts w:ascii="Times New Roman"/>
          <w:color w:val="000000"/>
          <w:szCs w:val="24"/>
        </w:rPr>
      </w:pPr>
      <w:r>
        <w:rPr>
          <w:rFonts w:ascii="Times New Roman"/>
          <w:color w:val="000000"/>
          <w:szCs w:val="24"/>
        </w:rPr>
        <w:t>③验收报告编制完成后5个工作日内，公开验收报告，公示的期限不得少于20个工作日。</w:t>
      </w:r>
    </w:p>
    <w:p w14:paraId="0C1ECB3C">
      <w:pPr>
        <w:spacing w:line="500" w:lineRule="exact"/>
        <w:ind w:firstLine="480" w:firstLineChars="200"/>
        <w:rPr>
          <w:rFonts w:ascii="Times New Roman"/>
          <w:color w:val="000000"/>
          <w:szCs w:val="24"/>
        </w:rPr>
      </w:pPr>
      <w:r>
        <w:rPr>
          <w:rFonts w:ascii="Times New Roman"/>
          <w:color w:val="000000"/>
          <w:szCs w:val="24"/>
        </w:rPr>
        <w:t>建设单位公开上述信息的同时，应当向当地生态环境局报送相关信息，并接受监督检查。</w:t>
      </w:r>
    </w:p>
    <w:p w14:paraId="6BBAED14">
      <w:pPr>
        <w:spacing w:line="500" w:lineRule="exact"/>
        <w:ind w:firstLine="480"/>
        <w:rPr>
          <w:rFonts w:ascii="Times New Roman"/>
          <w:color w:val="000000"/>
          <w:szCs w:val="24"/>
        </w:rPr>
      </w:pPr>
      <w:r>
        <w:rPr>
          <w:rFonts w:ascii="Times New Roman"/>
          <w:color w:val="000000"/>
          <w:szCs w:val="24"/>
        </w:rPr>
        <w:t>④验收报告公示期满后5个工作日内，建设单位需登陆全国建设项目竣工环境保护验收信息平台（http: //47.94.79.251），填报建设项目基本信息、环境保护设施验收情况等相关信息。</w:t>
      </w:r>
    </w:p>
    <w:p w14:paraId="5DF6C82C">
      <w:pPr>
        <w:pStyle w:val="4"/>
        <w:spacing w:after="0" w:line="500" w:lineRule="exact"/>
        <w:jc w:val="both"/>
      </w:pPr>
      <w:bookmarkStart w:id="253" w:name="_Toc23306"/>
      <w:r>
        <w:rPr>
          <w:rFonts w:hint="eastAsia"/>
        </w:rPr>
        <w:t>8.4 污染物排放清单及总量指标</w:t>
      </w:r>
      <w:bookmarkEnd w:id="253"/>
    </w:p>
    <w:p w14:paraId="51C647E8">
      <w:pPr>
        <w:pStyle w:val="7"/>
        <w:spacing w:line="500" w:lineRule="exact"/>
      </w:pPr>
      <w:r>
        <w:rPr>
          <w:rFonts w:hint="eastAsia"/>
        </w:rPr>
        <w:t>8.4.1 污染物排放清单</w:t>
      </w:r>
    </w:p>
    <w:p w14:paraId="2D0EE9CF">
      <w:pPr>
        <w:spacing w:line="500" w:lineRule="exact"/>
        <w:ind w:firstLine="480" w:firstLineChars="200"/>
      </w:pPr>
      <w:r>
        <w:rPr>
          <w:rFonts w:hint="eastAsia"/>
        </w:rPr>
        <w:t>本项目实施后污染物排放情况见表8.4-1。</w:t>
      </w:r>
    </w:p>
    <w:p w14:paraId="70441467">
      <w:pPr>
        <w:pStyle w:val="102"/>
        <w:spacing w:beforeLines="0" w:line="500" w:lineRule="exact"/>
        <w:rPr>
          <w:rFonts w:eastAsia="宋体"/>
          <w:b/>
          <w:color w:val="000000"/>
          <w:sz w:val="24"/>
          <w:szCs w:val="24"/>
        </w:rPr>
      </w:pPr>
      <w:r>
        <w:rPr>
          <w:rFonts w:eastAsia="宋体"/>
          <w:b/>
          <w:color w:val="000000"/>
          <w:sz w:val="24"/>
          <w:szCs w:val="24"/>
        </w:rPr>
        <w:t>表8.4-1 本项目污染物排放情况</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44"/>
        <w:gridCol w:w="1414"/>
        <w:gridCol w:w="1412"/>
        <w:gridCol w:w="1050"/>
        <w:gridCol w:w="1772"/>
        <w:gridCol w:w="2996"/>
      </w:tblGrid>
      <w:tr w14:paraId="3618EA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6" w:type="pct"/>
            <w:vAlign w:val="center"/>
          </w:tcPr>
          <w:p w14:paraId="4D3D40C6">
            <w:pPr>
              <w:adjustRightInd w:val="0"/>
              <w:spacing w:line="300" w:lineRule="exact"/>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类别</w:t>
            </w:r>
          </w:p>
        </w:tc>
        <w:tc>
          <w:tcPr>
            <w:tcW w:w="761" w:type="pct"/>
            <w:vAlign w:val="center"/>
          </w:tcPr>
          <w:p w14:paraId="0ED89BF2">
            <w:pPr>
              <w:adjustRightInd w:val="0"/>
              <w:spacing w:line="300" w:lineRule="exact"/>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污染物种类</w:t>
            </w:r>
          </w:p>
        </w:tc>
        <w:tc>
          <w:tcPr>
            <w:tcW w:w="760" w:type="pct"/>
            <w:vAlign w:val="center"/>
          </w:tcPr>
          <w:p w14:paraId="58B75DEB">
            <w:pPr>
              <w:adjustRightInd w:val="0"/>
              <w:spacing w:line="300" w:lineRule="exact"/>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排放浓度（mg/L）</w:t>
            </w:r>
          </w:p>
        </w:tc>
        <w:tc>
          <w:tcPr>
            <w:tcW w:w="565" w:type="pct"/>
            <w:vAlign w:val="center"/>
          </w:tcPr>
          <w:p w14:paraId="26EB5EB2">
            <w:pPr>
              <w:adjustRightInd w:val="0"/>
              <w:spacing w:line="300" w:lineRule="exact"/>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排放量（t/a）</w:t>
            </w:r>
          </w:p>
        </w:tc>
        <w:tc>
          <w:tcPr>
            <w:tcW w:w="953" w:type="pct"/>
            <w:vAlign w:val="center"/>
          </w:tcPr>
          <w:p w14:paraId="751AF742">
            <w:pPr>
              <w:adjustRightInd w:val="0"/>
              <w:spacing w:line="300" w:lineRule="exact"/>
              <w:jc w:val="center"/>
              <w:rPr>
                <w:rFonts w:ascii="Times New Roman" w:hAnsi="Times New Roman" w:eastAsia="宋体" w:cs="Times New Roman"/>
                <w:bCs/>
                <w:color w:val="FF0000"/>
                <w:sz w:val="21"/>
                <w:szCs w:val="21"/>
              </w:rPr>
            </w:pPr>
            <w:r>
              <w:rPr>
                <w:rFonts w:ascii="Times New Roman" w:hAnsi="Times New Roman" w:eastAsia="宋体" w:cs="Times New Roman"/>
                <w:bCs/>
                <w:color w:val="000000"/>
                <w:sz w:val="21"/>
                <w:szCs w:val="21"/>
              </w:rPr>
              <w:t>治理措施</w:t>
            </w:r>
          </w:p>
        </w:tc>
        <w:tc>
          <w:tcPr>
            <w:tcW w:w="1612" w:type="pct"/>
            <w:vAlign w:val="center"/>
          </w:tcPr>
          <w:p w14:paraId="26B971CC">
            <w:pPr>
              <w:adjustRightInd w:val="0"/>
              <w:spacing w:line="300" w:lineRule="exact"/>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执行的标准</w:t>
            </w:r>
          </w:p>
        </w:tc>
      </w:tr>
      <w:tr w14:paraId="6A3A35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46" w:type="pct"/>
            <w:vMerge w:val="restart"/>
            <w:vAlign w:val="center"/>
          </w:tcPr>
          <w:p w14:paraId="1C39A7D4">
            <w:pPr>
              <w:adjustRightIn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废水</w:t>
            </w:r>
          </w:p>
        </w:tc>
        <w:tc>
          <w:tcPr>
            <w:tcW w:w="761" w:type="pct"/>
            <w:noWrap/>
            <w:vAlign w:val="center"/>
          </w:tcPr>
          <w:p w14:paraId="1C7F2BCA">
            <w:pPr>
              <w:adjustRightIn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废水量</w:t>
            </w:r>
          </w:p>
        </w:tc>
        <w:tc>
          <w:tcPr>
            <w:tcW w:w="760" w:type="pct"/>
            <w:vAlign w:val="center"/>
          </w:tcPr>
          <w:p w14:paraId="4C55EE86">
            <w:pPr>
              <w:adjustRightInd w:val="0"/>
              <w:spacing w:line="300" w:lineRule="exact"/>
              <w:jc w:val="center"/>
              <w:rPr>
                <w:rFonts w:ascii="Times New Roman" w:hAnsi="Times New Roman" w:eastAsia="宋体" w:cs="Times New Roman"/>
                <w:color w:val="000000"/>
                <w:sz w:val="21"/>
                <w:szCs w:val="21"/>
              </w:rPr>
            </w:pPr>
          </w:p>
        </w:tc>
        <w:tc>
          <w:tcPr>
            <w:tcW w:w="565" w:type="pct"/>
            <w:vAlign w:val="center"/>
          </w:tcPr>
          <w:p w14:paraId="3213A952">
            <w:pPr>
              <w:adjustRightInd w:val="0"/>
              <w:spacing w:line="300" w:lineRule="exact"/>
              <w:jc w:val="center"/>
              <w:rPr>
                <w:rFonts w:ascii="Times New Roman" w:hAnsi="Times New Roman" w:eastAsia="宋体" w:cs="Times New Roman"/>
                <w:color w:val="000000"/>
                <w:sz w:val="21"/>
                <w:szCs w:val="21"/>
              </w:rPr>
            </w:pPr>
          </w:p>
        </w:tc>
        <w:tc>
          <w:tcPr>
            <w:tcW w:w="953" w:type="pct"/>
            <w:vMerge w:val="restart"/>
            <w:vAlign w:val="center"/>
          </w:tcPr>
          <w:p w14:paraId="3D5CB379">
            <w:pPr>
              <w:pStyle w:val="89"/>
              <w:rPr>
                <w:rFonts w:ascii="Times New Roman" w:hAnsi="Times New Roman" w:eastAsia="宋体" w:cs="Times New Roman"/>
                <w:color w:val="FF0000"/>
                <w:sz w:val="21"/>
                <w:szCs w:val="21"/>
              </w:rPr>
            </w:pPr>
            <w:r>
              <w:rPr>
                <w:rFonts w:ascii="Times New Roman" w:hAnsi="Times New Roman" w:eastAsia="宋体" w:cs="Times New Roman"/>
                <w:color w:val="000000"/>
                <w:kern w:val="0"/>
                <w:sz w:val="21"/>
                <w:szCs w:val="21"/>
                <w:lang w:bidi="ar"/>
              </w:rPr>
              <w:t>生活污水经化粪池处理后与其他生产废水</w:t>
            </w:r>
            <w:r>
              <w:rPr>
                <w:rFonts w:hint="eastAsia" w:ascii="Times New Roman" w:hAnsi="Times New Roman" w:eastAsia="宋体" w:cs="Times New Roman"/>
                <w:color w:val="000000"/>
                <w:kern w:val="0"/>
                <w:sz w:val="21"/>
                <w:szCs w:val="21"/>
                <w:lang w:bidi="ar"/>
              </w:rPr>
              <w:t>及初期雨水</w:t>
            </w:r>
            <w:r>
              <w:rPr>
                <w:rFonts w:ascii="Times New Roman" w:hAnsi="Times New Roman" w:eastAsia="宋体" w:cs="Times New Roman"/>
                <w:color w:val="000000"/>
                <w:kern w:val="0"/>
                <w:sz w:val="21"/>
                <w:szCs w:val="21"/>
                <w:lang w:bidi="ar"/>
              </w:rPr>
              <w:t>一同经</w:t>
            </w:r>
            <w:r>
              <w:rPr>
                <w:rFonts w:ascii="Times New Roman" w:hAnsi="Times New Roman" w:eastAsia="宋体" w:cs="Times New Roman"/>
                <w:color w:val="000000"/>
                <w:sz w:val="21"/>
                <w:szCs w:val="21"/>
              </w:rPr>
              <w:t>厂区污水处理站（</w:t>
            </w:r>
            <w:r>
              <w:rPr>
                <w:rFonts w:hint="eastAsia" w:ascii="Times New Roman" w:hAnsi="Times New Roman" w:eastAsia="宋体" w:cs="Times New Roman"/>
                <w:color w:val="000000"/>
                <w:sz w:val="21"/>
                <w:szCs w:val="21"/>
              </w:rPr>
              <w:t>采用“</w:t>
            </w:r>
            <w:r>
              <w:rPr>
                <w:rFonts w:ascii="Times New Roman" w:hAnsi="Times New Roman" w:eastAsia="宋体" w:cs="Times New Roman"/>
                <w:sz w:val="21"/>
                <w:szCs w:val="21"/>
              </w:rPr>
              <w:t>格栅+沉砂集水+水解酸化+厌氧反应+好氧处理+消毒</w:t>
            </w:r>
            <w:r>
              <w:rPr>
                <w:rFonts w:hint="eastAsia" w:ascii="Times New Roman" w:hAnsi="Times New Roman" w:eastAsia="宋体" w:cs="Times New Roman"/>
                <w:color w:val="000000"/>
                <w:sz w:val="21"/>
                <w:szCs w:val="21"/>
              </w:rPr>
              <w:t>”</w:t>
            </w:r>
            <w:r>
              <w:rPr>
                <w:rFonts w:ascii="Times New Roman" w:hAnsi="Times New Roman" w:eastAsia="宋体" w:cs="Times New Roman"/>
                <w:color w:val="000000"/>
                <w:sz w:val="21"/>
                <w:szCs w:val="21"/>
              </w:rPr>
              <w:t>）</w:t>
            </w:r>
            <w:r>
              <w:rPr>
                <w:rFonts w:ascii="Times New Roman" w:hAnsi="Times New Roman" w:eastAsia="宋体" w:cs="Times New Roman"/>
                <w:sz w:val="21"/>
                <w:szCs w:val="21"/>
              </w:rPr>
              <w:t>处理</w:t>
            </w:r>
          </w:p>
        </w:tc>
        <w:tc>
          <w:tcPr>
            <w:tcW w:w="1612" w:type="pct"/>
            <w:vMerge w:val="restart"/>
            <w:vAlign w:val="center"/>
          </w:tcPr>
          <w:p w14:paraId="2C764F44">
            <w:pPr>
              <w:pStyle w:val="89"/>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处理后尾水</w:t>
            </w:r>
            <w:r>
              <w:rPr>
                <w:rFonts w:ascii="Times New Roman" w:hAnsi="Times New Roman" w:eastAsia="宋体" w:cs="Times New Roman"/>
                <w:color w:val="000000"/>
                <w:sz w:val="21"/>
                <w:szCs w:val="21"/>
              </w:rPr>
              <w:t>满足《农田灌溉水质标准》（GB5084-20</w:t>
            </w:r>
            <w:r>
              <w:rPr>
                <w:rFonts w:hint="eastAsia" w:ascii="Times New Roman" w:hAnsi="Times New Roman" w:eastAsia="宋体" w:cs="Times New Roman"/>
                <w:color w:val="000000"/>
                <w:sz w:val="21"/>
                <w:szCs w:val="21"/>
              </w:rPr>
              <w:t>21</w:t>
            </w:r>
            <w:r>
              <w:rPr>
                <w:rFonts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rPr>
              <w:t>表1</w:t>
            </w:r>
            <w:r>
              <w:rPr>
                <w:rFonts w:ascii="Times New Roman" w:hAnsi="Times New Roman" w:eastAsia="宋体" w:cs="Times New Roman"/>
                <w:color w:val="000000"/>
                <w:sz w:val="21"/>
                <w:szCs w:val="21"/>
              </w:rPr>
              <w:t>中</w:t>
            </w:r>
            <w:r>
              <w:rPr>
                <w:rFonts w:hint="eastAsia" w:ascii="Times New Roman" w:hAnsi="Times New Roman" w:eastAsia="宋体" w:cs="Times New Roman"/>
                <w:color w:val="000000"/>
                <w:sz w:val="21"/>
                <w:szCs w:val="21"/>
              </w:rPr>
              <w:t>“</w:t>
            </w:r>
            <w:r>
              <w:rPr>
                <w:rFonts w:ascii="Times New Roman" w:hAnsi="Times New Roman" w:eastAsia="宋体" w:cs="Times New Roman"/>
                <w:color w:val="000000"/>
                <w:sz w:val="21"/>
                <w:szCs w:val="21"/>
              </w:rPr>
              <w:t>水作标准</w:t>
            </w:r>
            <w:r>
              <w:rPr>
                <w:rFonts w:hint="eastAsia" w:ascii="Times New Roman" w:hAnsi="Times New Roman" w:eastAsia="宋体" w:cs="Times New Roman"/>
                <w:color w:val="000000"/>
                <w:sz w:val="21"/>
                <w:szCs w:val="21"/>
              </w:rPr>
              <w:t>”后通</w:t>
            </w:r>
            <w:r>
              <w:rPr>
                <w:rFonts w:hint="eastAsia" w:ascii="Times New Roman" w:hAnsi="Times New Roman" w:eastAsia="宋体" w:cs="Times New Roman"/>
                <w:color w:val="000000"/>
                <w:sz w:val="21"/>
                <w:szCs w:val="21"/>
                <w:lang w:eastAsia="zh-CN"/>
              </w:rPr>
              <w:t>过管道输送至项目配套农田</w:t>
            </w:r>
            <w:r>
              <w:rPr>
                <w:rFonts w:hint="eastAsia" w:ascii="Times New Roman" w:hAnsi="Times New Roman" w:eastAsia="宋体" w:cs="Times New Roman"/>
                <w:color w:val="000000"/>
                <w:sz w:val="21"/>
                <w:szCs w:val="21"/>
              </w:rPr>
              <w:t>作为</w:t>
            </w:r>
            <w:r>
              <w:rPr>
                <w:rFonts w:ascii="Times New Roman" w:hAnsi="Times New Roman" w:eastAsia="宋体" w:cs="Times New Roman"/>
                <w:color w:val="000000"/>
                <w:sz w:val="21"/>
                <w:szCs w:val="21"/>
              </w:rPr>
              <w:t>灌溉</w:t>
            </w:r>
            <w:r>
              <w:rPr>
                <w:rFonts w:hint="eastAsia" w:ascii="Times New Roman" w:hAnsi="Times New Roman" w:eastAsia="宋体" w:cs="Times New Roman"/>
                <w:color w:val="000000"/>
                <w:sz w:val="21"/>
                <w:szCs w:val="21"/>
              </w:rPr>
              <w:t>用水</w:t>
            </w:r>
          </w:p>
        </w:tc>
      </w:tr>
      <w:tr w14:paraId="00FDE4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46" w:type="pct"/>
            <w:vMerge w:val="continue"/>
            <w:vAlign w:val="center"/>
          </w:tcPr>
          <w:p w14:paraId="5A2410CD">
            <w:pPr>
              <w:adjustRightInd w:val="0"/>
              <w:spacing w:line="300" w:lineRule="exact"/>
              <w:jc w:val="center"/>
              <w:rPr>
                <w:rFonts w:ascii="Times New Roman" w:hAnsi="Times New Roman" w:eastAsia="宋体" w:cs="Times New Roman"/>
                <w:color w:val="000000"/>
                <w:sz w:val="21"/>
                <w:szCs w:val="21"/>
              </w:rPr>
            </w:pPr>
          </w:p>
        </w:tc>
        <w:tc>
          <w:tcPr>
            <w:tcW w:w="761" w:type="pct"/>
            <w:noWrap/>
            <w:vAlign w:val="center"/>
          </w:tcPr>
          <w:p w14:paraId="70030F8D">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COD</w:t>
            </w:r>
          </w:p>
        </w:tc>
        <w:tc>
          <w:tcPr>
            <w:tcW w:w="760" w:type="pct"/>
            <w:vAlign w:val="center"/>
          </w:tcPr>
          <w:p w14:paraId="008C6F89">
            <w:pPr>
              <w:spacing w:line="300" w:lineRule="exact"/>
              <w:jc w:val="center"/>
              <w:rPr>
                <w:rFonts w:ascii="Times New Roman" w:hAnsi="Times New Roman" w:eastAsia="宋体" w:cs="Times New Roman"/>
                <w:color w:val="000000"/>
                <w:sz w:val="21"/>
                <w:szCs w:val="21"/>
              </w:rPr>
            </w:pPr>
          </w:p>
        </w:tc>
        <w:tc>
          <w:tcPr>
            <w:tcW w:w="565" w:type="pct"/>
            <w:vAlign w:val="center"/>
          </w:tcPr>
          <w:p w14:paraId="3A632C5F">
            <w:pPr>
              <w:spacing w:line="300" w:lineRule="exact"/>
              <w:jc w:val="center"/>
              <w:rPr>
                <w:rFonts w:ascii="Times New Roman" w:hAnsi="Times New Roman" w:eastAsia="宋体" w:cs="Times New Roman"/>
                <w:color w:val="000000"/>
                <w:sz w:val="21"/>
                <w:szCs w:val="21"/>
              </w:rPr>
            </w:pPr>
          </w:p>
        </w:tc>
        <w:tc>
          <w:tcPr>
            <w:tcW w:w="953" w:type="pct"/>
            <w:vMerge w:val="continue"/>
            <w:vAlign w:val="center"/>
          </w:tcPr>
          <w:p w14:paraId="519AC491">
            <w:pPr>
              <w:adjustRightInd w:val="0"/>
              <w:spacing w:line="300" w:lineRule="exact"/>
              <w:jc w:val="center"/>
              <w:rPr>
                <w:rFonts w:ascii="Times New Roman" w:hAnsi="Times New Roman" w:eastAsia="宋体" w:cs="Times New Roman"/>
                <w:color w:val="FF0000"/>
                <w:sz w:val="21"/>
                <w:szCs w:val="21"/>
              </w:rPr>
            </w:pPr>
          </w:p>
        </w:tc>
        <w:tc>
          <w:tcPr>
            <w:tcW w:w="1612" w:type="pct"/>
            <w:vMerge w:val="continue"/>
            <w:noWrap/>
            <w:vAlign w:val="center"/>
          </w:tcPr>
          <w:p w14:paraId="75071518">
            <w:pPr>
              <w:adjustRightInd w:val="0"/>
              <w:spacing w:line="300" w:lineRule="exact"/>
              <w:jc w:val="center"/>
              <w:rPr>
                <w:rFonts w:ascii="Times New Roman" w:hAnsi="Times New Roman" w:eastAsia="宋体" w:cs="Times New Roman"/>
                <w:color w:val="FF0000"/>
                <w:sz w:val="21"/>
                <w:szCs w:val="21"/>
              </w:rPr>
            </w:pPr>
          </w:p>
        </w:tc>
      </w:tr>
      <w:tr w14:paraId="6D97D2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46" w:type="pct"/>
            <w:vMerge w:val="continue"/>
            <w:vAlign w:val="center"/>
          </w:tcPr>
          <w:p w14:paraId="6C6F1D86">
            <w:pPr>
              <w:adjustRightInd w:val="0"/>
              <w:spacing w:line="300" w:lineRule="exact"/>
              <w:jc w:val="center"/>
              <w:rPr>
                <w:rFonts w:ascii="Times New Roman" w:hAnsi="Times New Roman" w:eastAsia="宋体" w:cs="Times New Roman"/>
                <w:color w:val="000000"/>
                <w:sz w:val="21"/>
                <w:szCs w:val="21"/>
              </w:rPr>
            </w:pPr>
          </w:p>
        </w:tc>
        <w:tc>
          <w:tcPr>
            <w:tcW w:w="761" w:type="pct"/>
            <w:noWrap/>
            <w:vAlign w:val="center"/>
          </w:tcPr>
          <w:p w14:paraId="01F78397">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BOD</w:t>
            </w:r>
            <w:r>
              <w:rPr>
                <w:rFonts w:ascii="Times New Roman" w:hAnsi="Times New Roman" w:eastAsia="宋体" w:cs="Times New Roman"/>
                <w:color w:val="000000"/>
                <w:sz w:val="21"/>
                <w:szCs w:val="21"/>
                <w:vertAlign w:val="subscript"/>
              </w:rPr>
              <w:t>5</w:t>
            </w:r>
          </w:p>
        </w:tc>
        <w:tc>
          <w:tcPr>
            <w:tcW w:w="760" w:type="pct"/>
            <w:vAlign w:val="center"/>
          </w:tcPr>
          <w:p w14:paraId="77DB0AED">
            <w:pPr>
              <w:spacing w:line="300" w:lineRule="exact"/>
              <w:jc w:val="center"/>
              <w:rPr>
                <w:rFonts w:ascii="Times New Roman" w:hAnsi="Times New Roman" w:eastAsia="宋体" w:cs="Times New Roman"/>
                <w:color w:val="000000"/>
                <w:sz w:val="21"/>
                <w:szCs w:val="21"/>
              </w:rPr>
            </w:pPr>
          </w:p>
        </w:tc>
        <w:tc>
          <w:tcPr>
            <w:tcW w:w="565" w:type="pct"/>
            <w:vAlign w:val="center"/>
          </w:tcPr>
          <w:p w14:paraId="3BB63148">
            <w:pPr>
              <w:spacing w:line="300" w:lineRule="exact"/>
              <w:jc w:val="center"/>
              <w:rPr>
                <w:rFonts w:ascii="Times New Roman" w:hAnsi="Times New Roman" w:eastAsia="宋体" w:cs="Times New Roman"/>
                <w:color w:val="000000"/>
                <w:sz w:val="21"/>
                <w:szCs w:val="21"/>
              </w:rPr>
            </w:pPr>
          </w:p>
        </w:tc>
        <w:tc>
          <w:tcPr>
            <w:tcW w:w="953" w:type="pct"/>
            <w:vMerge w:val="continue"/>
            <w:vAlign w:val="center"/>
          </w:tcPr>
          <w:p w14:paraId="3703ECCB">
            <w:pPr>
              <w:adjustRightInd w:val="0"/>
              <w:spacing w:line="300" w:lineRule="exact"/>
              <w:jc w:val="center"/>
              <w:rPr>
                <w:rFonts w:ascii="Times New Roman" w:hAnsi="Times New Roman" w:eastAsia="宋体" w:cs="Times New Roman"/>
                <w:color w:val="FF0000"/>
                <w:sz w:val="21"/>
                <w:szCs w:val="21"/>
              </w:rPr>
            </w:pPr>
          </w:p>
        </w:tc>
        <w:tc>
          <w:tcPr>
            <w:tcW w:w="1612" w:type="pct"/>
            <w:vMerge w:val="continue"/>
            <w:noWrap/>
            <w:vAlign w:val="center"/>
          </w:tcPr>
          <w:p w14:paraId="39CAFE58">
            <w:pPr>
              <w:adjustRightInd w:val="0"/>
              <w:spacing w:line="300" w:lineRule="exact"/>
              <w:jc w:val="center"/>
              <w:rPr>
                <w:rFonts w:ascii="Times New Roman" w:hAnsi="Times New Roman" w:eastAsia="宋体" w:cs="Times New Roman"/>
                <w:color w:val="FF0000"/>
                <w:sz w:val="21"/>
                <w:szCs w:val="21"/>
              </w:rPr>
            </w:pPr>
          </w:p>
        </w:tc>
      </w:tr>
      <w:tr w14:paraId="03FE53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46" w:type="pct"/>
            <w:vMerge w:val="continue"/>
            <w:vAlign w:val="center"/>
          </w:tcPr>
          <w:p w14:paraId="7AFB6FDB">
            <w:pPr>
              <w:adjustRightInd w:val="0"/>
              <w:spacing w:line="300" w:lineRule="exact"/>
              <w:jc w:val="center"/>
              <w:rPr>
                <w:rFonts w:ascii="Times New Roman" w:hAnsi="Times New Roman" w:eastAsia="宋体" w:cs="Times New Roman"/>
                <w:color w:val="000000"/>
                <w:sz w:val="21"/>
                <w:szCs w:val="21"/>
              </w:rPr>
            </w:pPr>
          </w:p>
        </w:tc>
        <w:tc>
          <w:tcPr>
            <w:tcW w:w="761" w:type="pct"/>
            <w:noWrap/>
            <w:vAlign w:val="center"/>
          </w:tcPr>
          <w:p w14:paraId="1C0F0B35">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SS</w:t>
            </w:r>
          </w:p>
        </w:tc>
        <w:tc>
          <w:tcPr>
            <w:tcW w:w="760" w:type="pct"/>
            <w:vAlign w:val="center"/>
          </w:tcPr>
          <w:p w14:paraId="6E3F48E5">
            <w:pPr>
              <w:spacing w:line="300" w:lineRule="exact"/>
              <w:jc w:val="center"/>
              <w:rPr>
                <w:rFonts w:ascii="Times New Roman" w:hAnsi="Times New Roman" w:eastAsia="宋体" w:cs="Times New Roman"/>
                <w:color w:val="000000"/>
                <w:sz w:val="21"/>
                <w:szCs w:val="21"/>
              </w:rPr>
            </w:pPr>
          </w:p>
        </w:tc>
        <w:tc>
          <w:tcPr>
            <w:tcW w:w="565" w:type="pct"/>
            <w:vAlign w:val="center"/>
          </w:tcPr>
          <w:p w14:paraId="3934AA2A">
            <w:pPr>
              <w:spacing w:line="300" w:lineRule="exact"/>
              <w:jc w:val="center"/>
              <w:rPr>
                <w:rFonts w:ascii="Times New Roman" w:hAnsi="Times New Roman" w:eastAsia="宋体" w:cs="Times New Roman"/>
                <w:color w:val="000000"/>
                <w:sz w:val="21"/>
                <w:szCs w:val="21"/>
              </w:rPr>
            </w:pPr>
          </w:p>
        </w:tc>
        <w:tc>
          <w:tcPr>
            <w:tcW w:w="953" w:type="pct"/>
            <w:vMerge w:val="continue"/>
            <w:vAlign w:val="center"/>
          </w:tcPr>
          <w:p w14:paraId="2F26013F">
            <w:pPr>
              <w:adjustRightInd w:val="0"/>
              <w:spacing w:line="300" w:lineRule="exact"/>
              <w:jc w:val="center"/>
              <w:rPr>
                <w:rFonts w:ascii="Times New Roman" w:hAnsi="Times New Roman" w:eastAsia="宋体" w:cs="Times New Roman"/>
                <w:color w:val="FF0000"/>
                <w:sz w:val="21"/>
                <w:szCs w:val="21"/>
              </w:rPr>
            </w:pPr>
          </w:p>
        </w:tc>
        <w:tc>
          <w:tcPr>
            <w:tcW w:w="1612" w:type="pct"/>
            <w:vMerge w:val="continue"/>
            <w:noWrap/>
            <w:vAlign w:val="center"/>
          </w:tcPr>
          <w:p w14:paraId="1274757B">
            <w:pPr>
              <w:adjustRightInd w:val="0"/>
              <w:spacing w:line="300" w:lineRule="exact"/>
              <w:jc w:val="center"/>
              <w:rPr>
                <w:rFonts w:ascii="Times New Roman" w:hAnsi="Times New Roman" w:eastAsia="宋体" w:cs="Times New Roman"/>
                <w:color w:val="FF0000"/>
                <w:sz w:val="21"/>
                <w:szCs w:val="21"/>
              </w:rPr>
            </w:pPr>
          </w:p>
        </w:tc>
      </w:tr>
      <w:tr w14:paraId="6E0A33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46" w:type="pct"/>
            <w:vMerge w:val="continue"/>
            <w:vAlign w:val="center"/>
          </w:tcPr>
          <w:p w14:paraId="108BE14B">
            <w:pPr>
              <w:adjustRightInd w:val="0"/>
              <w:spacing w:line="300" w:lineRule="exact"/>
              <w:jc w:val="center"/>
              <w:rPr>
                <w:rFonts w:ascii="Times New Roman" w:hAnsi="Times New Roman" w:eastAsia="宋体" w:cs="Times New Roman"/>
                <w:color w:val="000000"/>
                <w:sz w:val="21"/>
                <w:szCs w:val="21"/>
              </w:rPr>
            </w:pPr>
          </w:p>
        </w:tc>
        <w:tc>
          <w:tcPr>
            <w:tcW w:w="761" w:type="pct"/>
            <w:noWrap/>
            <w:vAlign w:val="center"/>
          </w:tcPr>
          <w:p w14:paraId="66A217EA">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NH</w:t>
            </w:r>
            <w:r>
              <w:rPr>
                <w:rFonts w:ascii="Times New Roman" w:hAnsi="Times New Roman" w:eastAsia="宋体" w:cs="Times New Roman"/>
                <w:color w:val="000000"/>
                <w:sz w:val="21"/>
                <w:szCs w:val="21"/>
                <w:vertAlign w:val="subscript"/>
              </w:rPr>
              <w:t>3</w:t>
            </w:r>
            <w:r>
              <w:rPr>
                <w:rFonts w:ascii="Times New Roman" w:hAnsi="Times New Roman" w:eastAsia="宋体" w:cs="Times New Roman"/>
                <w:color w:val="000000"/>
                <w:sz w:val="21"/>
                <w:szCs w:val="21"/>
              </w:rPr>
              <w:t>-N</w:t>
            </w:r>
          </w:p>
        </w:tc>
        <w:tc>
          <w:tcPr>
            <w:tcW w:w="760" w:type="pct"/>
            <w:vAlign w:val="center"/>
          </w:tcPr>
          <w:p w14:paraId="6B70076D">
            <w:pPr>
              <w:spacing w:line="300" w:lineRule="exact"/>
              <w:jc w:val="center"/>
              <w:rPr>
                <w:rFonts w:ascii="Times New Roman" w:hAnsi="Times New Roman" w:eastAsia="宋体" w:cs="Times New Roman"/>
                <w:color w:val="000000"/>
                <w:sz w:val="21"/>
                <w:szCs w:val="21"/>
              </w:rPr>
            </w:pPr>
          </w:p>
        </w:tc>
        <w:tc>
          <w:tcPr>
            <w:tcW w:w="565" w:type="pct"/>
            <w:vAlign w:val="center"/>
          </w:tcPr>
          <w:p w14:paraId="593547A8">
            <w:pPr>
              <w:spacing w:line="300" w:lineRule="exact"/>
              <w:jc w:val="center"/>
              <w:rPr>
                <w:rFonts w:ascii="Times New Roman" w:hAnsi="Times New Roman" w:eastAsia="宋体" w:cs="Times New Roman"/>
                <w:color w:val="000000"/>
                <w:sz w:val="21"/>
                <w:szCs w:val="21"/>
              </w:rPr>
            </w:pPr>
          </w:p>
        </w:tc>
        <w:tc>
          <w:tcPr>
            <w:tcW w:w="953" w:type="pct"/>
            <w:vMerge w:val="continue"/>
            <w:vAlign w:val="center"/>
          </w:tcPr>
          <w:p w14:paraId="45E3DF0D">
            <w:pPr>
              <w:adjustRightInd w:val="0"/>
              <w:spacing w:line="300" w:lineRule="exact"/>
              <w:jc w:val="center"/>
              <w:rPr>
                <w:rFonts w:ascii="Times New Roman" w:hAnsi="Times New Roman" w:eastAsia="宋体" w:cs="Times New Roman"/>
                <w:color w:val="FF0000"/>
                <w:sz w:val="21"/>
                <w:szCs w:val="21"/>
              </w:rPr>
            </w:pPr>
          </w:p>
        </w:tc>
        <w:tc>
          <w:tcPr>
            <w:tcW w:w="1612" w:type="pct"/>
            <w:vMerge w:val="continue"/>
            <w:noWrap/>
            <w:vAlign w:val="center"/>
          </w:tcPr>
          <w:p w14:paraId="3897243B">
            <w:pPr>
              <w:adjustRightInd w:val="0"/>
              <w:spacing w:line="300" w:lineRule="exact"/>
              <w:jc w:val="center"/>
              <w:rPr>
                <w:rFonts w:ascii="Times New Roman" w:hAnsi="Times New Roman" w:eastAsia="宋体" w:cs="Times New Roman"/>
                <w:color w:val="FF0000"/>
                <w:sz w:val="21"/>
                <w:szCs w:val="21"/>
              </w:rPr>
            </w:pPr>
          </w:p>
        </w:tc>
      </w:tr>
      <w:tr w14:paraId="13B675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46" w:type="pct"/>
            <w:vMerge w:val="continue"/>
            <w:vAlign w:val="center"/>
          </w:tcPr>
          <w:p w14:paraId="7A610ACD">
            <w:pPr>
              <w:adjustRightInd w:val="0"/>
              <w:spacing w:line="300" w:lineRule="exact"/>
              <w:jc w:val="center"/>
              <w:rPr>
                <w:rFonts w:ascii="Times New Roman" w:hAnsi="Times New Roman" w:eastAsia="宋体" w:cs="Times New Roman"/>
                <w:color w:val="000000"/>
                <w:sz w:val="21"/>
                <w:szCs w:val="21"/>
              </w:rPr>
            </w:pPr>
          </w:p>
        </w:tc>
        <w:tc>
          <w:tcPr>
            <w:tcW w:w="761" w:type="pct"/>
            <w:noWrap/>
            <w:vAlign w:val="center"/>
          </w:tcPr>
          <w:p w14:paraId="7A002C47">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TP</w:t>
            </w:r>
          </w:p>
        </w:tc>
        <w:tc>
          <w:tcPr>
            <w:tcW w:w="760" w:type="pct"/>
            <w:vAlign w:val="center"/>
          </w:tcPr>
          <w:p w14:paraId="7AAEE212">
            <w:pPr>
              <w:spacing w:line="300" w:lineRule="exact"/>
              <w:jc w:val="center"/>
              <w:rPr>
                <w:rFonts w:ascii="Times New Roman" w:hAnsi="Times New Roman" w:eastAsia="宋体" w:cs="Times New Roman"/>
                <w:color w:val="000000"/>
                <w:sz w:val="21"/>
                <w:szCs w:val="21"/>
              </w:rPr>
            </w:pPr>
          </w:p>
        </w:tc>
        <w:tc>
          <w:tcPr>
            <w:tcW w:w="565" w:type="pct"/>
            <w:vAlign w:val="center"/>
          </w:tcPr>
          <w:p w14:paraId="29301F82">
            <w:pPr>
              <w:spacing w:line="300" w:lineRule="exact"/>
              <w:jc w:val="center"/>
              <w:rPr>
                <w:rFonts w:ascii="Times New Roman" w:hAnsi="Times New Roman" w:eastAsia="宋体" w:cs="Times New Roman"/>
                <w:color w:val="000000"/>
                <w:sz w:val="21"/>
                <w:szCs w:val="21"/>
              </w:rPr>
            </w:pPr>
          </w:p>
        </w:tc>
        <w:tc>
          <w:tcPr>
            <w:tcW w:w="953" w:type="pct"/>
            <w:vMerge w:val="continue"/>
            <w:vAlign w:val="center"/>
          </w:tcPr>
          <w:p w14:paraId="3755ED75">
            <w:pPr>
              <w:adjustRightInd w:val="0"/>
              <w:spacing w:line="300" w:lineRule="exact"/>
              <w:jc w:val="center"/>
              <w:rPr>
                <w:rFonts w:ascii="Times New Roman" w:hAnsi="Times New Roman" w:eastAsia="宋体" w:cs="Times New Roman"/>
                <w:color w:val="FF0000"/>
                <w:sz w:val="21"/>
                <w:szCs w:val="21"/>
              </w:rPr>
            </w:pPr>
          </w:p>
        </w:tc>
        <w:tc>
          <w:tcPr>
            <w:tcW w:w="1612" w:type="pct"/>
            <w:vMerge w:val="continue"/>
            <w:noWrap/>
            <w:vAlign w:val="center"/>
          </w:tcPr>
          <w:p w14:paraId="7CED25D5">
            <w:pPr>
              <w:adjustRightInd w:val="0"/>
              <w:spacing w:line="300" w:lineRule="exact"/>
              <w:jc w:val="center"/>
              <w:rPr>
                <w:rFonts w:ascii="Times New Roman" w:hAnsi="Times New Roman" w:eastAsia="宋体" w:cs="Times New Roman"/>
                <w:color w:val="FF0000"/>
                <w:sz w:val="21"/>
                <w:szCs w:val="21"/>
              </w:rPr>
            </w:pPr>
          </w:p>
        </w:tc>
      </w:tr>
      <w:tr w14:paraId="7CEDAA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46" w:type="pct"/>
            <w:vMerge w:val="continue"/>
            <w:vAlign w:val="center"/>
          </w:tcPr>
          <w:p w14:paraId="29C56F1C">
            <w:pPr>
              <w:adjustRightInd w:val="0"/>
              <w:spacing w:line="300" w:lineRule="exact"/>
              <w:jc w:val="center"/>
              <w:rPr>
                <w:rFonts w:ascii="Times New Roman" w:hAnsi="Times New Roman" w:eastAsia="宋体" w:cs="Times New Roman"/>
                <w:color w:val="000000"/>
                <w:sz w:val="21"/>
                <w:szCs w:val="21"/>
              </w:rPr>
            </w:pPr>
          </w:p>
        </w:tc>
        <w:tc>
          <w:tcPr>
            <w:tcW w:w="761" w:type="pct"/>
            <w:noWrap/>
            <w:vAlign w:val="center"/>
          </w:tcPr>
          <w:p w14:paraId="7FC9F44E">
            <w:pPr>
              <w:spacing w:line="300" w:lineRule="exact"/>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TN</w:t>
            </w:r>
          </w:p>
        </w:tc>
        <w:tc>
          <w:tcPr>
            <w:tcW w:w="760" w:type="pct"/>
            <w:vAlign w:val="center"/>
          </w:tcPr>
          <w:p w14:paraId="221E9439">
            <w:pPr>
              <w:spacing w:line="300" w:lineRule="exact"/>
              <w:jc w:val="center"/>
              <w:rPr>
                <w:rFonts w:ascii="Times New Roman" w:hAnsi="Times New Roman" w:eastAsia="宋体" w:cs="Times New Roman"/>
                <w:color w:val="000000"/>
                <w:sz w:val="21"/>
                <w:szCs w:val="21"/>
              </w:rPr>
            </w:pPr>
          </w:p>
        </w:tc>
        <w:tc>
          <w:tcPr>
            <w:tcW w:w="565" w:type="pct"/>
            <w:vAlign w:val="center"/>
          </w:tcPr>
          <w:p w14:paraId="4DE27703">
            <w:pPr>
              <w:spacing w:line="300" w:lineRule="exact"/>
              <w:jc w:val="center"/>
              <w:rPr>
                <w:rFonts w:ascii="Times New Roman" w:hAnsi="Times New Roman" w:eastAsia="宋体" w:cs="Times New Roman"/>
                <w:color w:val="000000"/>
                <w:sz w:val="21"/>
                <w:szCs w:val="21"/>
              </w:rPr>
            </w:pPr>
          </w:p>
        </w:tc>
        <w:tc>
          <w:tcPr>
            <w:tcW w:w="953" w:type="pct"/>
            <w:vMerge w:val="continue"/>
            <w:vAlign w:val="center"/>
          </w:tcPr>
          <w:p w14:paraId="55B5F4A6">
            <w:pPr>
              <w:adjustRightInd w:val="0"/>
              <w:spacing w:line="300" w:lineRule="exact"/>
              <w:jc w:val="center"/>
              <w:rPr>
                <w:rFonts w:ascii="Times New Roman" w:hAnsi="Times New Roman" w:eastAsia="宋体" w:cs="Times New Roman"/>
                <w:color w:val="FF0000"/>
                <w:sz w:val="21"/>
                <w:szCs w:val="21"/>
              </w:rPr>
            </w:pPr>
          </w:p>
        </w:tc>
        <w:tc>
          <w:tcPr>
            <w:tcW w:w="1612" w:type="pct"/>
            <w:vMerge w:val="continue"/>
            <w:noWrap/>
            <w:vAlign w:val="center"/>
          </w:tcPr>
          <w:p w14:paraId="613AD9DF">
            <w:pPr>
              <w:adjustRightInd w:val="0"/>
              <w:spacing w:line="300" w:lineRule="exact"/>
              <w:jc w:val="center"/>
              <w:rPr>
                <w:rFonts w:ascii="Times New Roman" w:hAnsi="Times New Roman" w:eastAsia="宋体" w:cs="Times New Roman"/>
                <w:color w:val="FF0000"/>
                <w:sz w:val="21"/>
                <w:szCs w:val="21"/>
              </w:rPr>
            </w:pPr>
          </w:p>
        </w:tc>
      </w:tr>
      <w:tr w14:paraId="43AA84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46" w:type="pct"/>
            <w:vMerge w:val="continue"/>
            <w:vAlign w:val="center"/>
          </w:tcPr>
          <w:p w14:paraId="3F62576C">
            <w:pPr>
              <w:adjustRightInd w:val="0"/>
              <w:spacing w:line="300" w:lineRule="exact"/>
              <w:jc w:val="center"/>
              <w:rPr>
                <w:rFonts w:ascii="Times New Roman" w:hAnsi="Times New Roman" w:eastAsia="宋体" w:cs="Times New Roman"/>
                <w:color w:val="000000"/>
                <w:sz w:val="21"/>
                <w:szCs w:val="21"/>
              </w:rPr>
            </w:pPr>
          </w:p>
        </w:tc>
        <w:tc>
          <w:tcPr>
            <w:tcW w:w="761" w:type="pct"/>
            <w:noWrap/>
            <w:vAlign w:val="center"/>
          </w:tcPr>
          <w:p w14:paraId="3513934A">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kern w:val="0"/>
                <w:sz w:val="21"/>
                <w:szCs w:val="21"/>
              </w:rPr>
              <w:t>粪大肠菌群</w:t>
            </w:r>
          </w:p>
        </w:tc>
        <w:tc>
          <w:tcPr>
            <w:tcW w:w="760" w:type="pct"/>
            <w:vAlign w:val="center"/>
          </w:tcPr>
          <w:p w14:paraId="0B2EA442">
            <w:pPr>
              <w:spacing w:line="300" w:lineRule="exact"/>
              <w:jc w:val="center"/>
              <w:rPr>
                <w:rFonts w:ascii="Times New Roman" w:hAnsi="Times New Roman" w:eastAsia="宋体" w:cs="Times New Roman"/>
                <w:color w:val="000000"/>
                <w:sz w:val="21"/>
                <w:szCs w:val="21"/>
              </w:rPr>
            </w:pPr>
          </w:p>
        </w:tc>
        <w:tc>
          <w:tcPr>
            <w:tcW w:w="565" w:type="pct"/>
            <w:vAlign w:val="center"/>
          </w:tcPr>
          <w:p w14:paraId="5A61CF20">
            <w:pPr>
              <w:spacing w:line="300" w:lineRule="exact"/>
              <w:jc w:val="center"/>
              <w:rPr>
                <w:rFonts w:ascii="Times New Roman" w:hAnsi="Times New Roman" w:eastAsia="宋体" w:cs="Times New Roman"/>
                <w:color w:val="000000"/>
                <w:sz w:val="21"/>
                <w:szCs w:val="21"/>
              </w:rPr>
            </w:pPr>
          </w:p>
        </w:tc>
        <w:tc>
          <w:tcPr>
            <w:tcW w:w="953" w:type="pct"/>
            <w:vMerge w:val="continue"/>
            <w:vAlign w:val="center"/>
          </w:tcPr>
          <w:p w14:paraId="4FD10858">
            <w:pPr>
              <w:adjustRightInd w:val="0"/>
              <w:spacing w:line="300" w:lineRule="exact"/>
              <w:jc w:val="center"/>
              <w:rPr>
                <w:rFonts w:ascii="Times New Roman" w:hAnsi="Times New Roman" w:eastAsia="宋体" w:cs="Times New Roman"/>
                <w:color w:val="FF0000"/>
                <w:sz w:val="21"/>
                <w:szCs w:val="21"/>
              </w:rPr>
            </w:pPr>
          </w:p>
        </w:tc>
        <w:tc>
          <w:tcPr>
            <w:tcW w:w="1612" w:type="pct"/>
            <w:vMerge w:val="continue"/>
            <w:noWrap/>
            <w:vAlign w:val="center"/>
          </w:tcPr>
          <w:p w14:paraId="00B2153C">
            <w:pPr>
              <w:adjustRightInd w:val="0"/>
              <w:spacing w:line="300" w:lineRule="exact"/>
              <w:jc w:val="center"/>
              <w:rPr>
                <w:rFonts w:ascii="Times New Roman" w:hAnsi="Times New Roman" w:eastAsia="宋体" w:cs="Times New Roman"/>
                <w:color w:val="FF0000"/>
                <w:sz w:val="21"/>
                <w:szCs w:val="21"/>
              </w:rPr>
            </w:pPr>
          </w:p>
        </w:tc>
      </w:tr>
      <w:tr w14:paraId="38CC8F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6" w:type="pct"/>
            <w:vMerge w:val="restart"/>
            <w:vAlign w:val="center"/>
          </w:tcPr>
          <w:p w14:paraId="676E6945">
            <w:pPr>
              <w:adjustRightIn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废气</w:t>
            </w:r>
          </w:p>
        </w:tc>
        <w:tc>
          <w:tcPr>
            <w:tcW w:w="761" w:type="pct"/>
            <w:noWrap/>
            <w:vAlign w:val="center"/>
          </w:tcPr>
          <w:p w14:paraId="68C801AF">
            <w:pPr>
              <w:adjustRightInd w:val="0"/>
              <w:spacing w:line="300" w:lineRule="exact"/>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污染物种类</w:t>
            </w:r>
          </w:p>
        </w:tc>
        <w:tc>
          <w:tcPr>
            <w:tcW w:w="760" w:type="pct"/>
            <w:vAlign w:val="center"/>
          </w:tcPr>
          <w:p w14:paraId="43129E47">
            <w:pPr>
              <w:adjustRightInd w:val="0"/>
              <w:spacing w:line="300" w:lineRule="exact"/>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排放浓度（mg/m</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w:t>
            </w:r>
          </w:p>
        </w:tc>
        <w:tc>
          <w:tcPr>
            <w:tcW w:w="565" w:type="pct"/>
            <w:vAlign w:val="center"/>
          </w:tcPr>
          <w:p w14:paraId="4325615A">
            <w:pPr>
              <w:adjustRightInd w:val="0"/>
              <w:spacing w:line="300" w:lineRule="exact"/>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排放量（t/a）</w:t>
            </w:r>
          </w:p>
        </w:tc>
        <w:tc>
          <w:tcPr>
            <w:tcW w:w="953" w:type="pct"/>
            <w:vAlign w:val="center"/>
          </w:tcPr>
          <w:p w14:paraId="07276F53">
            <w:pPr>
              <w:adjustRightInd w:val="0"/>
              <w:spacing w:line="300" w:lineRule="exact"/>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治理措施</w:t>
            </w:r>
          </w:p>
        </w:tc>
        <w:tc>
          <w:tcPr>
            <w:tcW w:w="1612" w:type="pct"/>
            <w:noWrap/>
            <w:vAlign w:val="center"/>
          </w:tcPr>
          <w:p w14:paraId="38C62F95">
            <w:pPr>
              <w:adjustRightInd w:val="0"/>
              <w:spacing w:line="300" w:lineRule="exact"/>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执行的标准</w:t>
            </w:r>
          </w:p>
        </w:tc>
      </w:tr>
      <w:tr w14:paraId="4E4104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6" w:type="pct"/>
            <w:vMerge w:val="continue"/>
            <w:vAlign w:val="center"/>
          </w:tcPr>
          <w:p w14:paraId="28486713">
            <w:pPr>
              <w:adjustRightInd w:val="0"/>
              <w:spacing w:line="300" w:lineRule="exact"/>
              <w:jc w:val="center"/>
              <w:rPr>
                <w:rFonts w:ascii="Times New Roman" w:hAnsi="Times New Roman" w:eastAsia="宋体" w:cs="Times New Roman"/>
                <w:color w:val="000000"/>
                <w:sz w:val="21"/>
                <w:szCs w:val="21"/>
              </w:rPr>
            </w:pPr>
          </w:p>
        </w:tc>
        <w:tc>
          <w:tcPr>
            <w:tcW w:w="761" w:type="pct"/>
            <w:noWrap/>
            <w:vAlign w:val="center"/>
          </w:tcPr>
          <w:p w14:paraId="76FE5408">
            <w:pPr>
              <w:pStyle w:val="6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NH</w:t>
            </w:r>
            <w:r>
              <w:rPr>
                <w:rFonts w:hint="eastAsia"/>
                <w:color w:val="000000" w:themeColor="text1"/>
                <w:szCs w:val="21"/>
                <w:vertAlign w:val="subscript"/>
                <w14:textFill>
                  <w14:solidFill>
                    <w14:schemeClr w14:val="tx1"/>
                  </w14:solidFill>
                </w14:textFill>
              </w:rPr>
              <w:t>3</w:t>
            </w:r>
          </w:p>
        </w:tc>
        <w:tc>
          <w:tcPr>
            <w:tcW w:w="760" w:type="pct"/>
            <w:vAlign w:val="center"/>
          </w:tcPr>
          <w:p w14:paraId="5CA893EA">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565" w:type="pct"/>
            <w:vAlign w:val="center"/>
          </w:tcPr>
          <w:p w14:paraId="7974FA0C">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953" w:type="pct"/>
            <w:vMerge w:val="restart"/>
            <w:vAlign w:val="center"/>
          </w:tcPr>
          <w:p w14:paraId="05986BCC">
            <w:pPr>
              <w:widowControl/>
              <w:adjustRightInd w:val="0"/>
              <w:spacing w:line="300" w:lineRule="exact"/>
              <w:jc w:val="center"/>
              <w:rPr>
                <w:rFonts w:ascii="Times New Roman" w:hAnsi="Times New Roman" w:eastAsia="宋体" w:cs="Times New Roman"/>
                <w:color w:val="000000"/>
                <w:sz w:val="21"/>
                <w:szCs w:val="21"/>
              </w:rPr>
            </w:pPr>
            <w:r>
              <w:rPr>
                <w:rFonts w:hint="eastAsia"/>
                <w:color w:val="000000" w:themeColor="text1"/>
                <w:sz w:val="21"/>
                <w:szCs w:val="21"/>
                <w14:textFill>
                  <w14:solidFill>
                    <w14:schemeClr w14:val="tx1"/>
                  </w14:solidFill>
                </w14:textFill>
              </w:rPr>
              <w:t>生物喷淋除臭</w:t>
            </w:r>
            <w:r>
              <w:rPr>
                <w:rFonts w:ascii="Times New Roman" w:hAnsi="Times New Roman" w:eastAsia="宋体" w:cs="Times New Roman"/>
                <w:color w:val="000000"/>
                <w:sz w:val="21"/>
                <w:szCs w:val="21"/>
              </w:rPr>
              <w:t>装置，1根15m高排气筒DA001</w:t>
            </w:r>
          </w:p>
        </w:tc>
        <w:tc>
          <w:tcPr>
            <w:tcW w:w="1612" w:type="pct"/>
            <w:vMerge w:val="restart"/>
            <w:vAlign w:val="center"/>
          </w:tcPr>
          <w:p w14:paraId="58FB42C3">
            <w:pPr>
              <w:adjustRightInd w:val="0"/>
              <w:spacing w:line="300" w:lineRule="exact"/>
              <w:jc w:val="center"/>
              <w:rPr>
                <w:rFonts w:ascii="Times New Roman" w:hAnsi="Times New Roman" w:eastAsia="宋体" w:cs="Times New Roman"/>
                <w:color w:val="FF0000"/>
                <w:kern w:val="50"/>
                <w:sz w:val="21"/>
                <w:szCs w:val="21"/>
              </w:rPr>
            </w:pPr>
            <w:r>
              <w:rPr>
                <w:rFonts w:ascii="Times New Roman" w:hAnsi="Times New Roman" w:eastAsia="宋体" w:cs="Times New Roman"/>
                <w:color w:val="000000"/>
                <w:sz w:val="21"/>
                <w:szCs w:val="21"/>
              </w:rPr>
              <w:t>《恶臭污染物排放标准》（GB14554-93）表</w:t>
            </w:r>
            <w:r>
              <w:rPr>
                <w:rFonts w:hint="eastAsia" w:ascii="Times New Roman" w:hAnsi="Times New Roman" w:eastAsia="宋体" w:cs="Times New Roman"/>
                <w:color w:val="000000"/>
                <w:sz w:val="21"/>
                <w:szCs w:val="21"/>
              </w:rPr>
              <w:t>2</w:t>
            </w:r>
            <w:r>
              <w:rPr>
                <w:rFonts w:ascii="Times New Roman" w:hAnsi="Times New Roman" w:eastAsia="宋体" w:cs="Times New Roman"/>
                <w:color w:val="000000"/>
                <w:sz w:val="21"/>
                <w:szCs w:val="21"/>
              </w:rPr>
              <w:t>标准</w:t>
            </w:r>
          </w:p>
        </w:tc>
      </w:tr>
      <w:tr w14:paraId="45DE63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6" w:type="pct"/>
            <w:vMerge w:val="continue"/>
            <w:vAlign w:val="center"/>
          </w:tcPr>
          <w:p w14:paraId="48AB07AB">
            <w:pPr>
              <w:adjustRightInd w:val="0"/>
              <w:spacing w:line="300" w:lineRule="exact"/>
              <w:jc w:val="center"/>
              <w:rPr>
                <w:rFonts w:ascii="Times New Roman" w:hAnsi="Times New Roman" w:eastAsia="宋体" w:cs="Times New Roman"/>
                <w:color w:val="000000"/>
                <w:sz w:val="21"/>
                <w:szCs w:val="21"/>
              </w:rPr>
            </w:pPr>
          </w:p>
        </w:tc>
        <w:tc>
          <w:tcPr>
            <w:tcW w:w="761" w:type="pct"/>
            <w:noWrap/>
            <w:vAlign w:val="center"/>
          </w:tcPr>
          <w:p w14:paraId="55D121C9">
            <w:pPr>
              <w:pStyle w:val="6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S</w:t>
            </w:r>
          </w:p>
        </w:tc>
        <w:tc>
          <w:tcPr>
            <w:tcW w:w="760" w:type="pct"/>
            <w:vAlign w:val="center"/>
          </w:tcPr>
          <w:p w14:paraId="3E491CCC">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565" w:type="pct"/>
            <w:vAlign w:val="center"/>
          </w:tcPr>
          <w:p w14:paraId="5299AD7F">
            <w:pPr>
              <w:adjustRightInd w:val="0"/>
              <w:snapToGrid w:val="0"/>
              <w:spacing w:line="280" w:lineRule="exact"/>
              <w:jc w:val="center"/>
              <w:rPr>
                <w:rFonts w:ascii="Times New Roman" w:eastAsia="宋体"/>
                <w:color w:val="000000" w:themeColor="text1"/>
                <w:sz w:val="21"/>
                <w:szCs w:val="21"/>
                <w14:textFill>
                  <w14:solidFill>
                    <w14:schemeClr w14:val="tx1"/>
                  </w14:solidFill>
                </w14:textFill>
              </w:rPr>
            </w:pPr>
          </w:p>
        </w:tc>
        <w:tc>
          <w:tcPr>
            <w:tcW w:w="953" w:type="pct"/>
            <w:vMerge w:val="continue"/>
            <w:vAlign w:val="center"/>
          </w:tcPr>
          <w:p w14:paraId="30757B72">
            <w:pPr>
              <w:widowControl/>
              <w:adjustRightInd w:val="0"/>
              <w:spacing w:line="300" w:lineRule="exact"/>
              <w:jc w:val="center"/>
              <w:rPr>
                <w:color w:val="000000" w:themeColor="text1"/>
                <w:sz w:val="21"/>
                <w:szCs w:val="21"/>
                <w14:textFill>
                  <w14:solidFill>
                    <w14:schemeClr w14:val="tx1"/>
                  </w14:solidFill>
                </w14:textFill>
              </w:rPr>
            </w:pPr>
          </w:p>
        </w:tc>
        <w:tc>
          <w:tcPr>
            <w:tcW w:w="1612" w:type="pct"/>
            <w:vMerge w:val="continue"/>
            <w:vAlign w:val="center"/>
          </w:tcPr>
          <w:p w14:paraId="67F00405">
            <w:pPr>
              <w:adjustRightInd w:val="0"/>
              <w:spacing w:line="300" w:lineRule="exact"/>
              <w:jc w:val="center"/>
              <w:rPr>
                <w:rFonts w:ascii="Times New Roman" w:hAnsi="Times New Roman" w:eastAsia="宋体" w:cs="Times New Roman"/>
                <w:sz w:val="21"/>
                <w:szCs w:val="21"/>
              </w:rPr>
            </w:pPr>
          </w:p>
        </w:tc>
      </w:tr>
      <w:tr w14:paraId="0EF0AB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6" w:type="pct"/>
            <w:vAlign w:val="center"/>
          </w:tcPr>
          <w:p w14:paraId="3B548AA0">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噪声</w:t>
            </w:r>
          </w:p>
        </w:tc>
        <w:tc>
          <w:tcPr>
            <w:tcW w:w="761" w:type="pct"/>
            <w:noWrap/>
            <w:vAlign w:val="center"/>
          </w:tcPr>
          <w:p w14:paraId="3A975C5C">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工业噪声</w:t>
            </w:r>
          </w:p>
        </w:tc>
        <w:tc>
          <w:tcPr>
            <w:tcW w:w="760" w:type="pct"/>
            <w:vAlign w:val="center"/>
          </w:tcPr>
          <w:p w14:paraId="09AA2839">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65" w:type="pct"/>
            <w:vAlign w:val="center"/>
          </w:tcPr>
          <w:p w14:paraId="0190C409">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953" w:type="pct"/>
            <w:vAlign w:val="center"/>
          </w:tcPr>
          <w:p w14:paraId="6744F353">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合理布局、厂房隔声</w:t>
            </w:r>
          </w:p>
        </w:tc>
        <w:tc>
          <w:tcPr>
            <w:tcW w:w="1612" w:type="pct"/>
            <w:noWrap/>
            <w:vAlign w:val="center"/>
          </w:tcPr>
          <w:p w14:paraId="6556C878">
            <w:pPr>
              <w:pStyle w:val="8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《工业企业厂界环境噪声排放标准》(GB 12348-2008)</w:t>
            </w:r>
            <w:r>
              <w:rPr>
                <w:rFonts w:hint="eastAsia" w:ascii="Times New Roman" w:hAnsi="Times New Roman" w:eastAsia="宋体" w:cs="Times New Roman"/>
                <w:color w:val="000000"/>
                <w:sz w:val="21"/>
                <w:szCs w:val="21"/>
              </w:rPr>
              <w:t>1</w:t>
            </w:r>
            <w:r>
              <w:rPr>
                <w:rFonts w:ascii="Times New Roman" w:hAnsi="Times New Roman" w:eastAsia="宋体" w:cs="Times New Roman"/>
                <w:color w:val="000000"/>
                <w:sz w:val="21"/>
                <w:szCs w:val="21"/>
              </w:rPr>
              <w:t>类标准</w:t>
            </w:r>
          </w:p>
        </w:tc>
      </w:tr>
      <w:tr w14:paraId="1F7412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6" w:type="pct"/>
            <w:vAlign w:val="center"/>
          </w:tcPr>
          <w:p w14:paraId="166752D3">
            <w:pPr>
              <w:adjustRightIn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固废</w:t>
            </w:r>
          </w:p>
        </w:tc>
        <w:tc>
          <w:tcPr>
            <w:tcW w:w="761" w:type="pct"/>
            <w:noWrap/>
            <w:vAlign w:val="center"/>
          </w:tcPr>
          <w:p w14:paraId="617928D0">
            <w:pPr>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污染物名称</w:t>
            </w:r>
          </w:p>
        </w:tc>
        <w:tc>
          <w:tcPr>
            <w:tcW w:w="760" w:type="pct"/>
            <w:vAlign w:val="center"/>
          </w:tcPr>
          <w:p w14:paraId="1354B445">
            <w:pPr>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产生量</w:t>
            </w:r>
          </w:p>
        </w:tc>
        <w:tc>
          <w:tcPr>
            <w:tcW w:w="565" w:type="pct"/>
            <w:vAlign w:val="center"/>
          </w:tcPr>
          <w:p w14:paraId="7CCFAD52">
            <w:pPr>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削减量</w:t>
            </w:r>
          </w:p>
        </w:tc>
        <w:tc>
          <w:tcPr>
            <w:tcW w:w="953" w:type="pct"/>
            <w:vAlign w:val="center"/>
          </w:tcPr>
          <w:p w14:paraId="4C6C2C0F">
            <w:pPr>
              <w:adjustRightInd w:val="0"/>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排放量</w:t>
            </w:r>
          </w:p>
        </w:tc>
        <w:tc>
          <w:tcPr>
            <w:tcW w:w="1612" w:type="pct"/>
            <w:noWrap/>
            <w:vAlign w:val="center"/>
          </w:tcPr>
          <w:p w14:paraId="21588CF4">
            <w:pPr>
              <w:adjustRightInd w:val="0"/>
              <w:spacing w:line="300" w:lineRule="exact"/>
              <w:jc w:val="center"/>
              <w:rPr>
                <w:rFonts w:ascii="Times New Roman" w:hAnsi="Times New Roman" w:eastAsia="宋体" w:cs="Times New Roman"/>
                <w:color w:val="FF0000"/>
                <w:sz w:val="21"/>
                <w:szCs w:val="21"/>
              </w:rPr>
            </w:pPr>
            <w:r>
              <w:rPr>
                <w:rFonts w:ascii="Times New Roman" w:hAnsi="Times New Roman" w:eastAsia="宋体" w:cs="Times New Roman"/>
                <w:color w:val="000000"/>
                <w:sz w:val="21"/>
                <w:szCs w:val="21"/>
              </w:rPr>
              <w:t>/</w:t>
            </w:r>
          </w:p>
        </w:tc>
      </w:tr>
      <w:tr w14:paraId="7D342B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6" w:type="pct"/>
            <w:vMerge w:val="restart"/>
            <w:vAlign w:val="center"/>
          </w:tcPr>
          <w:p w14:paraId="0711FD27">
            <w:pPr>
              <w:spacing w:line="300" w:lineRule="exact"/>
              <w:contextualSpacing/>
              <w:jc w:val="center"/>
              <w:rPr>
                <w:rFonts w:ascii="Times New Roman" w:hAnsi="Times New Roman" w:eastAsia="宋体" w:cs="Times New Roman"/>
                <w:color w:val="FF0000"/>
                <w:sz w:val="21"/>
                <w:szCs w:val="21"/>
              </w:rPr>
            </w:pPr>
            <w:r>
              <w:rPr>
                <w:rFonts w:ascii="Times New Roman" w:hAnsi="Times New Roman" w:eastAsia="宋体" w:cs="Times New Roman"/>
                <w:color w:val="000000"/>
                <w:sz w:val="21"/>
                <w:szCs w:val="21"/>
              </w:rPr>
              <w:t>一般固废</w:t>
            </w:r>
          </w:p>
        </w:tc>
        <w:tc>
          <w:tcPr>
            <w:tcW w:w="761" w:type="pct"/>
            <w:noWrap/>
            <w:vAlign w:val="center"/>
          </w:tcPr>
          <w:p w14:paraId="7E366BEE">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病死鸡</w:t>
            </w:r>
          </w:p>
        </w:tc>
        <w:tc>
          <w:tcPr>
            <w:tcW w:w="760" w:type="pct"/>
            <w:vAlign w:val="center"/>
          </w:tcPr>
          <w:p w14:paraId="57B667CD">
            <w:pPr>
              <w:spacing w:line="300" w:lineRule="exact"/>
              <w:jc w:val="center"/>
              <w:rPr>
                <w:rFonts w:ascii="Times New Roman" w:hAnsi="Times New Roman" w:eastAsia="宋体" w:cs="Times New Roman"/>
                <w:bCs/>
                <w:sz w:val="21"/>
                <w:szCs w:val="21"/>
              </w:rPr>
            </w:pPr>
          </w:p>
        </w:tc>
        <w:tc>
          <w:tcPr>
            <w:tcW w:w="565" w:type="pct"/>
            <w:vAlign w:val="center"/>
          </w:tcPr>
          <w:p w14:paraId="718CABC0">
            <w:pPr>
              <w:spacing w:line="300" w:lineRule="exact"/>
              <w:jc w:val="center"/>
              <w:rPr>
                <w:rFonts w:ascii="Times New Roman" w:hAnsi="Times New Roman" w:eastAsia="宋体" w:cs="Times New Roman"/>
                <w:bCs/>
                <w:sz w:val="21"/>
                <w:szCs w:val="21"/>
              </w:rPr>
            </w:pPr>
          </w:p>
        </w:tc>
        <w:tc>
          <w:tcPr>
            <w:tcW w:w="953" w:type="pct"/>
            <w:vAlign w:val="center"/>
          </w:tcPr>
          <w:p w14:paraId="44D41D8E">
            <w:pPr>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w:t>
            </w:r>
          </w:p>
        </w:tc>
        <w:tc>
          <w:tcPr>
            <w:tcW w:w="1612" w:type="pct"/>
            <w:noWrap/>
            <w:vAlign w:val="center"/>
          </w:tcPr>
          <w:p w14:paraId="64502446">
            <w:pPr>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502705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6" w:type="pct"/>
            <w:vMerge w:val="continue"/>
            <w:vAlign w:val="center"/>
          </w:tcPr>
          <w:p w14:paraId="780906EF">
            <w:pPr>
              <w:spacing w:line="300" w:lineRule="exact"/>
              <w:contextualSpacing/>
              <w:jc w:val="center"/>
              <w:rPr>
                <w:rFonts w:ascii="Times New Roman" w:hAnsi="Times New Roman" w:eastAsia="宋体" w:cs="Times New Roman"/>
                <w:color w:val="FF0000"/>
                <w:sz w:val="21"/>
                <w:szCs w:val="21"/>
              </w:rPr>
            </w:pPr>
          </w:p>
        </w:tc>
        <w:tc>
          <w:tcPr>
            <w:tcW w:w="761" w:type="pct"/>
            <w:noWrap/>
            <w:vAlign w:val="center"/>
          </w:tcPr>
          <w:p w14:paraId="58375CAE">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鸡粪</w:t>
            </w:r>
          </w:p>
        </w:tc>
        <w:tc>
          <w:tcPr>
            <w:tcW w:w="760" w:type="pct"/>
            <w:vAlign w:val="center"/>
          </w:tcPr>
          <w:p w14:paraId="554ACE6A">
            <w:pPr>
              <w:tabs>
                <w:tab w:val="left" w:pos="0"/>
              </w:tabs>
              <w:adjustRightInd w:val="0"/>
              <w:spacing w:line="300" w:lineRule="exact"/>
              <w:jc w:val="center"/>
              <w:rPr>
                <w:rFonts w:ascii="Times New Roman" w:hAnsi="Times New Roman" w:eastAsia="宋体" w:cs="Times New Roman"/>
                <w:bCs/>
                <w:sz w:val="21"/>
                <w:szCs w:val="21"/>
              </w:rPr>
            </w:pPr>
          </w:p>
        </w:tc>
        <w:tc>
          <w:tcPr>
            <w:tcW w:w="565" w:type="pct"/>
            <w:vAlign w:val="center"/>
          </w:tcPr>
          <w:p w14:paraId="6AD12562">
            <w:pPr>
              <w:tabs>
                <w:tab w:val="left" w:pos="0"/>
              </w:tabs>
              <w:adjustRightInd w:val="0"/>
              <w:spacing w:line="300" w:lineRule="exact"/>
              <w:jc w:val="center"/>
              <w:rPr>
                <w:rFonts w:ascii="Times New Roman" w:hAnsi="Times New Roman" w:eastAsia="宋体" w:cs="Times New Roman"/>
                <w:bCs/>
                <w:sz w:val="21"/>
                <w:szCs w:val="21"/>
              </w:rPr>
            </w:pPr>
          </w:p>
        </w:tc>
        <w:tc>
          <w:tcPr>
            <w:tcW w:w="953" w:type="pct"/>
            <w:vAlign w:val="center"/>
          </w:tcPr>
          <w:p w14:paraId="0B6057B2">
            <w:pPr>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w:t>
            </w:r>
          </w:p>
        </w:tc>
        <w:tc>
          <w:tcPr>
            <w:tcW w:w="1612" w:type="pct"/>
            <w:noWrap/>
            <w:vAlign w:val="center"/>
          </w:tcPr>
          <w:p w14:paraId="11FE0A62">
            <w:pPr>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0785A5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6" w:type="pct"/>
            <w:vMerge w:val="continue"/>
            <w:vAlign w:val="center"/>
          </w:tcPr>
          <w:p w14:paraId="38132F28">
            <w:pPr>
              <w:spacing w:line="300" w:lineRule="exact"/>
              <w:contextualSpacing/>
              <w:jc w:val="center"/>
              <w:rPr>
                <w:rFonts w:ascii="Times New Roman" w:hAnsi="Times New Roman" w:eastAsia="宋体" w:cs="Times New Roman"/>
                <w:color w:val="FF0000"/>
                <w:sz w:val="21"/>
                <w:szCs w:val="21"/>
              </w:rPr>
            </w:pPr>
          </w:p>
        </w:tc>
        <w:tc>
          <w:tcPr>
            <w:tcW w:w="761" w:type="pct"/>
            <w:noWrap/>
            <w:vAlign w:val="center"/>
          </w:tcPr>
          <w:p w14:paraId="52E87065">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废包装</w:t>
            </w:r>
          </w:p>
        </w:tc>
        <w:tc>
          <w:tcPr>
            <w:tcW w:w="760" w:type="pct"/>
            <w:vAlign w:val="center"/>
          </w:tcPr>
          <w:p w14:paraId="1B5EE502">
            <w:pPr>
              <w:tabs>
                <w:tab w:val="left" w:pos="0"/>
              </w:tabs>
              <w:adjustRightInd w:val="0"/>
              <w:spacing w:line="300" w:lineRule="exact"/>
              <w:jc w:val="center"/>
              <w:rPr>
                <w:rFonts w:ascii="Times New Roman" w:hAnsi="Times New Roman" w:eastAsia="宋体" w:cs="Times New Roman"/>
                <w:bCs/>
                <w:sz w:val="21"/>
                <w:szCs w:val="21"/>
              </w:rPr>
            </w:pPr>
          </w:p>
        </w:tc>
        <w:tc>
          <w:tcPr>
            <w:tcW w:w="565" w:type="pct"/>
            <w:vAlign w:val="center"/>
          </w:tcPr>
          <w:p w14:paraId="6191EB02">
            <w:pPr>
              <w:tabs>
                <w:tab w:val="left" w:pos="0"/>
              </w:tabs>
              <w:adjustRightInd w:val="0"/>
              <w:spacing w:line="300" w:lineRule="exact"/>
              <w:jc w:val="center"/>
              <w:rPr>
                <w:rFonts w:ascii="Times New Roman" w:hAnsi="Times New Roman" w:eastAsia="宋体" w:cs="Times New Roman"/>
                <w:bCs/>
                <w:sz w:val="21"/>
                <w:szCs w:val="21"/>
              </w:rPr>
            </w:pPr>
          </w:p>
        </w:tc>
        <w:tc>
          <w:tcPr>
            <w:tcW w:w="953" w:type="pct"/>
            <w:vAlign w:val="center"/>
          </w:tcPr>
          <w:p w14:paraId="7DAFE571">
            <w:pPr>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w:t>
            </w:r>
          </w:p>
        </w:tc>
        <w:tc>
          <w:tcPr>
            <w:tcW w:w="1612" w:type="pct"/>
            <w:noWrap/>
            <w:vAlign w:val="center"/>
          </w:tcPr>
          <w:p w14:paraId="7DA75286">
            <w:pPr>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65FC6B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6" w:type="pct"/>
            <w:vMerge w:val="continue"/>
            <w:vAlign w:val="center"/>
          </w:tcPr>
          <w:p w14:paraId="4DDD1B57">
            <w:pPr>
              <w:spacing w:line="300" w:lineRule="exact"/>
              <w:contextualSpacing/>
              <w:jc w:val="center"/>
              <w:rPr>
                <w:rFonts w:ascii="Times New Roman" w:hAnsi="Times New Roman" w:eastAsia="宋体" w:cs="Times New Roman"/>
                <w:color w:val="FF0000"/>
                <w:sz w:val="21"/>
                <w:szCs w:val="21"/>
              </w:rPr>
            </w:pPr>
          </w:p>
        </w:tc>
        <w:tc>
          <w:tcPr>
            <w:tcW w:w="761" w:type="pct"/>
            <w:noWrap/>
            <w:vAlign w:val="center"/>
          </w:tcPr>
          <w:p w14:paraId="7E51CD73">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污泥</w:t>
            </w:r>
          </w:p>
        </w:tc>
        <w:tc>
          <w:tcPr>
            <w:tcW w:w="760" w:type="pct"/>
            <w:vAlign w:val="center"/>
          </w:tcPr>
          <w:p w14:paraId="602B0BED">
            <w:pPr>
              <w:tabs>
                <w:tab w:val="left" w:pos="0"/>
              </w:tabs>
              <w:adjustRightInd w:val="0"/>
              <w:spacing w:line="300" w:lineRule="exact"/>
              <w:jc w:val="center"/>
              <w:rPr>
                <w:rFonts w:ascii="Times New Roman" w:hAnsi="Times New Roman" w:eastAsia="宋体" w:cs="Times New Roman"/>
                <w:bCs/>
                <w:sz w:val="21"/>
                <w:szCs w:val="21"/>
              </w:rPr>
            </w:pPr>
          </w:p>
        </w:tc>
        <w:tc>
          <w:tcPr>
            <w:tcW w:w="565" w:type="pct"/>
            <w:vAlign w:val="center"/>
          </w:tcPr>
          <w:p w14:paraId="69520235">
            <w:pPr>
              <w:tabs>
                <w:tab w:val="left" w:pos="0"/>
              </w:tabs>
              <w:adjustRightInd w:val="0"/>
              <w:spacing w:line="300" w:lineRule="exact"/>
              <w:jc w:val="center"/>
              <w:rPr>
                <w:rFonts w:ascii="Times New Roman" w:hAnsi="Times New Roman" w:eastAsia="宋体" w:cs="Times New Roman"/>
                <w:bCs/>
                <w:sz w:val="21"/>
                <w:szCs w:val="21"/>
              </w:rPr>
            </w:pPr>
          </w:p>
        </w:tc>
        <w:tc>
          <w:tcPr>
            <w:tcW w:w="953" w:type="pct"/>
            <w:vAlign w:val="center"/>
          </w:tcPr>
          <w:p w14:paraId="548B2DCE">
            <w:pPr>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w:t>
            </w:r>
          </w:p>
        </w:tc>
        <w:tc>
          <w:tcPr>
            <w:tcW w:w="1612" w:type="pct"/>
            <w:noWrap/>
            <w:vAlign w:val="center"/>
          </w:tcPr>
          <w:p w14:paraId="6C4F6CD1">
            <w:pPr>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1B5E90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6" w:type="pct"/>
            <w:vMerge w:val="continue"/>
            <w:vAlign w:val="center"/>
          </w:tcPr>
          <w:p w14:paraId="407ADBEC">
            <w:pPr>
              <w:spacing w:line="300" w:lineRule="exact"/>
              <w:contextualSpacing/>
              <w:jc w:val="center"/>
              <w:rPr>
                <w:rFonts w:ascii="Times New Roman" w:hAnsi="Times New Roman" w:eastAsia="宋体" w:cs="Times New Roman"/>
                <w:color w:val="FF0000"/>
                <w:sz w:val="21"/>
                <w:szCs w:val="21"/>
              </w:rPr>
            </w:pPr>
          </w:p>
        </w:tc>
        <w:tc>
          <w:tcPr>
            <w:tcW w:w="761" w:type="pct"/>
            <w:noWrap/>
            <w:vAlign w:val="center"/>
          </w:tcPr>
          <w:p w14:paraId="3C0BB1AB">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饲料残渣及散落羽毛</w:t>
            </w:r>
          </w:p>
        </w:tc>
        <w:tc>
          <w:tcPr>
            <w:tcW w:w="760" w:type="pct"/>
            <w:vAlign w:val="center"/>
          </w:tcPr>
          <w:p w14:paraId="15D66EE3">
            <w:pPr>
              <w:tabs>
                <w:tab w:val="left" w:pos="0"/>
              </w:tabs>
              <w:adjustRightInd w:val="0"/>
              <w:spacing w:line="300" w:lineRule="exact"/>
              <w:jc w:val="center"/>
              <w:rPr>
                <w:rFonts w:ascii="Times New Roman" w:hAnsi="Times New Roman" w:eastAsia="宋体" w:cs="Times New Roman"/>
                <w:bCs/>
                <w:sz w:val="21"/>
                <w:szCs w:val="21"/>
              </w:rPr>
            </w:pPr>
          </w:p>
        </w:tc>
        <w:tc>
          <w:tcPr>
            <w:tcW w:w="565" w:type="pct"/>
            <w:vAlign w:val="center"/>
          </w:tcPr>
          <w:p w14:paraId="5ABBFD95">
            <w:pPr>
              <w:tabs>
                <w:tab w:val="left" w:pos="0"/>
              </w:tabs>
              <w:adjustRightInd w:val="0"/>
              <w:spacing w:line="300" w:lineRule="exact"/>
              <w:jc w:val="center"/>
              <w:rPr>
                <w:rFonts w:ascii="Times New Roman" w:hAnsi="Times New Roman" w:eastAsia="宋体" w:cs="Times New Roman"/>
                <w:bCs/>
                <w:sz w:val="21"/>
                <w:szCs w:val="21"/>
              </w:rPr>
            </w:pPr>
          </w:p>
        </w:tc>
        <w:tc>
          <w:tcPr>
            <w:tcW w:w="953" w:type="pct"/>
            <w:vAlign w:val="center"/>
          </w:tcPr>
          <w:p w14:paraId="73463C88">
            <w:pPr>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w:t>
            </w:r>
          </w:p>
        </w:tc>
        <w:tc>
          <w:tcPr>
            <w:tcW w:w="1612" w:type="pct"/>
            <w:noWrap/>
            <w:vAlign w:val="center"/>
          </w:tcPr>
          <w:p w14:paraId="37EBA8CE">
            <w:pPr>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616D51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6" w:type="pct"/>
            <w:vMerge w:val="continue"/>
            <w:vAlign w:val="center"/>
          </w:tcPr>
          <w:p w14:paraId="3733C21D">
            <w:pPr>
              <w:spacing w:line="300" w:lineRule="exact"/>
              <w:contextualSpacing/>
              <w:jc w:val="center"/>
              <w:rPr>
                <w:rFonts w:ascii="Times New Roman" w:hAnsi="Times New Roman" w:eastAsia="宋体" w:cs="Times New Roman"/>
                <w:color w:val="FF0000"/>
                <w:sz w:val="21"/>
                <w:szCs w:val="21"/>
              </w:rPr>
            </w:pPr>
          </w:p>
        </w:tc>
        <w:tc>
          <w:tcPr>
            <w:tcW w:w="761" w:type="pct"/>
            <w:noWrap/>
            <w:vAlign w:val="center"/>
          </w:tcPr>
          <w:p w14:paraId="014D4AAB">
            <w:pPr>
              <w:tabs>
                <w:tab w:val="left" w:pos="0"/>
              </w:tabs>
              <w:adjustRightInd w:val="0"/>
              <w:spacing w:line="300" w:lineRule="exact"/>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废树脂</w:t>
            </w:r>
          </w:p>
        </w:tc>
        <w:tc>
          <w:tcPr>
            <w:tcW w:w="760" w:type="pct"/>
            <w:vAlign w:val="center"/>
          </w:tcPr>
          <w:p w14:paraId="65802FB3">
            <w:pPr>
              <w:tabs>
                <w:tab w:val="left" w:pos="0"/>
              </w:tabs>
              <w:adjustRightInd w:val="0"/>
              <w:spacing w:line="300" w:lineRule="exact"/>
              <w:jc w:val="center"/>
              <w:rPr>
                <w:rFonts w:ascii="Times New Roman" w:hAnsi="Times New Roman" w:eastAsia="宋体" w:cs="Times New Roman"/>
                <w:bCs/>
                <w:sz w:val="21"/>
                <w:szCs w:val="21"/>
              </w:rPr>
            </w:pPr>
          </w:p>
        </w:tc>
        <w:tc>
          <w:tcPr>
            <w:tcW w:w="565" w:type="pct"/>
            <w:vAlign w:val="center"/>
          </w:tcPr>
          <w:p w14:paraId="7A5E3E51">
            <w:pPr>
              <w:tabs>
                <w:tab w:val="left" w:pos="0"/>
              </w:tabs>
              <w:adjustRightInd w:val="0"/>
              <w:spacing w:line="300" w:lineRule="exact"/>
              <w:jc w:val="center"/>
              <w:rPr>
                <w:rFonts w:ascii="Times New Roman" w:hAnsi="Times New Roman" w:eastAsia="宋体" w:cs="Times New Roman"/>
                <w:bCs/>
                <w:sz w:val="21"/>
                <w:szCs w:val="21"/>
              </w:rPr>
            </w:pPr>
          </w:p>
        </w:tc>
        <w:tc>
          <w:tcPr>
            <w:tcW w:w="953" w:type="pct"/>
            <w:vAlign w:val="center"/>
          </w:tcPr>
          <w:p w14:paraId="657A5F5D">
            <w:pPr>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w:t>
            </w:r>
          </w:p>
        </w:tc>
        <w:tc>
          <w:tcPr>
            <w:tcW w:w="1612" w:type="pct"/>
            <w:noWrap/>
            <w:vAlign w:val="center"/>
          </w:tcPr>
          <w:p w14:paraId="60509D1E">
            <w:pPr>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5B666C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6" w:type="pct"/>
            <w:vAlign w:val="center"/>
          </w:tcPr>
          <w:p w14:paraId="452FE597">
            <w:pPr>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危废</w:t>
            </w:r>
          </w:p>
        </w:tc>
        <w:tc>
          <w:tcPr>
            <w:tcW w:w="761" w:type="pct"/>
            <w:noWrap/>
            <w:vAlign w:val="center"/>
          </w:tcPr>
          <w:p w14:paraId="27801E16">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医疗废物</w:t>
            </w:r>
          </w:p>
        </w:tc>
        <w:tc>
          <w:tcPr>
            <w:tcW w:w="760" w:type="pct"/>
            <w:vAlign w:val="center"/>
          </w:tcPr>
          <w:p w14:paraId="3FD8FFF4">
            <w:pPr>
              <w:tabs>
                <w:tab w:val="left" w:pos="0"/>
              </w:tabs>
              <w:adjustRightInd w:val="0"/>
              <w:spacing w:line="300" w:lineRule="exact"/>
              <w:jc w:val="center"/>
              <w:rPr>
                <w:rFonts w:ascii="Times New Roman" w:hAnsi="Times New Roman" w:eastAsia="宋体" w:cs="Times New Roman"/>
                <w:bCs/>
                <w:sz w:val="21"/>
                <w:szCs w:val="21"/>
              </w:rPr>
            </w:pPr>
          </w:p>
        </w:tc>
        <w:tc>
          <w:tcPr>
            <w:tcW w:w="565" w:type="pct"/>
            <w:vAlign w:val="center"/>
          </w:tcPr>
          <w:p w14:paraId="259ED181">
            <w:pPr>
              <w:tabs>
                <w:tab w:val="left" w:pos="0"/>
              </w:tabs>
              <w:adjustRightInd w:val="0"/>
              <w:spacing w:line="300" w:lineRule="exact"/>
              <w:jc w:val="center"/>
              <w:rPr>
                <w:rFonts w:ascii="Times New Roman" w:hAnsi="Times New Roman" w:eastAsia="宋体" w:cs="Times New Roman"/>
                <w:bCs/>
                <w:sz w:val="21"/>
                <w:szCs w:val="21"/>
              </w:rPr>
            </w:pPr>
          </w:p>
        </w:tc>
        <w:tc>
          <w:tcPr>
            <w:tcW w:w="953" w:type="pct"/>
            <w:vAlign w:val="center"/>
          </w:tcPr>
          <w:p w14:paraId="790190A5">
            <w:pPr>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w:t>
            </w:r>
          </w:p>
        </w:tc>
        <w:tc>
          <w:tcPr>
            <w:tcW w:w="1612" w:type="pct"/>
            <w:noWrap/>
            <w:vAlign w:val="center"/>
          </w:tcPr>
          <w:p w14:paraId="23D9412E">
            <w:pPr>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34DCF3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7" w:type="pct"/>
            <w:gridSpan w:val="2"/>
            <w:vAlign w:val="center"/>
          </w:tcPr>
          <w:p w14:paraId="6C253CA8">
            <w:pPr>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生活垃圾</w:t>
            </w:r>
          </w:p>
        </w:tc>
        <w:tc>
          <w:tcPr>
            <w:tcW w:w="760" w:type="pct"/>
            <w:vAlign w:val="center"/>
          </w:tcPr>
          <w:p w14:paraId="4A97A2C2">
            <w:pPr>
              <w:spacing w:line="300" w:lineRule="exact"/>
              <w:contextualSpacing/>
              <w:jc w:val="center"/>
              <w:textAlignment w:val="center"/>
              <w:rPr>
                <w:rFonts w:ascii="Times New Roman" w:hAnsi="Times New Roman" w:eastAsia="宋体" w:cs="Times New Roman"/>
                <w:color w:val="000000"/>
                <w:sz w:val="21"/>
                <w:szCs w:val="21"/>
              </w:rPr>
            </w:pPr>
          </w:p>
        </w:tc>
        <w:tc>
          <w:tcPr>
            <w:tcW w:w="565" w:type="pct"/>
            <w:vAlign w:val="center"/>
          </w:tcPr>
          <w:p w14:paraId="07E8CA4C">
            <w:pPr>
              <w:spacing w:line="300" w:lineRule="exact"/>
              <w:contextualSpacing/>
              <w:jc w:val="center"/>
              <w:rPr>
                <w:rFonts w:ascii="Times New Roman" w:hAnsi="Times New Roman" w:eastAsia="宋体" w:cs="Times New Roman"/>
                <w:color w:val="000000"/>
                <w:sz w:val="21"/>
                <w:szCs w:val="21"/>
              </w:rPr>
            </w:pPr>
          </w:p>
        </w:tc>
        <w:tc>
          <w:tcPr>
            <w:tcW w:w="953" w:type="pct"/>
            <w:vAlign w:val="center"/>
          </w:tcPr>
          <w:p w14:paraId="5B43378A">
            <w:pPr>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0</w:t>
            </w:r>
          </w:p>
        </w:tc>
        <w:tc>
          <w:tcPr>
            <w:tcW w:w="1612" w:type="pct"/>
            <w:noWrap/>
            <w:vAlign w:val="center"/>
          </w:tcPr>
          <w:p w14:paraId="432F3F2F">
            <w:pPr>
              <w:spacing w:line="300" w:lineRule="exact"/>
              <w:contextualSpacing/>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bl>
    <w:p w14:paraId="5365467F">
      <w:pPr>
        <w:pStyle w:val="7"/>
        <w:spacing w:line="480" w:lineRule="exact"/>
      </w:pPr>
      <w:r>
        <w:rPr>
          <w:rFonts w:hint="eastAsia"/>
        </w:rPr>
        <w:t>8.4.2 应向社会公开的信息内容</w:t>
      </w:r>
    </w:p>
    <w:p w14:paraId="00CC61FA">
      <w:pPr>
        <w:spacing w:line="480" w:lineRule="exact"/>
        <w:ind w:firstLine="482"/>
        <w:rPr>
          <w:rFonts w:ascii="Times New Roman"/>
          <w:color w:val="000000"/>
          <w:szCs w:val="24"/>
        </w:rPr>
      </w:pPr>
      <w:r>
        <w:rPr>
          <w:rFonts w:ascii="Times New Roman"/>
          <w:color w:val="000000"/>
          <w:szCs w:val="24"/>
        </w:rPr>
        <w:t>建设单位应认真履行信息公开主体责任，完整客观的公开建设项目环评信息，依法开展公众参与，建立公众意见收集、采纳和反馈机制。建设单位应向社会公开本项目污染物排放清单，明确污染物排放的管理要求。包括工程组成及原辅材料组分要求，建设项目采取的环境保护措施及主要运行参数，排放的污染物种类、排放浓度和总量指标，排污口信息，执行的环境标准，环境风险防范措施以及环境监测等。</w:t>
      </w:r>
    </w:p>
    <w:p w14:paraId="06D448C3">
      <w:pPr>
        <w:pStyle w:val="7"/>
        <w:spacing w:line="480" w:lineRule="exact"/>
      </w:pPr>
      <w:r>
        <w:rPr>
          <w:rFonts w:hint="eastAsia"/>
        </w:rPr>
        <w:t>8.4.3应向社会公开的信息内容</w:t>
      </w:r>
    </w:p>
    <w:p w14:paraId="46CC1618">
      <w:pPr>
        <w:pStyle w:val="8"/>
        <w:spacing w:line="480" w:lineRule="exact"/>
      </w:pPr>
      <w:r>
        <w:rPr>
          <w:rFonts w:hint="eastAsia"/>
        </w:rPr>
        <w:t>8.4.3.1总量因子</w:t>
      </w:r>
    </w:p>
    <w:p w14:paraId="7C1087CD">
      <w:pPr>
        <w:adjustRightInd w:val="0"/>
        <w:spacing w:line="480" w:lineRule="exact"/>
        <w:ind w:firstLine="480" w:firstLineChars="200"/>
        <w:rPr>
          <w:rFonts w:ascii="Times New Roman"/>
          <w:color w:val="000000"/>
          <w:szCs w:val="24"/>
        </w:rPr>
      </w:pPr>
      <w:r>
        <w:rPr>
          <w:rFonts w:ascii="Times New Roman"/>
          <w:color w:val="000000"/>
          <w:szCs w:val="24"/>
        </w:rPr>
        <w:t>根据《关于印发江苏省建设项目主要污染物排放总量区域平衡方案审核管理办法的通知》（苏环办[2011]71号），确定本项目总量控制因子为：</w:t>
      </w:r>
    </w:p>
    <w:p w14:paraId="08380F6B">
      <w:pPr>
        <w:adjustRightInd w:val="0"/>
        <w:spacing w:line="480" w:lineRule="exact"/>
        <w:ind w:firstLine="480"/>
        <w:rPr>
          <w:rFonts w:ascii="Times New Roman"/>
          <w:color w:val="000000"/>
          <w:szCs w:val="24"/>
        </w:rPr>
      </w:pPr>
      <w:r>
        <w:rPr>
          <w:rFonts w:ascii="Times New Roman"/>
          <w:color w:val="000000"/>
          <w:szCs w:val="24"/>
        </w:rPr>
        <w:t>（1）水污染物</w:t>
      </w:r>
    </w:p>
    <w:p w14:paraId="5C475932">
      <w:pPr>
        <w:spacing w:line="480" w:lineRule="exact"/>
        <w:ind w:firstLine="480" w:firstLineChars="200"/>
      </w:pPr>
      <w:r>
        <w:rPr>
          <w:rFonts w:hint="eastAsia"/>
        </w:rPr>
        <w:t>本项目废水全部用于农田灌溉，无总量控制指标。</w:t>
      </w:r>
    </w:p>
    <w:p w14:paraId="1A3B1ECE">
      <w:pPr>
        <w:adjustRightInd w:val="0"/>
        <w:spacing w:line="480" w:lineRule="exact"/>
        <w:ind w:firstLine="480"/>
        <w:rPr>
          <w:rFonts w:ascii="Times New Roman"/>
          <w:color w:val="000000"/>
          <w:szCs w:val="24"/>
        </w:rPr>
      </w:pPr>
      <w:r>
        <w:rPr>
          <w:rFonts w:ascii="Times New Roman"/>
          <w:color w:val="000000"/>
          <w:szCs w:val="24"/>
        </w:rPr>
        <w:t>（2）大气污染物</w:t>
      </w:r>
    </w:p>
    <w:p w14:paraId="59298052">
      <w:pPr>
        <w:adjustRightInd w:val="0"/>
        <w:spacing w:line="480" w:lineRule="exact"/>
        <w:ind w:firstLine="480" w:firstLineChars="200"/>
        <w:rPr>
          <w:rFonts w:ascii="Times New Roman"/>
          <w:color w:val="000000"/>
          <w:szCs w:val="24"/>
        </w:rPr>
      </w:pPr>
      <w:r>
        <w:rPr>
          <w:rFonts w:ascii="Times New Roman"/>
          <w:color w:val="000000"/>
          <w:szCs w:val="24"/>
        </w:rPr>
        <w:t>总量控制因子：</w:t>
      </w:r>
      <w:r>
        <w:rPr>
          <w:rFonts w:hint="eastAsia" w:ascii="Times New Roman" w:hAnsi="宋体"/>
          <w:szCs w:val="24"/>
          <w:lang w:val="en-US" w:eastAsia="zh-CN"/>
        </w:rPr>
        <w:t>无</w:t>
      </w:r>
      <w:r>
        <w:rPr>
          <w:rFonts w:ascii="Times New Roman"/>
          <w:color w:val="000000"/>
          <w:szCs w:val="24"/>
        </w:rPr>
        <w:t>；</w:t>
      </w:r>
    </w:p>
    <w:p w14:paraId="455BAB49">
      <w:pPr>
        <w:adjustRightInd w:val="0"/>
        <w:spacing w:line="480" w:lineRule="exact"/>
        <w:ind w:firstLine="480" w:firstLineChars="200"/>
        <w:rPr>
          <w:rFonts w:ascii="Times New Roman"/>
          <w:color w:val="000000"/>
          <w:szCs w:val="24"/>
        </w:rPr>
      </w:pPr>
      <w:r>
        <w:rPr>
          <w:rFonts w:ascii="Times New Roman"/>
          <w:color w:val="000000"/>
          <w:szCs w:val="24"/>
        </w:rPr>
        <w:t>总量考核因子：氨</w:t>
      </w:r>
      <w:r>
        <w:rPr>
          <w:rFonts w:hint="eastAsia" w:ascii="Times New Roman"/>
          <w:color w:val="000000"/>
          <w:szCs w:val="24"/>
        </w:rPr>
        <w:t>、硫化氢</w:t>
      </w:r>
      <w:r>
        <w:rPr>
          <w:rFonts w:ascii="Times New Roman"/>
          <w:color w:val="000000"/>
          <w:szCs w:val="24"/>
        </w:rPr>
        <w:t>；</w:t>
      </w:r>
    </w:p>
    <w:p w14:paraId="23CC3F65">
      <w:pPr>
        <w:adjustRightInd w:val="0"/>
        <w:spacing w:line="480" w:lineRule="exact"/>
        <w:ind w:firstLine="480"/>
        <w:rPr>
          <w:rFonts w:ascii="Times New Roman"/>
          <w:color w:val="000000"/>
          <w:szCs w:val="24"/>
        </w:rPr>
      </w:pPr>
      <w:r>
        <w:rPr>
          <w:rFonts w:ascii="Times New Roman"/>
          <w:color w:val="000000"/>
          <w:szCs w:val="24"/>
        </w:rPr>
        <w:t>（3）固废</w:t>
      </w:r>
    </w:p>
    <w:p w14:paraId="70FC960E">
      <w:pPr>
        <w:adjustRightInd w:val="0"/>
        <w:spacing w:line="480" w:lineRule="exact"/>
        <w:ind w:firstLine="480" w:firstLineChars="200"/>
        <w:rPr>
          <w:rFonts w:ascii="Times New Roman"/>
          <w:color w:val="000000"/>
          <w:szCs w:val="24"/>
        </w:rPr>
      </w:pPr>
      <w:r>
        <w:rPr>
          <w:rFonts w:ascii="Times New Roman"/>
          <w:color w:val="000000"/>
          <w:szCs w:val="24"/>
        </w:rPr>
        <w:t>工业固体废物排放量。</w:t>
      </w:r>
    </w:p>
    <w:p w14:paraId="56D5E413">
      <w:pPr>
        <w:pStyle w:val="8"/>
        <w:spacing w:line="480" w:lineRule="exact"/>
      </w:pPr>
      <w:r>
        <w:rPr>
          <w:rFonts w:hint="eastAsia"/>
        </w:rPr>
        <w:t>8.4.3.2总量控制指标</w:t>
      </w:r>
    </w:p>
    <w:p w14:paraId="20F1EFA8">
      <w:pPr>
        <w:spacing w:line="480" w:lineRule="exact"/>
        <w:ind w:firstLine="480" w:firstLineChars="20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本项目污染物产生、削减、排放“三本帐”情况见表</w:t>
      </w:r>
      <w:r>
        <w:rPr>
          <w:rFonts w:ascii="Times New Roman" w:hAnsi="Times New Roman" w:eastAsia="宋体" w:cs="Times New Roman"/>
          <w:color w:val="000000" w:themeColor="text1"/>
          <w:szCs w:val="24"/>
          <w14:textFill>
            <w14:solidFill>
              <w14:schemeClr w14:val="tx1"/>
            </w14:solidFill>
          </w14:textFill>
        </w:rPr>
        <w:t>8.4-2。</w:t>
      </w:r>
    </w:p>
    <w:p w14:paraId="249940D0">
      <w:pPr>
        <w:jc w:val="center"/>
        <w:rPr>
          <w:rFonts w:ascii="Times New Roman" w:hAnsi="Times New Roman" w:eastAsia="宋体" w:cs="Times New Roman"/>
          <w:b/>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 xml:space="preserve">表8.4-2 </w:t>
      </w:r>
      <w:r>
        <w:rPr>
          <w:rFonts w:ascii="Times New Roman" w:hAnsi="Times New Roman" w:eastAsia="宋体" w:cs="Times New Roman"/>
          <w:b/>
          <w:color w:val="000000" w:themeColor="text1"/>
          <w:szCs w:val="24"/>
          <w14:textFill>
            <w14:solidFill>
              <w14:schemeClr w14:val="tx1"/>
            </w14:solidFill>
          </w14:textFill>
        </w:rPr>
        <w:t>本项目污染物产生量、削减量和排放量汇总表（单位：t/a）</w:t>
      </w:r>
    </w:p>
    <w:tbl>
      <w:tblPr>
        <w:tblStyle w:val="41"/>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80"/>
        <w:gridCol w:w="885"/>
        <w:gridCol w:w="1340"/>
        <w:gridCol w:w="1512"/>
        <w:gridCol w:w="1486"/>
        <w:gridCol w:w="1333"/>
        <w:gridCol w:w="1587"/>
      </w:tblGrid>
      <w:tr w14:paraId="4055F2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37" w:type="pct"/>
            <w:tcBorders>
              <w:tl2br w:val="nil"/>
              <w:tr2bl w:val="nil"/>
            </w:tcBorders>
            <w:vAlign w:val="center"/>
          </w:tcPr>
          <w:p w14:paraId="4E8D922A">
            <w:pPr>
              <w:adjustRightInd w:val="0"/>
              <w:spacing w:line="30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种类</w:t>
            </w:r>
          </w:p>
        </w:tc>
        <w:tc>
          <w:tcPr>
            <w:tcW w:w="1219" w:type="pct"/>
            <w:gridSpan w:val="2"/>
            <w:tcBorders>
              <w:tl2br w:val="nil"/>
              <w:tr2bl w:val="nil"/>
            </w:tcBorders>
            <w:vAlign w:val="center"/>
          </w:tcPr>
          <w:p w14:paraId="5B93FF93">
            <w:pPr>
              <w:adjustRightInd w:val="0"/>
              <w:spacing w:line="30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污染物名称</w:t>
            </w:r>
          </w:p>
        </w:tc>
        <w:tc>
          <w:tcPr>
            <w:tcW w:w="828" w:type="pct"/>
            <w:tcBorders>
              <w:tl2br w:val="nil"/>
              <w:tr2bl w:val="nil"/>
            </w:tcBorders>
            <w:vAlign w:val="center"/>
          </w:tcPr>
          <w:p w14:paraId="47E9F9BA">
            <w:pPr>
              <w:adjustRightInd w:val="0"/>
              <w:spacing w:line="30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产生量</w:t>
            </w:r>
          </w:p>
        </w:tc>
        <w:tc>
          <w:tcPr>
            <w:tcW w:w="814" w:type="pct"/>
            <w:tcBorders>
              <w:tl2br w:val="nil"/>
              <w:tr2bl w:val="nil"/>
            </w:tcBorders>
            <w:vAlign w:val="center"/>
          </w:tcPr>
          <w:p w14:paraId="5610EBD7">
            <w:pPr>
              <w:adjustRightInd w:val="0"/>
              <w:spacing w:line="30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削减量</w:t>
            </w:r>
          </w:p>
        </w:tc>
        <w:tc>
          <w:tcPr>
            <w:tcW w:w="730" w:type="pct"/>
            <w:tcBorders>
              <w:tl2br w:val="nil"/>
              <w:tr2bl w:val="nil"/>
            </w:tcBorders>
            <w:vAlign w:val="center"/>
          </w:tcPr>
          <w:p w14:paraId="12AAC876">
            <w:pPr>
              <w:adjustRightInd w:val="0"/>
              <w:spacing w:line="30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接管量</w:t>
            </w:r>
          </w:p>
        </w:tc>
        <w:tc>
          <w:tcPr>
            <w:tcW w:w="869" w:type="pct"/>
            <w:tcBorders>
              <w:tl2br w:val="nil"/>
              <w:tr2bl w:val="nil"/>
            </w:tcBorders>
            <w:vAlign w:val="center"/>
          </w:tcPr>
          <w:p w14:paraId="70E05F95">
            <w:pPr>
              <w:adjustRightInd w:val="0"/>
              <w:spacing w:line="300" w:lineRule="exact"/>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排入环境</w:t>
            </w:r>
            <w:r>
              <w:rPr>
                <w:rFonts w:ascii="Times New Roman" w:hAnsi="Times New Roman" w:eastAsia="宋体" w:cs="Times New Roman"/>
                <w:bCs/>
                <w:kern w:val="0"/>
                <w:sz w:val="21"/>
                <w:szCs w:val="21"/>
              </w:rPr>
              <w:t>量</w:t>
            </w:r>
          </w:p>
        </w:tc>
      </w:tr>
      <w:tr w14:paraId="2E026C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37" w:type="pct"/>
            <w:vMerge w:val="restart"/>
            <w:tcBorders>
              <w:tl2br w:val="nil"/>
              <w:tr2bl w:val="nil"/>
            </w:tcBorders>
            <w:vAlign w:val="center"/>
          </w:tcPr>
          <w:p w14:paraId="0C1D6BCF">
            <w:pPr>
              <w:adjustRightInd w:val="0"/>
              <w:spacing w:line="30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废水</w:t>
            </w:r>
          </w:p>
        </w:tc>
        <w:tc>
          <w:tcPr>
            <w:tcW w:w="1219" w:type="pct"/>
            <w:gridSpan w:val="2"/>
            <w:tcBorders>
              <w:tl2br w:val="nil"/>
              <w:tr2bl w:val="nil"/>
            </w:tcBorders>
            <w:vAlign w:val="center"/>
          </w:tcPr>
          <w:p w14:paraId="670323AC">
            <w:pPr>
              <w:adjustRightInd w:val="0"/>
              <w:spacing w:line="30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废水量</w:t>
            </w:r>
          </w:p>
        </w:tc>
        <w:tc>
          <w:tcPr>
            <w:tcW w:w="828" w:type="pct"/>
            <w:tcBorders>
              <w:tl2br w:val="nil"/>
              <w:tr2bl w:val="nil"/>
            </w:tcBorders>
            <w:vAlign w:val="center"/>
          </w:tcPr>
          <w:p w14:paraId="272540AD">
            <w:pPr>
              <w:adjustRightInd w:val="0"/>
              <w:spacing w:line="300" w:lineRule="exact"/>
              <w:jc w:val="center"/>
              <w:rPr>
                <w:rFonts w:ascii="Times New Roman" w:hAnsi="Times New Roman" w:eastAsia="宋体" w:cs="Times New Roman"/>
                <w:bCs/>
                <w:kern w:val="0"/>
                <w:sz w:val="21"/>
                <w:szCs w:val="21"/>
              </w:rPr>
            </w:pPr>
            <w:bookmarkStart w:id="292" w:name="_GoBack"/>
            <w:bookmarkEnd w:id="292"/>
          </w:p>
        </w:tc>
        <w:tc>
          <w:tcPr>
            <w:tcW w:w="814" w:type="pct"/>
            <w:tcBorders>
              <w:tl2br w:val="nil"/>
              <w:tr2bl w:val="nil"/>
            </w:tcBorders>
            <w:vAlign w:val="center"/>
          </w:tcPr>
          <w:p w14:paraId="1478A2D9">
            <w:pPr>
              <w:adjustRightInd w:val="0"/>
              <w:spacing w:line="300" w:lineRule="exact"/>
              <w:jc w:val="center"/>
              <w:rPr>
                <w:rFonts w:ascii="Times New Roman" w:hAnsi="Times New Roman" w:eastAsia="宋体" w:cs="Times New Roman"/>
                <w:bCs/>
                <w:kern w:val="0"/>
                <w:sz w:val="21"/>
                <w:szCs w:val="21"/>
              </w:rPr>
            </w:pPr>
          </w:p>
        </w:tc>
        <w:tc>
          <w:tcPr>
            <w:tcW w:w="730" w:type="pct"/>
            <w:tcBorders>
              <w:tl2br w:val="nil"/>
              <w:tr2bl w:val="nil"/>
            </w:tcBorders>
            <w:vAlign w:val="center"/>
          </w:tcPr>
          <w:p w14:paraId="26413A6A">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1FC10BD1">
            <w:pPr>
              <w:adjustRightInd w:val="0"/>
              <w:spacing w:line="300" w:lineRule="exact"/>
              <w:jc w:val="center"/>
              <w:rPr>
                <w:rFonts w:ascii="Times New Roman" w:hAnsi="Times New Roman" w:eastAsia="宋体" w:cs="Times New Roman"/>
                <w:bCs/>
                <w:kern w:val="0"/>
                <w:sz w:val="21"/>
                <w:szCs w:val="21"/>
              </w:rPr>
            </w:pPr>
          </w:p>
        </w:tc>
      </w:tr>
      <w:tr w14:paraId="2A1C31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37" w:type="pct"/>
            <w:vMerge w:val="continue"/>
            <w:tcBorders>
              <w:tl2br w:val="nil"/>
              <w:tr2bl w:val="nil"/>
            </w:tcBorders>
            <w:vAlign w:val="center"/>
          </w:tcPr>
          <w:p w14:paraId="342F36DB">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52B8A2A4">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COD</w:t>
            </w:r>
          </w:p>
        </w:tc>
        <w:tc>
          <w:tcPr>
            <w:tcW w:w="828" w:type="pct"/>
            <w:tcBorders>
              <w:tl2br w:val="nil"/>
              <w:tr2bl w:val="nil"/>
            </w:tcBorders>
            <w:vAlign w:val="center"/>
          </w:tcPr>
          <w:p w14:paraId="4AAE2784">
            <w:pPr>
              <w:spacing w:line="300" w:lineRule="exact"/>
              <w:jc w:val="center"/>
              <w:rPr>
                <w:rFonts w:ascii="Times New Roman" w:hAnsi="Times New Roman" w:eastAsia="宋体" w:cs="Times New Roman"/>
                <w:color w:val="000000"/>
                <w:sz w:val="21"/>
                <w:szCs w:val="21"/>
              </w:rPr>
            </w:pPr>
          </w:p>
        </w:tc>
        <w:tc>
          <w:tcPr>
            <w:tcW w:w="814" w:type="pct"/>
            <w:tcBorders>
              <w:tl2br w:val="nil"/>
              <w:tr2bl w:val="nil"/>
            </w:tcBorders>
            <w:vAlign w:val="center"/>
          </w:tcPr>
          <w:p w14:paraId="53A59D96">
            <w:pPr>
              <w:spacing w:line="300" w:lineRule="exact"/>
              <w:jc w:val="center"/>
              <w:rPr>
                <w:rFonts w:ascii="Times New Roman" w:hAnsi="Times New Roman" w:eastAsia="宋体" w:cs="Times New Roman"/>
                <w:color w:val="000000"/>
                <w:sz w:val="21"/>
                <w:szCs w:val="21"/>
              </w:rPr>
            </w:pPr>
          </w:p>
        </w:tc>
        <w:tc>
          <w:tcPr>
            <w:tcW w:w="730" w:type="pct"/>
            <w:tcBorders>
              <w:tl2br w:val="nil"/>
              <w:tr2bl w:val="nil"/>
            </w:tcBorders>
            <w:vAlign w:val="center"/>
          </w:tcPr>
          <w:p w14:paraId="0FDF2335">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0B7AC06F">
            <w:pPr>
              <w:adjustRightInd w:val="0"/>
              <w:spacing w:line="300" w:lineRule="exact"/>
              <w:jc w:val="center"/>
              <w:rPr>
                <w:rFonts w:ascii="Times New Roman" w:hAnsi="Times New Roman" w:eastAsia="宋体" w:cs="Times New Roman"/>
                <w:bCs/>
                <w:kern w:val="0"/>
                <w:sz w:val="21"/>
                <w:szCs w:val="21"/>
              </w:rPr>
            </w:pPr>
          </w:p>
        </w:tc>
      </w:tr>
      <w:tr w14:paraId="64A627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37" w:type="pct"/>
            <w:vMerge w:val="continue"/>
            <w:tcBorders>
              <w:tl2br w:val="nil"/>
              <w:tr2bl w:val="nil"/>
            </w:tcBorders>
            <w:vAlign w:val="center"/>
          </w:tcPr>
          <w:p w14:paraId="26A9AC9E">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3DB7135F">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BOD</w:t>
            </w:r>
            <w:r>
              <w:rPr>
                <w:rFonts w:ascii="Times New Roman" w:hAnsi="Times New Roman" w:eastAsia="宋体" w:cs="Times New Roman"/>
                <w:color w:val="000000"/>
                <w:sz w:val="21"/>
                <w:szCs w:val="21"/>
                <w:vertAlign w:val="subscript"/>
              </w:rPr>
              <w:t>5</w:t>
            </w:r>
          </w:p>
        </w:tc>
        <w:tc>
          <w:tcPr>
            <w:tcW w:w="828" w:type="pct"/>
            <w:tcBorders>
              <w:tl2br w:val="nil"/>
              <w:tr2bl w:val="nil"/>
            </w:tcBorders>
            <w:vAlign w:val="center"/>
          </w:tcPr>
          <w:p w14:paraId="3CB39119">
            <w:pPr>
              <w:spacing w:line="300" w:lineRule="exact"/>
              <w:jc w:val="center"/>
              <w:rPr>
                <w:rFonts w:ascii="Times New Roman" w:hAnsi="Times New Roman" w:eastAsia="宋体" w:cs="Times New Roman"/>
                <w:color w:val="000000"/>
                <w:sz w:val="21"/>
                <w:szCs w:val="21"/>
              </w:rPr>
            </w:pPr>
          </w:p>
        </w:tc>
        <w:tc>
          <w:tcPr>
            <w:tcW w:w="814" w:type="pct"/>
            <w:tcBorders>
              <w:tl2br w:val="nil"/>
              <w:tr2bl w:val="nil"/>
            </w:tcBorders>
            <w:vAlign w:val="center"/>
          </w:tcPr>
          <w:p w14:paraId="361BA0AE">
            <w:pPr>
              <w:spacing w:line="300" w:lineRule="exact"/>
              <w:jc w:val="center"/>
              <w:rPr>
                <w:rFonts w:ascii="Times New Roman" w:hAnsi="Times New Roman" w:eastAsia="宋体" w:cs="Times New Roman"/>
                <w:color w:val="000000"/>
                <w:sz w:val="21"/>
                <w:szCs w:val="21"/>
              </w:rPr>
            </w:pPr>
          </w:p>
        </w:tc>
        <w:tc>
          <w:tcPr>
            <w:tcW w:w="730" w:type="pct"/>
            <w:tcBorders>
              <w:tl2br w:val="nil"/>
              <w:tr2bl w:val="nil"/>
            </w:tcBorders>
            <w:vAlign w:val="center"/>
          </w:tcPr>
          <w:p w14:paraId="646FA8E2">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203AC0C1">
            <w:pPr>
              <w:adjustRightInd w:val="0"/>
              <w:spacing w:line="300" w:lineRule="exact"/>
              <w:jc w:val="center"/>
              <w:rPr>
                <w:rFonts w:ascii="Times New Roman" w:hAnsi="Times New Roman" w:eastAsia="宋体" w:cs="Times New Roman"/>
                <w:bCs/>
                <w:kern w:val="0"/>
                <w:sz w:val="21"/>
                <w:szCs w:val="21"/>
              </w:rPr>
            </w:pPr>
          </w:p>
        </w:tc>
      </w:tr>
      <w:tr w14:paraId="034E10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37" w:type="pct"/>
            <w:vMerge w:val="continue"/>
            <w:tcBorders>
              <w:tl2br w:val="nil"/>
              <w:tr2bl w:val="nil"/>
            </w:tcBorders>
            <w:vAlign w:val="center"/>
          </w:tcPr>
          <w:p w14:paraId="431F83FB">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5BE69059">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SS</w:t>
            </w:r>
          </w:p>
        </w:tc>
        <w:tc>
          <w:tcPr>
            <w:tcW w:w="828" w:type="pct"/>
            <w:tcBorders>
              <w:tl2br w:val="nil"/>
              <w:tr2bl w:val="nil"/>
            </w:tcBorders>
            <w:vAlign w:val="center"/>
          </w:tcPr>
          <w:p w14:paraId="2BD585FE">
            <w:pPr>
              <w:spacing w:line="300" w:lineRule="exact"/>
              <w:jc w:val="center"/>
              <w:rPr>
                <w:rFonts w:ascii="Times New Roman" w:hAnsi="Times New Roman" w:eastAsia="宋体" w:cs="Times New Roman"/>
                <w:color w:val="000000"/>
                <w:sz w:val="21"/>
                <w:szCs w:val="21"/>
              </w:rPr>
            </w:pPr>
          </w:p>
        </w:tc>
        <w:tc>
          <w:tcPr>
            <w:tcW w:w="814" w:type="pct"/>
            <w:tcBorders>
              <w:tl2br w:val="nil"/>
              <w:tr2bl w:val="nil"/>
            </w:tcBorders>
            <w:vAlign w:val="center"/>
          </w:tcPr>
          <w:p w14:paraId="7C69F7FB">
            <w:pPr>
              <w:spacing w:line="300" w:lineRule="exact"/>
              <w:jc w:val="center"/>
              <w:rPr>
                <w:rFonts w:ascii="Times New Roman" w:hAnsi="Times New Roman" w:eastAsia="宋体" w:cs="Times New Roman"/>
                <w:color w:val="000000"/>
                <w:sz w:val="21"/>
                <w:szCs w:val="21"/>
              </w:rPr>
            </w:pPr>
          </w:p>
        </w:tc>
        <w:tc>
          <w:tcPr>
            <w:tcW w:w="730" w:type="pct"/>
            <w:tcBorders>
              <w:tl2br w:val="nil"/>
              <w:tr2bl w:val="nil"/>
            </w:tcBorders>
            <w:vAlign w:val="center"/>
          </w:tcPr>
          <w:p w14:paraId="331901B9">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4ACE6305">
            <w:pPr>
              <w:adjustRightInd w:val="0"/>
              <w:spacing w:line="300" w:lineRule="exact"/>
              <w:jc w:val="center"/>
              <w:rPr>
                <w:rFonts w:ascii="Times New Roman" w:hAnsi="Times New Roman" w:eastAsia="宋体" w:cs="Times New Roman"/>
                <w:bCs/>
                <w:kern w:val="0"/>
                <w:sz w:val="21"/>
                <w:szCs w:val="21"/>
              </w:rPr>
            </w:pPr>
          </w:p>
        </w:tc>
      </w:tr>
      <w:tr w14:paraId="266558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37" w:type="pct"/>
            <w:vMerge w:val="continue"/>
            <w:tcBorders>
              <w:tl2br w:val="nil"/>
              <w:tr2bl w:val="nil"/>
            </w:tcBorders>
            <w:vAlign w:val="center"/>
          </w:tcPr>
          <w:p w14:paraId="76475082">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7DCBD054">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NH</w:t>
            </w:r>
            <w:r>
              <w:rPr>
                <w:rFonts w:ascii="Times New Roman" w:hAnsi="Times New Roman" w:eastAsia="宋体" w:cs="Times New Roman"/>
                <w:color w:val="000000"/>
                <w:sz w:val="21"/>
                <w:szCs w:val="21"/>
                <w:vertAlign w:val="subscript"/>
              </w:rPr>
              <w:t>3</w:t>
            </w:r>
            <w:r>
              <w:rPr>
                <w:rFonts w:ascii="Times New Roman" w:hAnsi="Times New Roman" w:eastAsia="宋体" w:cs="Times New Roman"/>
                <w:color w:val="000000"/>
                <w:sz w:val="21"/>
                <w:szCs w:val="21"/>
              </w:rPr>
              <w:t>-N</w:t>
            </w:r>
          </w:p>
        </w:tc>
        <w:tc>
          <w:tcPr>
            <w:tcW w:w="828" w:type="pct"/>
            <w:tcBorders>
              <w:tl2br w:val="nil"/>
              <w:tr2bl w:val="nil"/>
            </w:tcBorders>
            <w:vAlign w:val="center"/>
          </w:tcPr>
          <w:p w14:paraId="601C07A1">
            <w:pPr>
              <w:spacing w:line="300" w:lineRule="exact"/>
              <w:jc w:val="center"/>
              <w:rPr>
                <w:rFonts w:ascii="Times New Roman" w:hAnsi="Times New Roman" w:eastAsia="宋体" w:cs="Times New Roman"/>
                <w:color w:val="000000"/>
                <w:sz w:val="21"/>
                <w:szCs w:val="21"/>
              </w:rPr>
            </w:pPr>
          </w:p>
        </w:tc>
        <w:tc>
          <w:tcPr>
            <w:tcW w:w="814" w:type="pct"/>
            <w:tcBorders>
              <w:tl2br w:val="nil"/>
              <w:tr2bl w:val="nil"/>
            </w:tcBorders>
            <w:vAlign w:val="center"/>
          </w:tcPr>
          <w:p w14:paraId="690BEC4E">
            <w:pPr>
              <w:spacing w:line="300" w:lineRule="exact"/>
              <w:jc w:val="center"/>
              <w:rPr>
                <w:rFonts w:ascii="Times New Roman" w:hAnsi="Times New Roman" w:eastAsia="宋体" w:cs="Times New Roman"/>
                <w:color w:val="000000"/>
                <w:sz w:val="21"/>
                <w:szCs w:val="21"/>
              </w:rPr>
            </w:pPr>
          </w:p>
        </w:tc>
        <w:tc>
          <w:tcPr>
            <w:tcW w:w="730" w:type="pct"/>
            <w:tcBorders>
              <w:tl2br w:val="nil"/>
              <w:tr2bl w:val="nil"/>
            </w:tcBorders>
            <w:vAlign w:val="center"/>
          </w:tcPr>
          <w:p w14:paraId="2F35E1BC">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7A2202A2">
            <w:pPr>
              <w:adjustRightInd w:val="0"/>
              <w:spacing w:line="300" w:lineRule="exact"/>
              <w:jc w:val="center"/>
              <w:rPr>
                <w:rFonts w:ascii="Times New Roman" w:hAnsi="Times New Roman" w:eastAsia="宋体" w:cs="Times New Roman"/>
                <w:bCs/>
                <w:kern w:val="0"/>
                <w:sz w:val="21"/>
                <w:szCs w:val="21"/>
              </w:rPr>
            </w:pPr>
          </w:p>
        </w:tc>
      </w:tr>
      <w:tr w14:paraId="4AC58A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37" w:type="pct"/>
            <w:vMerge w:val="continue"/>
            <w:tcBorders>
              <w:tl2br w:val="nil"/>
              <w:tr2bl w:val="nil"/>
            </w:tcBorders>
            <w:vAlign w:val="center"/>
          </w:tcPr>
          <w:p w14:paraId="00F2980F">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1A251D8E">
            <w:pPr>
              <w:spacing w:line="30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TP</w:t>
            </w:r>
          </w:p>
        </w:tc>
        <w:tc>
          <w:tcPr>
            <w:tcW w:w="828" w:type="pct"/>
            <w:tcBorders>
              <w:tl2br w:val="nil"/>
              <w:tr2bl w:val="nil"/>
            </w:tcBorders>
            <w:vAlign w:val="center"/>
          </w:tcPr>
          <w:p w14:paraId="4C01DC76">
            <w:pPr>
              <w:spacing w:line="300" w:lineRule="exact"/>
              <w:jc w:val="center"/>
              <w:rPr>
                <w:rFonts w:ascii="Times New Roman" w:hAnsi="Times New Roman" w:eastAsia="宋体" w:cs="Times New Roman"/>
                <w:color w:val="000000"/>
                <w:sz w:val="21"/>
                <w:szCs w:val="21"/>
              </w:rPr>
            </w:pPr>
          </w:p>
        </w:tc>
        <w:tc>
          <w:tcPr>
            <w:tcW w:w="814" w:type="pct"/>
            <w:tcBorders>
              <w:tl2br w:val="nil"/>
              <w:tr2bl w:val="nil"/>
            </w:tcBorders>
            <w:vAlign w:val="center"/>
          </w:tcPr>
          <w:p w14:paraId="0E80379F">
            <w:pPr>
              <w:spacing w:line="300" w:lineRule="exact"/>
              <w:jc w:val="center"/>
              <w:rPr>
                <w:rFonts w:ascii="Times New Roman" w:hAnsi="Times New Roman" w:eastAsia="宋体" w:cs="Times New Roman"/>
                <w:color w:val="000000"/>
                <w:sz w:val="21"/>
                <w:szCs w:val="21"/>
              </w:rPr>
            </w:pPr>
          </w:p>
        </w:tc>
        <w:tc>
          <w:tcPr>
            <w:tcW w:w="730" w:type="pct"/>
            <w:tcBorders>
              <w:tl2br w:val="nil"/>
              <w:tr2bl w:val="nil"/>
            </w:tcBorders>
            <w:vAlign w:val="center"/>
          </w:tcPr>
          <w:p w14:paraId="54F4AEC8">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5C998380">
            <w:pPr>
              <w:adjustRightInd w:val="0"/>
              <w:spacing w:line="300" w:lineRule="exact"/>
              <w:jc w:val="center"/>
              <w:rPr>
                <w:rFonts w:ascii="Times New Roman" w:hAnsi="Times New Roman" w:eastAsia="宋体" w:cs="Times New Roman"/>
                <w:bCs/>
                <w:kern w:val="0"/>
                <w:sz w:val="21"/>
                <w:szCs w:val="21"/>
              </w:rPr>
            </w:pPr>
          </w:p>
        </w:tc>
      </w:tr>
      <w:tr w14:paraId="4A37F5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37" w:type="pct"/>
            <w:vMerge w:val="continue"/>
            <w:tcBorders>
              <w:tl2br w:val="nil"/>
              <w:tr2bl w:val="nil"/>
            </w:tcBorders>
            <w:vAlign w:val="center"/>
          </w:tcPr>
          <w:p w14:paraId="4D3374F8">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7439412A">
            <w:pPr>
              <w:spacing w:line="300" w:lineRule="exact"/>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TN</w:t>
            </w:r>
          </w:p>
        </w:tc>
        <w:tc>
          <w:tcPr>
            <w:tcW w:w="828" w:type="pct"/>
            <w:tcBorders>
              <w:tl2br w:val="nil"/>
              <w:tr2bl w:val="nil"/>
            </w:tcBorders>
            <w:vAlign w:val="center"/>
          </w:tcPr>
          <w:p w14:paraId="32D43FBF">
            <w:pPr>
              <w:spacing w:line="300" w:lineRule="exact"/>
              <w:jc w:val="center"/>
              <w:rPr>
                <w:rFonts w:ascii="Times New Roman" w:hAnsi="Times New Roman" w:eastAsia="宋体" w:cs="Times New Roman"/>
                <w:color w:val="000000"/>
                <w:sz w:val="21"/>
                <w:szCs w:val="21"/>
              </w:rPr>
            </w:pPr>
          </w:p>
        </w:tc>
        <w:tc>
          <w:tcPr>
            <w:tcW w:w="814" w:type="pct"/>
            <w:tcBorders>
              <w:tl2br w:val="nil"/>
              <w:tr2bl w:val="nil"/>
            </w:tcBorders>
            <w:vAlign w:val="center"/>
          </w:tcPr>
          <w:p w14:paraId="0C973560">
            <w:pPr>
              <w:spacing w:line="300" w:lineRule="exact"/>
              <w:jc w:val="center"/>
              <w:rPr>
                <w:rFonts w:ascii="Times New Roman" w:hAnsi="Times New Roman" w:eastAsia="宋体" w:cs="Times New Roman"/>
                <w:color w:val="000000"/>
                <w:sz w:val="21"/>
                <w:szCs w:val="21"/>
              </w:rPr>
            </w:pPr>
          </w:p>
        </w:tc>
        <w:tc>
          <w:tcPr>
            <w:tcW w:w="730" w:type="pct"/>
            <w:tcBorders>
              <w:tl2br w:val="nil"/>
              <w:tr2bl w:val="nil"/>
            </w:tcBorders>
            <w:vAlign w:val="center"/>
          </w:tcPr>
          <w:p w14:paraId="1895F384">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7764C0E5">
            <w:pPr>
              <w:adjustRightInd w:val="0"/>
              <w:spacing w:line="300" w:lineRule="exact"/>
              <w:jc w:val="center"/>
              <w:rPr>
                <w:rFonts w:ascii="Times New Roman" w:hAnsi="Times New Roman" w:eastAsia="宋体" w:cs="Times New Roman"/>
                <w:bCs/>
                <w:kern w:val="0"/>
                <w:sz w:val="21"/>
                <w:szCs w:val="21"/>
              </w:rPr>
            </w:pPr>
          </w:p>
        </w:tc>
      </w:tr>
      <w:tr w14:paraId="0D5BFF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37" w:type="pct"/>
            <w:vMerge w:val="restart"/>
            <w:tcBorders>
              <w:tl2br w:val="nil"/>
              <w:tr2bl w:val="nil"/>
            </w:tcBorders>
            <w:vAlign w:val="center"/>
          </w:tcPr>
          <w:p w14:paraId="664F1B27">
            <w:pPr>
              <w:adjustRightInd w:val="0"/>
              <w:spacing w:line="30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废气</w:t>
            </w:r>
          </w:p>
        </w:tc>
        <w:tc>
          <w:tcPr>
            <w:tcW w:w="485" w:type="pct"/>
            <w:vMerge w:val="restart"/>
            <w:tcBorders>
              <w:tl2br w:val="nil"/>
              <w:tr2bl w:val="nil"/>
            </w:tcBorders>
            <w:vAlign w:val="center"/>
          </w:tcPr>
          <w:p w14:paraId="44F95FB2">
            <w:pPr>
              <w:adjustRightInd w:val="0"/>
              <w:spacing w:line="30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有组织</w:t>
            </w:r>
          </w:p>
        </w:tc>
        <w:tc>
          <w:tcPr>
            <w:tcW w:w="734" w:type="pct"/>
            <w:tcBorders>
              <w:tl2br w:val="nil"/>
              <w:tr2bl w:val="nil"/>
            </w:tcBorders>
            <w:vAlign w:val="center"/>
          </w:tcPr>
          <w:p w14:paraId="2DC7A2B9">
            <w:pPr>
              <w:autoSpaceDE w:val="0"/>
              <w:autoSpaceDN w:val="0"/>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氨气</w:t>
            </w:r>
          </w:p>
        </w:tc>
        <w:tc>
          <w:tcPr>
            <w:tcW w:w="828" w:type="pct"/>
            <w:tcBorders>
              <w:tl2br w:val="nil"/>
              <w:tr2bl w:val="nil"/>
            </w:tcBorders>
            <w:vAlign w:val="center"/>
          </w:tcPr>
          <w:p w14:paraId="3387C505">
            <w:pPr>
              <w:autoSpaceDE w:val="0"/>
              <w:autoSpaceDN w:val="0"/>
              <w:adjustRightInd w:val="0"/>
              <w:spacing w:line="300" w:lineRule="exact"/>
              <w:jc w:val="center"/>
              <w:rPr>
                <w:rFonts w:hint="default" w:ascii="Times New Roman" w:hAnsi="Times New Roman" w:eastAsia="宋体" w:cs="Times New Roman"/>
                <w:bCs/>
                <w:sz w:val="21"/>
                <w:szCs w:val="21"/>
                <w:lang w:val="en-US" w:eastAsia="zh-CN"/>
              </w:rPr>
            </w:pPr>
          </w:p>
        </w:tc>
        <w:tc>
          <w:tcPr>
            <w:tcW w:w="814" w:type="pct"/>
            <w:tcBorders>
              <w:tl2br w:val="nil"/>
              <w:tr2bl w:val="nil"/>
            </w:tcBorders>
            <w:vAlign w:val="center"/>
          </w:tcPr>
          <w:p w14:paraId="7EC1CD62">
            <w:pPr>
              <w:autoSpaceDE w:val="0"/>
              <w:autoSpaceDN w:val="0"/>
              <w:adjustRightInd w:val="0"/>
              <w:spacing w:line="300" w:lineRule="exact"/>
              <w:jc w:val="center"/>
              <w:rPr>
                <w:rFonts w:ascii="Times New Roman" w:hAnsi="Times New Roman" w:eastAsia="宋体" w:cs="Times New Roman"/>
                <w:bCs/>
                <w:sz w:val="21"/>
                <w:szCs w:val="21"/>
              </w:rPr>
            </w:pPr>
          </w:p>
        </w:tc>
        <w:tc>
          <w:tcPr>
            <w:tcW w:w="730" w:type="pct"/>
            <w:tcBorders>
              <w:tl2br w:val="nil"/>
              <w:tr2bl w:val="nil"/>
            </w:tcBorders>
            <w:vAlign w:val="center"/>
          </w:tcPr>
          <w:p w14:paraId="04837825">
            <w:pPr>
              <w:autoSpaceDE w:val="0"/>
              <w:autoSpaceDN w:val="0"/>
              <w:adjustRightInd w:val="0"/>
              <w:spacing w:line="300" w:lineRule="exact"/>
              <w:jc w:val="center"/>
              <w:rPr>
                <w:rFonts w:ascii="Times New Roman" w:hAnsi="Times New Roman" w:eastAsia="宋体" w:cs="Times New Roman"/>
                <w:bCs/>
                <w:sz w:val="21"/>
                <w:szCs w:val="21"/>
              </w:rPr>
            </w:pPr>
          </w:p>
        </w:tc>
        <w:tc>
          <w:tcPr>
            <w:tcW w:w="869" w:type="pct"/>
            <w:tcBorders>
              <w:tl2br w:val="nil"/>
              <w:tr2bl w:val="nil"/>
            </w:tcBorders>
            <w:vAlign w:val="center"/>
          </w:tcPr>
          <w:p w14:paraId="218CEB1B">
            <w:pPr>
              <w:autoSpaceDE w:val="0"/>
              <w:autoSpaceDN w:val="0"/>
              <w:adjustRightInd w:val="0"/>
              <w:spacing w:line="300" w:lineRule="exact"/>
              <w:jc w:val="center"/>
              <w:rPr>
                <w:rFonts w:hint="default" w:ascii="Times New Roman" w:hAnsi="Times New Roman" w:eastAsia="宋体" w:cs="Times New Roman"/>
                <w:bCs/>
                <w:sz w:val="21"/>
                <w:szCs w:val="21"/>
                <w:lang w:val="en-US" w:eastAsia="zh-CN"/>
              </w:rPr>
            </w:pPr>
          </w:p>
        </w:tc>
      </w:tr>
      <w:tr w14:paraId="04831A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37" w:type="pct"/>
            <w:vMerge w:val="continue"/>
            <w:tcBorders>
              <w:tl2br w:val="nil"/>
              <w:tr2bl w:val="nil"/>
            </w:tcBorders>
            <w:vAlign w:val="center"/>
          </w:tcPr>
          <w:p w14:paraId="5914B92E">
            <w:pPr>
              <w:adjustRightInd w:val="0"/>
              <w:spacing w:line="300" w:lineRule="exact"/>
              <w:jc w:val="center"/>
              <w:rPr>
                <w:rFonts w:ascii="Times New Roman" w:hAnsi="Times New Roman" w:eastAsia="宋体" w:cs="Times New Roman"/>
                <w:bCs/>
                <w:kern w:val="0"/>
                <w:sz w:val="21"/>
                <w:szCs w:val="21"/>
              </w:rPr>
            </w:pPr>
          </w:p>
        </w:tc>
        <w:tc>
          <w:tcPr>
            <w:tcW w:w="485" w:type="pct"/>
            <w:vMerge w:val="continue"/>
            <w:tcBorders>
              <w:tl2br w:val="nil"/>
              <w:tr2bl w:val="nil"/>
            </w:tcBorders>
            <w:vAlign w:val="center"/>
          </w:tcPr>
          <w:p w14:paraId="0853DE1B">
            <w:pPr>
              <w:adjustRightInd w:val="0"/>
              <w:spacing w:line="300" w:lineRule="exact"/>
              <w:jc w:val="center"/>
              <w:rPr>
                <w:rFonts w:ascii="Times New Roman" w:hAnsi="Times New Roman" w:eastAsia="宋体" w:cs="Times New Roman"/>
                <w:bCs/>
                <w:kern w:val="0"/>
                <w:sz w:val="21"/>
                <w:szCs w:val="21"/>
              </w:rPr>
            </w:pPr>
          </w:p>
        </w:tc>
        <w:tc>
          <w:tcPr>
            <w:tcW w:w="734" w:type="pct"/>
            <w:tcBorders>
              <w:tl2br w:val="nil"/>
              <w:tr2bl w:val="nil"/>
            </w:tcBorders>
            <w:vAlign w:val="center"/>
          </w:tcPr>
          <w:p w14:paraId="754C6F58">
            <w:pPr>
              <w:autoSpaceDE w:val="0"/>
              <w:autoSpaceDN w:val="0"/>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硫化氢</w:t>
            </w:r>
          </w:p>
        </w:tc>
        <w:tc>
          <w:tcPr>
            <w:tcW w:w="828" w:type="pct"/>
            <w:tcBorders>
              <w:tl2br w:val="nil"/>
              <w:tr2bl w:val="nil"/>
            </w:tcBorders>
            <w:vAlign w:val="center"/>
          </w:tcPr>
          <w:p w14:paraId="1411DEBC">
            <w:pPr>
              <w:autoSpaceDE w:val="0"/>
              <w:autoSpaceDN w:val="0"/>
              <w:adjustRightInd w:val="0"/>
              <w:spacing w:line="300" w:lineRule="exact"/>
              <w:jc w:val="center"/>
              <w:rPr>
                <w:rFonts w:ascii="Times New Roman" w:hAnsi="Times New Roman" w:eastAsia="宋体" w:cs="Times New Roman"/>
                <w:bCs/>
                <w:sz w:val="21"/>
                <w:szCs w:val="21"/>
              </w:rPr>
            </w:pPr>
          </w:p>
        </w:tc>
        <w:tc>
          <w:tcPr>
            <w:tcW w:w="814" w:type="pct"/>
            <w:tcBorders>
              <w:tl2br w:val="nil"/>
              <w:tr2bl w:val="nil"/>
            </w:tcBorders>
            <w:vAlign w:val="center"/>
          </w:tcPr>
          <w:p w14:paraId="48FEE789">
            <w:pPr>
              <w:autoSpaceDE w:val="0"/>
              <w:autoSpaceDN w:val="0"/>
              <w:adjustRightInd w:val="0"/>
              <w:spacing w:line="300" w:lineRule="exact"/>
              <w:jc w:val="center"/>
              <w:rPr>
                <w:rFonts w:ascii="Times New Roman" w:hAnsi="Times New Roman" w:eastAsia="宋体" w:cs="Times New Roman"/>
                <w:bCs/>
                <w:sz w:val="21"/>
                <w:szCs w:val="21"/>
              </w:rPr>
            </w:pPr>
          </w:p>
        </w:tc>
        <w:tc>
          <w:tcPr>
            <w:tcW w:w="730" w:type="pct"/>
            <w:tcBorders>
              <w:tl2br w:val="nil"/>
              <w:tr2bl w:val="nil"/>
            </w:tcBorders>
            <w:vAlign w:val="center"/>
          </w:tcPr>
          <w:p w14:paraId="2A31F7FD">
            <w:pPr>
              <w:autoSpaceDE w:val="0"/>
              <w:autoSpaceDN w:val="0"/>
              <w:adjustRightInd w:val="0"/>
              <w:spacing w:line="300" w:lineRule="exact"/>
              <w:jc w:val="center"/>
              <w:rPr>
                <w:rFonts w:ascii="Times New Roman" w:hAnsi="Times New Roman" w:eastAsia="宋体" w:cs="Times New Roman"/>
                <w:bCs/>
                <w:sz w:val="21"/>
                <w:szCs w:val="21"/>
              </w:rPr>
            </w:pPr>
          </w:p>
        </w:tc>
        <w:tc>
          <w:tcPr>
            <w:tcW w:w="869" w:type="pct"/>
            <w:tcBorders>
              <w:tl2br w:val="nil"/>
              <w:tr2bl w:val="nil"/>
            </w:tcBorders>
            <w:vAlign w:val="center"/>
          </w:tcPr>
          <w:p w14:paraId="738C6AC4">
            <w:pPr>
              <w:autoSpaceDE w:val="0"/>
              <w:autoSpaceDN w:val="0"/>
              <w:adjustRightInd w:val="0"/>
              <w:spacing w:line="300" w:lineRule="exact"/>
              <w:jc w:val="center"/>
              <w:rPr>
                <w:rFonts w:ascii="Times New Roman" w:hAnsi="Times New Roman" w:eastAsia="宋体" w:cs="Times New Roman"/>
                <w:bCs/>
                <w:sz w:val="21"/>
                <w:szCs w:val="21"/>
              </w:rPr>
            </w:pPr>
          </w:p>
        </w:tc>
      </w:tr>
      <w:tr w14:paraId="6F742E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37" w:type="pct"/>
            <w:vMerge w:val="continue"/>
            <w:tcBorders>
              <w:tl2br w:val="nil"/>
              <w:tr2bl w:val="nil"/>
            </w:tcBorders>
            <w:vAlign w:val="center"/>
          </w:tcPr>
          <w:p w14:paraId="4B2A126F">
            <w:pPr>
              <w:adjustRightInd w:val="0"/>
              <w:spacing w:line="300" w:lineRule="exact"/>
              <w:jc w:val="center"/>
              <w:rPr>
                <w:rFonts w:ascii="Times New Roman" w:hAnsi="Times New Roman" w:eastAsia="宋体" w:cs="Times New Roman"/>
                <w:bCs/>
                <w:kern w:val="0"/>
                <w:sz w:val="21"/>
                <w:szCs w:val="21"/>
              </w:rPr>
            </w:pPr>
          </w:p>
        </w:tc>
        <w:tc>
          <w:tcPr>
            <w:tcW w:w="485" w:type="pct"/>
            <w:vMerge w:val="restart"/>
            <w:tcBorders>
              <w:tl2br w:val="nil"/>
              <w:tr2bl w:val="nil"/>
            </w:tcBorders>
            <w:vAlign w:val="center"/>
          </w:tcPr>
          <w:p w14:paraId="65AA6640">
            <w:pPr>
              <w:adjustRightInd w:val="0"/>
              <w:spacing w:line="30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无组织</w:t>
            </w:r>
          </w:p>
        </w:tc>
        <w:tc>
          <w:tcPr>
            <w:tcW w:w="734" w:type="pct"/>
            <w:tcBorders>
              <w:tl2br w:val="nil"/>
              <w:tr2bl w:val="nil"/>
            </w:tcBorders>
            <w:vAlign w:val="center"/>
          </w:tcPr>
          <w:p w14:paraId="6CD9E372">
            <w:pPr>
              <w:widowControl/>
              <w:spacing w:line="300" w:lineRule="exact"/>
              <w:jc w:val="center"/>
              <w:textAlignment w:val="center"/>
              <w:rPr>
                <w:rFonts w:ascii="Times New Roman" w:hAnsi="Times New Roman" w:eastAsia="宋体" w:cs="Times New Roman"/>
                <w:bCs/>
                <w:sz w:val="21"/>
                <w:szCs w:val="21"/>
              </w:rPr>
            </w:pPr>
            <w:r>
              <w:rPr>
                <w:rFonts w:ascii="Times New Roman" w:hAnsi="Times New Roman" w:eastAsia="宋体" w:cs="Times New Roman"/>
                <w:bCs/>
                <w:color w:val="000000"/>
                <w:kern w:val="0"/>
                <w:sz w:val="21"/>
                <w:szCs w:val="21"/>
                <w:lang w:bidi="ar"/>
              </w:rPr>
              <w:t>NH</w:t>
            </w:r>
            <w:r>
              <w:rPr>
                <w:rFonts w:ascii="Times New Roman" w:hAnsi="Times New Roman" w:eastAsia="宋体" w:cs="Times New Roman"/>
                <w:bCs/>
                <w:color w:val="000000"/>
                <w:kern w:val="0"/>
                <w:sz w:val="21"/>
                <w:szCs w:val="21"/>
                <w:vertAlign w:val="subscript"/>
                <w:lang w:bidi="ar"/>
              </w:rPr>
              <w:t>3</w:t>
            </w:r>
          </w:p>
        </w:tc>
        <w:tc>
          <w:tcPr>
            <w:tcW w:w="828" w:type="pct"/>
            <w:tcBorders>
              <w:tl2br w:val="nil"/>
              <w:tr2bl w:val="nil"/>
            </w:tcBorders>
            <w:vAlign w:val="center"/>
          </w:tcPr>
          <w:p w14:paraId="77F38AFC">
            <w:pPr>
              <w:widowControl/>
              <w:spacing w:line="300" w:lineRule="exact"/>
              <w:jc w:val="center"/>
              <w:textAlignment w:val="center"/>
              <w:rPr>
                <w:rFonts w:ascii="Times New Roman" w:hAnsi="Times New Roman" w:eastAsia="宋体" w:cs="Times New Roman"/>
                <w:bCs/>
                <w:kern w:val="0"/>
                <w:sz w:val="21"/>
                <w:szCs w:val="21"/>
              </w:rPr>
            </w:pPr>
          </w:p>
        </w:tc>
        <w:tc>
          <w:tcPr>
            <w:tcW w:w="814" w:type="pct"/>
            <w:tcBorders>
              <w:tl2br w:val="nil"/>
              <w:tr2bl w:val="nil"/>
            </w:tcBorders>
            <w:vAlign w:val="center"/>
          </w:tcPr>
          <w:p w14:paraId="38274FD9">
            <w:pPr>
              <w:adjustRightInd w:val="0"/>
              <w:spacing w:line="300" w:lineRule="exact"/>
              <w:jc w:val="center"/>
              <w:rPr>
                <w:rFonts w:ascii="Times New Roman" w:hAnsi="Times New Roman" w:eastAsia="宋体" w:cs="Times New Roman"/>
                <w:bCs/>
                <w:kern w:val="0"/>
                <w:sz w:val="21"/>
                <w:szCs w:val="21"/>
              </w:rPr>
            </w:pPr>
          </w:p>
        </w:tc>
        <w:tc>
          <w:tcPr>
            <w:tcW w:w="730" w:type="pct"/>
            <w:tcBorders>
              <w:tl2br w:val="nil"/>
              <w:tr2bl w:val="nil"/>
            </w:tcBorders>
            <w:vAlign w:val="center"/>
          </w:tcPr>
          <w:p w14:paraId="5320ED37">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1D9DA1E5">
            <w:pPr>
              <w:widowControl/>
              <w:spacing w:line="300" w:lineRule="exact"/>
              <w:jc w:val="center"/>
              <w:textAlignment w:val="center"/>
              <w:rPr>
                <w:rFonts w:ascii="Times New Roman" w:hAnsi="Times New Roman" w:eastAsia="宋体" w:cs="Times New Roman"/>
                <w:bCs/>
                <w:kern w:val="0"/>
                <w:sz w:val="21"/>
                <w:szCs w:val="21"/>
              </w:rPr>
            </w:pPr>
          </w:p>
        </w:tc>
      </w:tr>
      <w:tr w14:paraId="21217C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37" w:type="pct"/>
            <w:vMerge w:val="continue"/>
            <w:tcBorders>
              <w:tl2br w:val="nil"/>
              <w:tr2bl w:val="nil"/>
            </w:tcBorders>
            <w:vAlign w:val="center"/>
          </w:tcPr>
          <w:p w14:paraId="791E337D">
            <w:pPr>
              <w:adjustRightInd w:val="0"/>
              <w:spacing w:line="300" w:lineRule="exact"/>
              <w:jc w:val="center"/>
              <w:rPr>
                <w:rFonts w:ascii="Times New Roman" w:hAnsi="Times New Roman" w:eastAsia="宋体" w:cs="Times New Roman"/>
                <w:bCs/>
                <w:kern w:val="0"/>
                <w:sz w:val="21"/>
                <w:szCs w:val="21"/>
              </w:rPr>
            </w:pPr>
          </w:p>
        </w:tc>
        <w:tc>
          <w:tcPr>
            <w:tcW w:w="485" w:type="pct"/>
            <w:vMerge w:val="continue"/>
            <w:tcBorders>
              <w:tl2br w:val="nil"/>
              <w:tr2bl w:val="nil"/>
            </w:tcBorders>
            <w:vAlign w:val="center"/>
          </w:tcPr>
          <w:p w14:paraId="2CB876BC">
            <w:pPr>
              <w:adjustRightInd w:val="0"/>
              <w:spacing w:line="300" w:lineRule="exact"/>
              <w:jc w:val="center"/>
              <w:rPr>
                <w:rFonts w:ascii="Times New Roman" w:hAnsi="Times New Roman" w:eastAsia="宋体" w:cs="Times New Roman"/>
                <w:bCs/>
                <w:kern w:val="0"/>
                <w:sz w:val="21"/>
                <w:szCs w:val="21"/>
              </w:rPr>
            </w:pPr>
          </w:p>
        </w:tc>
        <w:tc>
          <w:tcPr>
            <w:tcW w:w="734" w:type="pct"/>
            <w:tcBorders>
              <w:tl2br w:val="nil"/>
              <w:tr2bl w:val="nil"/>
            </w:tcBorders>
            <w:vAlign w:val="center"/>
          </w:tcPr>
          <w:p w14:paraId="48556812">
            <w:pPr>
              <w:widowControl/>
              <w:spacing w:line="300" w:lineRule="exact"/>
              <w:jc w:val="center"/>
              <w:textAlignment w:val="center"/>
              <w:rPr>
                <w:rFonts w:ascii="Times New Roman" w:hAnsi="Times New Roman" w:eastAsia="宋体" w:cs="Times New Roman"/>
                <w:bCs/>
                <w:sz w:val="21"/>
                <w:szCs w:val="21"/>
              </w:rPr>
            </w:pPr>
            <w:r>
              <w:rPr>
                <w:rFonts w:ascii="Times New Roman" w:hAnsi="Times New Roman" w:eastAsia="宋体" w:cs="Times New Roman"/>
                <w:bCs/>
                <w:color w:val="000000"/>
                <w:kern w:val="0"/>
                <w:sz w:val="21"/>
                <w:szCs w:val="21"/>
                <w:lang w:bidi="ar"/>
              </w:rPr>
              <w:t>H</w:t>
            </w:r>
            <w:r>
              <w:rPr>
                <w:rFonts w:ascii="Times New Roman" w:hAnsi="Times New Roman" w:eastAsia="宋体" w:cs="Times New Roman"/>
                <w:bCs/>
                <w:color w:val="000000"/>
                <w:kern w:val="0"/>
                <w:sz w:val="21"/>
                <w:szCs w:val="21"/>
                <w:vertAlign w:val="subscript"/>
                <w:lang w:bidi="ar"/>
              </w:rPr>
              <w:t>2</w:t>
            </w:r>
            <w:r>
              <w:rPr>
                <w:rFonts w:ascii="Times New Roman" w:hAnsi="Times New Roman" w:eastAsia="宋体" w:cs="Times New Roman"/>
                <w:bCs/>
                <w:color w:val="000000"/>
                <w:kern w:val="0"/>
                <w:sz w:val="21"/>
                <w:szCs w:val="21"/>
                <w:lang w:bidi="ar"/>
              </w:rPr>
              <w:t>S</w:t>
            </w:r>
          </w:p>
        </w:tc>
        <w:tc>
          <w:tcPr>
            <w:tcW w:w="828" w:type="pct"/>
            <w:tcBorders>
              <w:tl2br w:val="nil"/>
              <w:tr2bl w:val="nil"/>
            </w:tcBorders>
            <w:vAlign w:val="center"/>
          </w:tcPr>
          <w:p w14:paraId="4514347D">
            <w:pPr>
              <w:widowControl/>
              <w:spacing w:line="300" w:lineRule="exact"/>
              <w:jc w:val="center"/>
              <w:textAlignment w:val="center"/>
              <w:rPr>
                <w:rFonts w:ascii="Times New Roman" w:hAnsi="Times New Roman" w:eastAsia="宋体" w:cs="Times New Roman"/>
                <w:bCs/>
                <w:color w:val="000000"/>
                <w:kern w:val="0"/>
                <w:sz w:val="21"/>
                <w:szCs w:val="21"/>
                <w:lang w:bidi="ar"/>
              </w:rPr>
            </w:pPr>
          </w:p>
        </w:tc>
        <w:tc>
          <w:tcPr>
            <w:tcW w:w="814" w:type="pct"/>
            <w:tcBorders>
              <w:tl2br w:val="nil"/>
              <w:tr2bl w:val="nil"/>
            </w:tcBorders>
            <w:vAlign w:val="center"/>
          </w:tcPr>
          <w:p w14:paraId="5DA07512">
            <w:pPr>
              <w:adjustRightInd w:val="0"/>
              <w:spacing w:line="300" w:lineRule="exact"/>
              <w:jc w:val="center"/>
              <w:rPr>
                <w:rFonts w:ascii="Times New Roman" w:hAnsi="Times New Roman" w:eastAsia="宋体" w:cs="Times New Roman"/>
                <w:bCs/>
                <w:kern w:val="0"/>
                <w:sz w:val="21"/>
                <w:szCs w:val="21"/>
              </w:rPr>
            </w:pPr>
          </w:p>
        </w:tc>
        <w:tc>
          <w:tcPr>
            <w:tcW w:w="730" w:type="pct"/>
            <w:tcBorders>
              <w:tl2br w:val="nil"/>
              <w:tr2bl w:val="nil"/>
            </w:tcBorders>
            <w:vAlign w:val="center"/>
          </w:tcPr>
          <w:p w14:paraId="5A8783FB">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14B246C8">
            <w:pPr>
              <w:widowControl/>
              <w:spacing w:line="300" w:lineRule="exact"/>
              <w:jc w:val="center"/>
              <w:textAlignment w:val="center"/>
              <w:rPr>
                <w:rFonts w:ascii="Times New Roman" w:hAnsi="Times New Roman" w:eastAsia="宋体" w:cs="Times New Roman"/>
                <w:bCs/>
                <w:color w:val="000000"/>
                <w:kern w:val="0"/>
                <w:sz w:val="21"/>
                <w:szCs w:val="21"/>
                <w:lang w:bidi="ar"/>
              </w:rPr>
            </w:pPr>
          </w:p>
        </w:tc>
      </w:tr>
      <w:tr w14:paraId="3DB300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37" w:type="pct"/>
            <w:vMerge w:val="restart"/>
            <w:tcBorders>
              <w:tl2br w:val="nil"/>
              <w:tr2bl w:val="nil"/>
            </w:tcBorders>
            <w:vAlign w:val="center"/>
          </w:tcPr>
          <w:p w14:paraId="6DB4483F">
            <w:pPr>
              <w:adjustRightInd w:val="0"/>
              <w:spacing w:line="300" w:lineRule="exact"/>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固废</w:t>
            </w:r>
          </w:p>
        </w:tc>
        <w:tc>
          <w:tcPr>
            <w:tcW w:w="1219" w:type="pct"/>
            <w:gridSpan w:val="2"/>
            <w:tcBorders>
              <w:tl2br w:val="nil"/>
              <w:tr2bl w:val="nil"/>
            </w:tcBorders>
            <w:vAlign w:val="center"/>
          </w:tcPr>
          <w:p w14:paraId="12A7FEBB">
            <w:pPr>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病死鸡</w:t>
            </w:r>
          </w:p>
        </w:tc>
        <w:tc>
          <w:tcPr>
            <w:tcW w:w="828" w:type="pct"/>
            <w:tcBorders>
              <w:tl2br w:val="nil"/>
              <w:tr2bl w:val="nil"/>
            </w:tcBorders>
            <w:vAlign w:val="center"/>
          </w:tcPr>
          <w:p w14:paraId="63BCD180">
            <w:pPr>
              <w:spacing w:line="300" w:lineRule="exact"/>
              <w:jc w:val="center"/>
              <w:rPr>
                <w:rFonts w:ascii="Times New Roman" w:hAnsi="Times New Roman" w:eastAsia="宋体" w:cs="Times New Roman"/>
                <w:bCs/>
                <w:sz w:val="21"/>
                <w:szCs w:val="21"/>
              </w:rPr>
            </w:pPr>
          </w:p>
        </w:tc>
        <w:tc>
          <w:tcPr>
            <w:tcW w:w="814" w:type="pct"/>
            <w:tcBorders>
              <w:tl2br w:val="nil"/>
              <w:tr2bl w:val="nil"/>
            </w:tcBorders>
            <w:vAlign w:val="center"/>
          </w:tcPr>
          <w:p w14:paraId="19CCE022">
            <w:pPr>
              <w:spacing w:line="300" w:lineRule="exact"/>
              <w:jc w:val="center"/>
              <w:rPr>
                <w:rFonts w:ascii="Times New Roman" w:hAnsi="Times New Roman" w:eastAsia="宋体" w:cs="Times New Roman"/>
                <w:bCs/>
                <w:sz w:val="21"/>
                <w:szCs w:val="21"/>
              </w:rPr>
            </w:pPr>
          </w:p>
        </w:tc>
        <w:tc>
          <w:tcPr>
            <w:tcW w:w="730" w:type="pct"/>
            <w:tcBorders>
              <w:tl2br w:val="nil"/>
              <w:tr2bl w:val="nil"/>
            </w:tcBorders>
            <w:vAlign w:val="center"/>
          </w:tcPr>
          <w:p w14:paraId="347D3128">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5635C408">
            <w:pPr>
              <w:adjustRightInd w:val="0"/>
              <w:spacing w:line="300" w:lineRule="exact"/>
              <w:jc w:val="center"/>
              <w:rPr>
                <w:rFonts w:ascii="Times New Roman" w:hAnsi="Times New Roman" w:eastAsia="宋体" w:cs="Times New Roman"/>
                <w:bCs/>
                <w:kern w:val="0"/>
                <w:sz w:val="21"/>
                <w:szCs w:val="21"/>
              </w:rPr>
            </w:pPr>
          </w:p>
        </w:tc>
      </w:tr>
      <w:tr w14:paraId="20BF88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37" w:type="pct"/>
            <w:vMerge w:val="continue"/>
            <w:tcBorders>
              <w:tl2br w:val="nil"/>
              <w:tr2bl w:val="nil"/>
            </w:tcBorders>
            <w:vAlign w:val="center"/>
          </w:tcPr>
          <w:p w14:paraId="04305BE3">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3BC0BB2B">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鸡粪</w:t>
            </w:r>
          </w:p>
        </w:tc>
        <w:tc>
          <w:tcPr>
            <w:tcW w:w="828" w:type="pct"/>
            <w:tcBorders>
              <w:tl2br w:val="nil"/>
              <w:tr2bl w:val="nil"/>
            </w:tcBorders>
            <w:vAlign w:val="center"/>
          </w:tcPr>
          <w:p w14:paraId="26BC9C24">
            <w:pPr>
              <w:tabs>
                <w:tab w:val="left" w:pos="0"/>
              </w:tabs>
              <w:adjustRightInd w:val="0"/>
              <w:spacing w:line="300" w:lineRule="exact"/>
              <w:jc w:val="center"/>
              <w:rPr>
                <w:rFonts w:ascii="Times New Roman" w:hAnsi="Times New Roman" w:eastAsia="宋体" w:cs="Times New Roman"/>
                <w:bCs/>
                <w:sz w:val="21"/>
                <w:szCs w:val="21"/>
              </w:rPr>
            </w:pPr>
          </w:p>
        </w:tc>
        <w:tc>
          <w:tcPr>
            <w:tcW w:w="814" w:type="pct"/>
            <w:tcBorders>
              <w:tl2br w:val="nil"/>
              <w:tr2bl w:val="nil"/>
            </w:tcBorders>
            <w:vAlign w:val="center"/>
          </w:tcPr>
          <w:p w14:paraId="2C50FD03">
            <w:pPr>
              <w:tabs>
                <w:tab w:val="left" w:pos="0"/>
              </w:tabs>
              <w:adjustRightInd w:val="0"/>
              <w:spacing w:line="300" w:lineRule="exact"/>
              <w:jc w:val="center"/>
              <w:rPr>
                <w:rFonts w:ascii="Times New Roman" w:hAnsi="Times New Roman" w:eastAsia="宋体" w:cs="Times New Roman"/>
                <w:bCs/>
                <w:sz w:val="21"/>
                <w:szCs w:val="21"/>
              </w:rPr>
            </w:pPr>
          </w:p>
        </w:tc>
        <w:tc>
          <w:tcPr>
            <w:tcW w:w="730" w:type="pct"/>
            <w:tcBorders>
              <w:tl2br w:val="nil"/>
              <w:tr2bl w:val="nil"/>
            </w:tcBorders>
            <w:vAlign w:val="center"/>
          </w:tcPr>
          <w:p w14:paraId="5CED8A0A">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6F866985">
            <w:pPr>
              <w:adjustRightInd w:val="0"/>
              <w:spacing w:line="300" w:lineRule="exact"/>
              <w:jc w:val="center"/>
              <w:rPr>
                <w:rFonts w:ascii="Times New Roman" w:hAnsi="Times New Roman" w:eastAsia="宋体" w:cs="Times New Roman"/>
                <w:bCs/>
                <w:kern w:val="0"/>
                <w:sz w:val="21"/>
                <w:szCs w:val="21"/>
              </w:rPr>
            </w:pPr>
          </w:p>
        </w:tc>
      </w:tr>
      <w:tr w14:paraId="4B5591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37" w:type="pct"/>
            <w:vMerge w:val="continue"/>
            <w:tcBorders>
              <w:tl2br w:val="nil"/>
              <w:tr2bl w:val="nil"/>
            </w:tcBorders>
            <w:vAlign w:val="center"/>
          </w:tcPr>
          <w:p w14:paraId="6FDE25F4">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2A9F4274">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废包装</w:t>
            </w:r>
          </w:p>
        </w:tc>
        <w:tc>
          <w:tcPr>
            <w:tcW w:w="828" w:type="pct"/>
            <w:tcBorders>
              <w:tl2br w:val="nil"/>
              <w:tr2bl w:val="nil"/>
            </w:tcBorders>
            <w:vAlign w:val="center"/>
          </w:tcPr>
          <w:p w14:paraId="0C873D56">
            <w:pPr>
              <w:tabs>
                <w:tab w:val="left" w:pos="0"/>
              </w:tabs>
              <w:adjustRightInd w:val="0"/>
              <w:spacing w:line="300" w:lineRule="exact"/>
              <w:jc w:val="center"/>
              <w:rPr>
                <w:rFonts w:ascii="Times New Roman" w:hAnsi="Times New Roman" w:eastAsia="宋体" w:cs="Times New Roman"/>
                <w:bCs/>
                <w:sz w:val="21"/>
                <w:szCs w:val="21"/>
              </w:rPr>
            </w:pPr>
          </w:p>
        </w:tc>
        <w:tc>
          <w:tcPr>
            <w:tcW w:w="814" w:type="pct"/>
            <w:tcBorders>
              <w:tl2br w:val="nil"/>
              <w:tr2bl w:val="nil"/>
            </w:tcBorders>
            <w:vAlign w:val="center"/>
          </w:tcPr>
          <w:p w14:paraId="408584AA">
            <w:pPr>
              <w:tabs>
                <w:tab w:val="left" w:pos="0"/>
              </w:tabs>
              <w:adjustRightInd w:val="0"/>
              <w:spacing w:line="300" w:lineRule="exact"/>
              <w:jc w:val="center"/>
              <w:rPr>
                <w:rFonts w:ascii="Times New Roman" w:hAnsi="Times New Roman" w:eastAsia="宋体" w:cs="Times New Roman"/>
                <w:bCs/>
                <w:sz w:val="21"/>
                <w:szCs w:val="21"/>
              </w:rPr>
            </w:pPr>
          </w:p>
        </w:tc>
        <w:tc>
          <w:tcPr>
            <w:tcW w:w="730" w:type="pct"/>
            <w:tcBorders>
              <w:tl2br w:val="nil"/>
              <w:tr2bl w:val="nil"/>
            </w:tcBorders>
            <w:vAlign w:val="center"/>
          </w:tcPr>
          <w:p w14:paraId="2F903A0B">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4A1962E2">
            <w:pPr>
              <w:adjustRightInd w:val="0"/>
              <w:spacing w:line="300" w:lineRule="exact"/>
              <w:jc w:val="center"/>
              <w:rPr>
                <w:rFonts w:ascii="Times New Roman" w:hAnsi="Times New Roman" w:eastAsia="宋体" w:cs="Times New Roman"/>
                <w:bCs/>
                <w:kern w:val="0"/>
                <w:sz w:val="21"/>
                <w:szCs w:val="21"/>
              </w:rPr>
            </w:pPr>
          </w:p>
        </w:tc>
      </w:tr>
      <w:tr w14:paraId="648912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37" w:type="pct"/>
            <w:vMerge w:val="continue"/>
            <w:tcBorders>
              <w:tl2br w:val="nil"/>
              <w:tr2bl w:val="nil"/>
            </w:tcBorders>
            <w:vAlign w:val="center"/>
          </w:tcPr>
          <w:p w14:paraId="0CE16E22">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51A78F3F">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医疗废物</w:t>
            </w:r>
          </w:p>
        </w:tc>
        <w:tc>
          <w:tcPr>
            <w:tcW w:w="828" w:type="pct"/>
            <w:tcBorders>
              <w:tl2br w:val="nil"/>
              <w:tr2bl w:val="nil"/>
            </w:tcBorders>
            <w:vAlign w:val="center"/>
          </w:tcPr>
          <w:p w14:paraId="4D9D4009">
            <w:pPr>
              <w:tabs>
                <w:tab w:val="left" w:pos="0"/>
              </w:tabs>
              <w:adjustRightInd w:val="0"/>
              <w:spacing w:line="300" w:lineRule="exact"/>
              <w:jc w:val="center"/>
              <w:rPr>
                <w:rFonts w:ascii="Times New Roman" w:hAnsi="Times New Roman" w:eastAsia="宋体" w:cs="Times New Roman"/>
                <w:bCs/>
                <w:sz w:val="21"/>
                <w:szCs w:val="21"/>
              </w:rPr>
            </w:pPr>
          </w:p>
        </w:tc>
        <w:tc>
          <w:tcPr>
            <w:tcW w:w="814" w:type="pct"/>
            <w:tcBorders>
              <w:tl2br w:val="nil"/>
              <w:tr2bl w:val="nil"/>
            </w:tcBorders>
            <w:vAlign w:val="center"/>
          </w:tcPr>
          <w:p w14:paraId="44A5EB6E">
            <w:pPr>
              <w:tabs>
                <w:tab w:val="left" w:pos="0"/>
              </w:tabs>
              <w:adjustRightInd w:val="0"/>
              <w:spacing w:line="300" w:lineRule="exact"/>
              <w:jc w:val="center"/>
              <w:rPr>
                <w:rFonts w:ascii="Times New Roman" w:hAnsi="Times New Roman" w:eastAsia="宋体" w:cs="Times New Roman"/>
                <w:bCs/>
                <w:sz w:val="21"/>
                <w:szCs w:val="21"/>
              </w:rPr>
            </w:pPr>
          </w:p>
        </w:tc>
        <w:tc>
          <w:tcPr>
            <w:tcW w:w="730" w:type="pct"/>
            <w:tcBorders>
              <w:tl2br w:val="nil"/>
              <w:tr2bl w:val="nil"/>
            </w:tcBorders>
            <w:vAlign w:val="center"/>
          </w:tcPr>
          <w:p w14:paraId="542AFCAC">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78E8CFD2">
            <w:pPr>
              <w:adjustRightInd w:val="0"/>
              <w:spacing w:line="300" w:lineRule="exact"/>
              <w:jc w:val="center"/>
              <w:rPr>
                <w:rFonts w:ascii="Times New Roman" w:hAnsi="Times New Roman" w:eastAsia="宋体" w:cs="Times New Roman"/>
                <w:bCs/>
                <w:kern w:val="0"/>
                <w:sz w:val="21"/>
                <w:szCs w:val="21"/>
              </w:rPr>
            </w:pPr>
          </w:p>
        </w:tc>
      </w:tr>
      <w:tr w14:paraId="32EB32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37" w:type="pct"/>
            <w:vMerge w:val="continue"/>
            <w:tcBorders>
              <w:tl2br w:val="nil"/>
              <w:tr2bl w:val="nil"/>
            </w:tcBorders>
            <w:vAlign w:val="center"/>
          </w:tcPr>
          <w:p w14:paraId="18C4E15A">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0B104607">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污泥</w:t>
            </w:r>
          </w:p>
        </w:tc>
        <w:tc>
          <w:tcPr>
            <w:tcW w:w="828" w:type="pct"/>
            <w:tcBorders>
              <w:tl2br w:val="nil"/>
              <w:tr2bl w:val="nil"/>
            </w:tcBorders>
            <w:vAlign w:val="center"/>
          </w:tcPr>
          <w:p w14:paraId="365B3CDA">
            <w:pPr>
              <w:tabs>
                <w:tab w:val="left" w:pos="0"/>
              </w:tabs>
              <w:adjustRightInd w:val="0"/>
              <w:spacing w:line="300" w:lineRule="exact"/>
              <w:jc w:val="center"/>
              <w:rPr>
                <w:rFonts w:ascii="Times New Roman" w:hAnsi="Times New Roman" w:eastAsia="宋体" w:cs="Times New Roman"/>
                <w:bCs/>
                <w:sz w:val="21"/>
                <w:szCs w:val="21"/>
              </w:rPr>
            </w:pPr>
          </w:p>
        </w:tc>
        <w:tc>
          <w:tcPr>
            <w:tcW w:w="814" w:type="pct"/>
            <w:tcBorders>
              <w:tl2br w:val="nil"/>
              <w:tr2bl w:val="nil"/>
            </w:tcBorders>
            <w:vAlign w:val="center"/>
          </w:tcPr>
          <w:p w14:paraId="344B50EA">
            <w:pPr>
              <w:tabs>
                <w:tab w:val="left" w:pos="0"/>
              </w:tabs>
              <w:adjustRightInd w:val="0"/>
              <w:spacing w:line="300" w:lineRule="exact"/>
              <w:jc w:val="center"/>
              <w:rPr>
                <w:rFonts w:ascii="Times New Roman" w:hAnsi="Times New Roman" w:eastAsia="宋体" w:cs="Times New Roman"/>
                <w:bCs/>
                <w:sz w:val="21"/>
                <w:szCs w:val="21"/>
              </w:rPr>
            </w:pPr>
          </w:p>
        </w:tc>
        <w:tc>
          <w:tcPr>
            <w:tcW w:w="730" w:type="pct"/>
            <w:tcBorders>
              <w:tl2br w:val="nil"/>
              <w:tr2bl w:val="nil"/>
            </w:tcBorders>
            <w:vAlign w:val="center"/>
          </w:tcPr>
          <w:p w14:paraId="6487651D">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08B513E6">
            <w:pPr>
              <w:adjustRightInd w:val="0"/>
              <w:spacing w:line="300" w:lineRule="exact"/>
              <w:jc w:val="center"/>
              <w:rPr>
                <w:rFonts w:ascii="Times New Roman" w:hAnsi="Times New Roman" w:eastAsia="宋体" w:cs="Times New Roman"/>
                <w:bCs/>
                <w:kern w:val="0"/>
                <w:sz w:val="21"/>
                <w:szCs w:val="21"/>
              </w:rPr>
            </w:pPr>
          </w:p>
        </w:tc>
      </w:tr>
      <w:tr w14:paraId="1029EC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37" w:type="pct"/>
            <w:vMerge w:val="continue"/>
            <w:tcBorders>
              <w:tl2br w:val="nil"/>
              <w:tr2bl w:val="nil"/>
            </w:tcBorders>
            <w:vAlign w:val="center"/>
          </w:tcPr>
          <w:p w14:paraId="6B133532">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784D5FF1">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饲料残渣及散落羽毛</w:t>
            </w:r>
          </w:p>
        </w:tc>
        <w:tc>
          <w:tcPr>
            <w:tcW w:w="828" w:type="pct"/>
            <w:tcBorders>
              <w:tl2br w:val="nil"/>
              <w:tr2bl w:val="nil"/>
            </w:tcBorders>
            <w:vAlign w:val="center"/>
          </w:tcPr>
          <w:p w14:paraId="6E73E89A">
            <w:pPr>
              <w:tabs>
                <w:tab w:val="left" w:pos="0"/>
              </w:tabs>
              <w:adjustRightInd w:val="0"/>
              <w:spacing w:line="300" w:lineRule="exact"/>
              <w:jc w:val="center"/>
              <w:rPr>
                <w:rFonts w:ascii="Times New Roman" w:hAnsi="Times New Roman" w:eastAsia="宋体" w:cs="Times New Roman"/>
                <w:bCs/>
                <w:sz w:val="21"/>
                <w:szCs w:val="21"/>
              </w:rPr>
            </w:pPr>
          </w:p>
        </w:tc>
        <w:tc>
          <w:tcPr>
            <w:tcW w:w="814" w:type="pct"/>
            <w:tcBorders>
              <w:tl2br w:val="nil"/>
              <w:tr2bl w:val="nil"/>
            </w:tcBorders>
            <w:vAlign w:val="center"/>
          </w:tcPr>
          <w:p w14:paraId="385C885B">
            <w:pPr>
              <w:tabs>
                <w:tab w:val="left" w:pos="0"/>
              </w:tabs>
              <w:adjustRightInd w:val="0"/>
              <w:spacing w:line="300" w:lineRule="exact"/>
              <w:jc w:val="center"/>
              <w:rPr>
                <w:rFonts w:ascii="Times New Roman" w:hAnsi="Times New Roman" w:eastAsia="宋体" w:cs="Times New Roman"/>
                <w:bCs/>
                <w:sz w:val="21"/>
                <w:szCs w:val="21"/>
              </w:rPr>
            </w:pPr>
          </w:p>
        </w:tc>
        <w:tc>
          <w:tcPr>
            <w:tcW w:w="730" w:type="pct"/>
            <w:tcBorders>
              <w:tl2br w:val="nil"/>
              <w:tr2bl w:val="nil"/>
            </w:tcBorders>
            <w:vAlign w:val="center"/>
          </w:tcPr>
          <w:p w14:paraId="521A64F5">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6C0DD313">
            <w:pPr>
              <w:adjustRightInd w:val="0"/>
              <w:spacing w:line="300" w:lineRule="exact"/>
              <w:jc w:val="center"/>
              <w:rPr>
                <w:rFonts w:ascii="Times New Roman" w:hAnsi="Times New Roman" w:eastAsia="宋体" w:cs="Times New Roman"/>
                <w:bCs/>
                <w:kern w:val="0"/>
                <w:sz w:val="21"/>
                <w:szCs w:val="21"/>
              </w:rPr>
            </w:pPr>
          </w:p>
        </w:tc>
      </w:tr>
      <w:tr w14:paraId="03D6D5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37" w:type="pct"/>
            <w:vMerge w:val="continue"/>
            <w:tcBorders>
              <w:tl2br w:val="nil"/>
              <w:tr2bl w:val="nil"/>
            </w:tcBorders>
            <w:vAlign w:val="center"/>
          </w:tcPr>
          <w:p w14:paraId="68867785">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50108A54">
            <w:pPr>
              <w:tabs>
                <w:tab w:val="left" w:pos="0"/>
              </w:tabs>
              <w:adjustRightInd w:val="0"/>
              <w:spacing w:line="300" w:lineRule="exact"/>
              <w:jc w:val="center"/>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废树脂</w:t>
            </w:r>
          </w:p>
        </w:tc>
        <w:tc>
          <w:tcPr>
            <w:tcW w:w="828" w:type="pct"/>
            <w:tcBorders>
              <w:tl2br w:val="nil"/>
              <w:tr2bl w:val="nil"/>
            </w:tcBorders>
            <w:vAlign w:val="center"/>
          </w:tcPr>
          <w:p w14:paraId="0C06724E">
            <w:pPr>
              <w:tabs>
                <w:tab w:val="left" w:pos="0"/>
              </w:tabs>
              <w:adjustRightInd w:val="0"/>
              <w:spacing w:line="300" w:lineRule="exact"/>
              <w:jc w:val="center"/>
              <w:rPr>
                <w:rFonts w:ascii="Times New Roman" w:hAnsi="Times New Roman" w:eastAsia="宋体" w:cs="Times New Roman"/>
                <w:bCs/>
                <w:sz w:val="21"/>
                <w:szCs w:val="21"/>
              </w:rPr>
            </w:pPr>
          </w:p>
        </w:tc>
        <w:tc>
          <w:tcPr>
            <w:tcW w:w="814" w:type="pct"/>
            <w:tcBorders>
              <w:tl2br w:val="nil"/>
              <w:tr2bl w:val="nil"/>
            </w:tcBorders>
            <w:vAlign w:val="center"/>
          </w:tcPr>
          <w:p w14:paraId="4AA96FB2">
            <w:pPr>
              <w:tabs>
                <w:tab w:val="left" w:pos="0"/>
              </w:tabs>
              <w:adjustRightInd w:val="0"/>
              <w:spacing w:line="300" w:lineRule="exact"/>
              <w:jc w:val="center"/>
              <w:rPr>
                <w:rFonts w:ascii="Times New Roman" w:hAnsi="Times New Roman" w:eastAsia="宋体" w:cs="Times New Roman"/>
                <w:bCs/>
                <w:sz w:val="21"/>
                <w:szCs w:val="21"/>
              </w:rPr>
            </w:pPr>
          </w:p>
        </w:tc>
        <w:tc>
          <w:tcPr>
            <w:tcW w:w="730" w:type="pct"/>
            <w:tcBorders>
              <w:tl2br w:val="nil"/>
              <w:tr2bl w:val="nil"/>
            </w:tcBorders>
            <w:vAlign w:val="center"/>
          </w:tcPr>
          <w:p w14:paraId="0E82FA82">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548B8EE9">
            <w:pPr>
              <w:adjustRightInd w:val="0"/>
              <w:spacing w:line="300" w:lineRule="exact"/>
              <w:jc w:val="center"/>
              <w:rPr>
                <w:rFonts w:ascii="Times New Roman" w:hAnsi="Times New Roman" w:eastAsia="宋体" w:cs="Times New Roman"/>
                <w:bCs/>
                <w:kern w:val="0"/>
                <w:sz w:val="21"/>
                <w:szCs w:val="21"/>
              </w:rPr>
            </w:pPr>
          </w:p>
        </w:tc>
      </w:tr>
      <w:tr w14:paraId="78A6DD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37" w:type="pct"/>
            <w:vMerge w:val="continue"/>
            <w:tcBorders>
              <w:tl2br w:val="nil"/>
              <w:tr2bl w:val="nil"/>
            </w:tcBorders>
            <w:vAlign w:val="center"/>
          </w:tcPr>
          <w:p w14:paraId="0BFFF4CB">
            <w:pPr>
              <w:adjustRightInd w:val="0"/>
              <w:spacing w:line="300" w:lineRule="exact"/>
              <w:jc w:val="center"/>
              <w:rPr>
                <w:rFonts w:ascii="Times New Roman" w:hAnsi="Times New Roman" w:eastAsia="宋体" w:cs="Times New Roman"/>
                <w:bCs/>
                <w:kern w:val="0"/>
                <w:sz w:val="21"/>
                <w:szCs w:val="21"/>
              </w:rPr>
            </w:pPr>
          </w:p>
        </w:tc>
        <w:tc>
          <w:tcPr>
            <w:tcW w:w="1219" w:type="pct"/>
            <w:gridSpan w:val="2"/>
            <w:tcBorders>
              <w:tl2br w:val="nil"/>
              <w:tr2bl w:val="nil"/>
            </w:tcBorders>
            <w:vAlign w:val="center"/>
          </w:tcPr>
          <w:p w14:paraId="0A1F3ABD">
            <w:pPr>
              <w:tabs>
                <w:tab w:val="left" w:pos="0"/>
              </w:tabs>
              <w:adjustRightInd w:val="0"/>
              <w:spacing w:line="30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生活垃圾</w:t>
            </w:r>
          </w:p>
        </w:tc>
        <w:tc>
          <w:tcPr>
            <w:tcW w:w="828" w:type="pct"/>
            <w:tcBorders>
              <w:tl2br w:val="nil"/>
              <w:tr2bl w:val="nil"/>
            </w:tcBorders>
            <w:vAlign w:val="center"/>
          </w:tcPr>
          <w:p w14:paraId="30449CFB">
            <w:pPr>
              <w:tabs>
                <w:tab w:val="left" w:pos="0"/>
              </w:tabs>
              <w:adjustRightInd w:val="0"/>
              <w:spacing w:line="300" w:lineRule="exact"/>
              <w:jc w:val="center"/>
              <w:rPr>
                <w:rFonts w:ascii="Times New Roman" w:hAnsi="Times New Roman" w:eastAsia="宋体" w:cs="Times New Roman"/>
                <w:bCs/>
                <w:sz w:val="21"/>
                <w:szCs w:val="21"/>
              </w:rPr>
            </w:pPr>
          </w:p>
        </w:tc>
        <w:tc>
          <w:tcPr>
            <w:tcW w:w="814" w:type="pct"/>
            <w:tcBorders>
              <w:tl2br w:val="nil"/>
              <w:tr2bl w:val="nil"/>
            </w:tcBorders>
            <w:vAlign w:val="center"/>
          </w:tcPr>
          <w:p w14:paraId="29CFC83D">
            <w:pPr>
              <w:tabs>
                <w:tab w:val="left" w:pos="0"/>
              </w:tabs>
              <w:adjustRightInd w:val="0"/>
              <w:spacing w:line="300" w:lineRule="exact"/>
              <w:jc w:val="center"/>
              <w:rPr>
                <w:rFonts w:ascii="Times New Roman" w:hAnsi="Times New Roman" w:eastAsia="宋体" w:cs="Times New Roman"/>
                <w:bCs/>
                <w:sz w:val="21"/>
                <w:szCs w:val="21"/>
              </w:rPr>
            </w:pPr>
          </w:p>
        </w:tc>
        <w:tc>
          <w:tcPr>
            <w:tcW w:w="730" w:type="pct"/>
            <w:tcBorders>
              <w:tl2br w:val="nil"/>
              <w:tr2bl w:val="nil"/>
            </w:tcBorders>
            <w:vAlign w:val="center"/>
          </w:tcPr>
          <w:p w14:paraId="2637C33A">
            <w:pPr>
              <w:adjustRightInd w:val="0"/>
              <w:spacing w:line="300" w:lineRule="exact"/>
              <w:jc w:val="center"/>
              <w:rPr>
                <w:rFonts w:ascii="Times New Roman" w:hAnsi="Times New Roman" w:eastAsia="宋体" w:cs="Times New Roman"/>
                <w:bCs/>
                <w:kern w:val="0"/>
                <w:sz w:val="21"/>
                <w:szCs w:val="21"/>
              </w:rPr>
            </w:pPr>
          </w:p>
        </w:tc>
        <w:tc>
          <w:tcPr>
            <w:tcW w:w="869" w:type="pct"/>
            <w:tcBorders>
              <w:tl2br w:val="nil"/>
              <w:tr2bl w:val="nil"/>
            </w:tcBorders>
            <w:vAlign w:val="center"/>
          </w:tcPr>
          <w:p w14:paraId="37524E14">
            <w:pPr>
              <w:adjustRightInd w:val="0"/>
              <w:spacing w:line="300" w:lineRule="exact"/>
              <w:jc w:val="center"/>
              <w:rPr>
                <w:rFonts w:ascii="Times New Roman" w:hAnsi="Times New Roman" w:eastAsia="宋体" w:cs="Times New Roman"/>
                <w:bCs/>
                <w:kern w:val="0"/>
                <w:sz w:val="21"/>
                <w:szCs w:val="21"/>
              </w:rPr>
            </w:pPr>
          </w:p>
        </w:tc>
      </w:tr>
    </w:tbl>
    <w:p w14:paraId="2869E1B9">
      <w:pPr>
        <w:pStyle w:val="8"/>
        <w:spacing w:line="480" w:lineRule="exact"/>
      </w:pPr>
      <w:r>
        <w:rPr>
          <w:rFonts w:hint="eastAsia"/>
        </w:rPr>
        <w:t>8.4.3.3总量平衡途径</w:t>
      </w:r>
    </w:p>
    <w:p w14:paraId="170E1927">
      <w:pPr>
        <w:adjustRightInd w:val="0"/>
        <w:spacing w:line="480" w:lineRule="exact"/>
        <w:ind w:firstLine="482"/>
        <w:rPr>
          <w:rFonts w:ascii="Times New Roman"/>
          <w:color w:val="000000"/>
          <w:szCs w:val="24"/>
        </w:rPr>
      </w:pPr>
      <w:bookmarkStart w:id="254" w:name="_Toc347731823"/>
      <w:bookmarkStart w:id="255" w:name="_Toc470170283"/>
      <w:bookmarkStart w:id="256" w:name="_Toc340841109"/>
      <w:bookmarkStart w:id="257" w:name="_Toc340841255"/>
      <w:bookmarkStart w:id="258" w:name="_Toc340840972"/>
      <w:r>
        <w:rPr>
          <w:rFonts w:ascii="Times New Roman"/>
          <w:color w:val="000000"/>
          <w:szCs w:val="24"/>
        </w:rPr>
        <w:t>（1）水污染物</w:t>
      </w:r>
    </w:p>
    <w:p w14:paraId="513B4AA4">
      <w:pPr>
        <w:adjustRightInd w:val="0"/>
        <w:spacing w:line="480" w:lineRule="exact"/>
        <w:ind w:firstLine="482"/>
      </w:pPr>
      <w:r>
        <w:rPr>
          <w:rFonts w:hint="eastAsia"/>
        </w:rPr>
        <w:t>本项目废水处理达标后全部用于农田灌溉，废水不排放，不需申请总量。</w:t>
      </w:r>
    </w:p>
    <w:p w14:paraId="0CD9DE2C">
      <w:pPr>
        <w:adjustRightInd w:val="0"/>
        <w:spacing w:line="480" w:lineRule="exact"/>
        <w:ind w:firstLine="482"/>
        <w:rPr>
          <w:rFonts w:ascii="Times New Roman"/>
          <w:color w:val="000000"/>
          <w:szCs w:val="24"/>
        </w:rPr>
      </w:pPr>
      <w:r>
        <w:rPr>
          <w:rFonts w:ascii="Times New Roman"/>
          <w:color w:val="000000"/>
          <w:szCs w:val="24"/>
        </w:rPr>
        <w:t>（2）大气污染物</w:t>
      </w:r>
    </w:p>
    <w:p w14:paraId="419EAA0A">
      <w:pPr>
        <w:adjustRightInd w:val="0"/>
        <w:spacing w:line="480" w:lineRule="exact"/>
        <w:ind w:firstLine="482"/>
        <w:rPr>
          <w:rFonts w:ascii="Times New Roman"/>
          <w:color w:val="000000"/>
          <w:szCs w:val="24"/>
        </w:rPr>
      </w:pPr>
      <w:r>
        <w:rPr>
          <w:rFonts w:ascii="Times New Roman"/>
          <w:color w:val="000000"/>
          <w:szCs w:val="24"/>
        </w:rPr>
        <w:t>本项目氨≤</w:t>
      </w:r>
      <w:r>
        <w:rPr>
          <w:rFonts w:hint="eastAsia" w:ascii="Times New Roman"/>
          <w:color w:val="000000"/>
          <w:szCs w:val="24"/>
        </w:rPr>
        <w:t>0.0</w:t>
      </w:r>
      <w:r>
        <w:rPr>
          <w:rFonts w:hint="eastAsia" w:ascii="Times New Roman"/>
          <w:color w:val="000000"/>
          <w:szCs w:val="24"/>
          <w:lang w:val="en-US" w:eastAsia="zh-CN"/>
        </w:rPr>
        <w:t>235</w:t>
      </w:r>
      <w:r>
        <w:rPr>
          <w:rFonts w:ascii="Times New Roman"/>
          <w:color w:val="000000"/>
          <w:szCs w:val="24"/>
        </w:rPr>
        <w:t>t/a</w:t>
      </w:r>
      <w:r>
        <w:rPr>
          <w:rFonts w:hint="eastAsia" w:ascii="Times New Roman"/>
          <w:color w:val="000000"/>
          <w:szCs w:val="24"/>
        </w:rPr>
        <w:t>、硫化氢</w:t>
      </w:r>
      <w:r>
        <w:rPr>
          <w:rFonts w:ascii="Times New Roman"/>
          <w:color w:val="000000"/>
          <w:szCs w:val="24"/>
        </w:rPr>
        <w:t>≤</w:t>
      </w:r>
      <w:r>
        <w:rPr>
          <w:rFonts w:hint="eastAsia" w:ascii="Times New Roman"/>
          <w:color w:val="000000"/>
          <w:szCs w:val="24"/>
        </w:rPr>
        <w:t>0.00231</w:t>
      </w:r>
      <w:r>
        <w:rPr>
          <w:rFonts w:ascii="Times New Roman"/>
          <w:color w:val="000000"/>
          <w:szCs w:val="24"/>
        </w:rPr>
        <w:t>t/a</w:t>
      </w:r>
      <w:r>
        <w:rPr>
          <w:rFonts w:hint="eastAsia" w:ascii="Times New Roman"/>
          <w:color w:val="000000"/>
          <w:szCs w:val="24"/>
          <w:lang w:eastAsia="zh-CN"/>
        </w:rPr>
        <w:t>，</w:t>
      </w:r>
      <w:r>
        <w:rPr>
          <w:rFonts w:hint="eastAsia" w:ascii="Times New Roman"/>
          <w:color w:val="000000"/>
          <w:szCs w:val="24"/>
          <w:lang w:val="en-US" w:eastAsia="zh-CN"/>
        </w:rPr>
        <w:t>本项目不新增</w:t>
      </w:r>
      <w:r>
        <w:rPr>
          <w:rFonts w:hint="eastAsia" w:ascii="TimesNewRomanPSMT" w:hAnsi="TimesNewRomanPSMT" w:eastAsia="TimesNewRomanPSMT"/>
          <w:sz w:val="24"/>
          <w:szCs w:val="24"/>
        </w:rPr>
        <w:t>SO</w:t>
      </w:r>
      <w:r>
        <w:rPr>
          <w:rFonts w:hint="eastAsia" w:ascii="TimesNewRomanPSMT" w:hAnsi="TimesNewRomanPSMT" w:eastAsia="TimesNewRomanPSMT"/>
          <w:sz w:val="15"/>
          <w:szCs w:val="24"/>
        </w:rPr>
        <w:t>2</w:t>
      </w:r>
      <w:r>
        <w:rPr>
          <w:rFonts w:hint="eastAsia" w:ascii="宋体" w:hAnsi="宋体" w:eastAsia="宋体"/>
          <w:sz w:val="24"/>
          <w:szCs w:val="24"/>
        </w:rPr>
        <w:t>、</w:t>
      </w:r>
      <w:r>
        <w:rPr>
          <w:rFonts w:hint="eastAsia" w:ascii="TimesNewRomanPSMT" w:hAnsi="TimesNewRomanPSMT" w:eastAsia="TimesNewRomanPSMT"/>
          <w:sz w:val="24"/>
          <w:szCs w:val="24"/>
        </w:rPr>
        <w:t>NO</w:t>
      </w:r>
      <w:r>
        <w:rPr>
          <w:rFonts w:hint="eastAsia" w:ascii="TimesNewRomanPSMT" w:hAnsi="TimesNewRomanPSMT" w:eastAsia="TimesNewRomanPSMT"/>
          <w:sz w:val="15"/>
          <w:szCs w:val="24"/>
        </w:rPr>
        <w:t>X</w:t>
      </w:r>
      <w:r>
        <w:rPr>
          <w:rFonts w:hint="eastAsia" w:ascii="宋体" w:hAnsi="宋体" w:eastAsia="宋体"/>
          <w:sz w:val="24"/>
          <w:szCs w:val="24"/>
        </w:rPr>
        <w:t>、颗粒物、挥发性有机物的排放，无需进行总量平衡</w:t>
      </w:r>
      <w:r>
        <w:rPr>
          <w:rFonts w:ascii="Times New Roman"/>
          <w:color w:val="000000"/>
          <w:szCs w:val="24"/>
        </w:rPr>
        <w:t>。本项目大气污染物控制项目（氨</w:t>
      </w:r>
      <w:r>
        <w:rPr>
          <w:rFonts w:hint="eastAsia" w:ascii="Times New Roman"/>
          <w:color w:val="000000"/>
          <w:szCs w:val="24"/>
        </w:rPr>
        <w:t>、硫化氢</w:t>
      </w:r>
      <w:r>
        <w:rPr>
          <w:rFonts w:ascii="Times New Roman"/>
          <w:color w:val="000000"/>
          <w:szCs w:val="24"/>
        </w:rPr>
        <w:t>）总量指标由建设单位向当地环保部门申请，作为考核指标。</w:t>
      </w:r>
    </w:p>
    <w:p w14:paraId="52DD9A2B">
      <w:pPr>
        <w:adjustRightInd w:val="0"/>
        <w:spacing w:line="480" w:lineRule="exact"/>
        <w:ind w:firstLine="482"/>
        <w:rPr>
          <w:rFonts w:ascii="Times New Roman"/>
          <w:color w:val="000000"/>
          <w:szCs w:val="24"/>
        </w:rPr>
      </w:pPr>
      <w:r>
        <w:rPr>
          <w:rFonts w:ascii="Times New Roman"/>
          <w:color w:val="000000"/>
          <w:szCs w:val="24"/>
        </w:rPr>
        <w:t>（3）固废</w:t>
      </w:r>
    </w:p>
    <w:p w14:paraId="262D7DC9">
      <w:pPr>
        <w:adjustRightInd w:val="0"/>
        <w:spacing w:line="480" w:lineRule="exact"/>
        <w:ind w:firstLine="482"/>
        <w:rPr>
          <w:rFonts w:ascii="Times New Roman"/>
          <w:color w:val="000000"/>
          <w:szCs w:val="24"/>
        </w:rPr>
      </w:pPr>
      <w:r>
        <w:rPr>
          <w:rFonts w:ascii="Times New Roman"/>
          <w:color w:val="000000"/>
          <w:szCs w:val="24"/>
        </w:rPr>
        <w:t>本项目的各类固废均得到有效的处置和利用，固体废物排放量为零。</w:t>
      </w:r>
    </w:p>
    <w:bookmarkEnd w:id="254"/>
    <w:bookmarkEnd w:id="255"/>
    <w:bookmarkEnd w:id="256"/>
    <w:bookmarkEnd w:id="257"/>
    <w:bookmarkEnd w:id="258"/>
    <w:p w14:paraId="0CED3725">
      <w:pPr>
        <w:spacing w:line="480" w:lineRule="exact"/>
        <w:sectPr>
          <w:pgSz w:w="11906" w:h="16838"/>
          <w:pgMar w:top="1417" w:right="1417" w:bottom="1417" w:left="1417" w:header="1021" w:footer="1134" w:gutter="0"/>
          <w:pgNumType w:fmt="decimal"/>
          <w:cols w:space="425" w:num="1"/>
          <w:docGrid w:type="lines" w:linePitch="326" w:charSpace="0"/>
        </w:sectPr>
      </w:pPr>
    </w:p>
    <w:p w14:paraId="2E95863A">
      <w:pPr>
        <w:pStyle w:val="3"/>
        <w:spacing w:line="480" w:lineRule="exact"/>
      </w:pPr>
      <w:bookmarkStart w:id="259" w:name="_Toc17487"/>
      <w:r>
        <w:rPr>
          <w:rFonts w:hint="eastAsia"/>
        </w:rPr>
        <w:t>9 环境影响评价结论与建议</w:t>
      </w:r>
      <w:bookmarkEnd w:id="259"/>
    </w:p>
    <w:p w14:paraId="4D65196A">
      <w:pPr>
        <w:spacing w:line="480" w:lineRule="exact"/>
        <w:ind w:firstLine="480" w:firstLineChars="200"/>
      </w:pPr>
      <w:r>
        <w:rPr>
          <w:rFonts w:hint="eastAsia"/>
        </w:rPr>
        <w:t>环评单位严格贯彻执行建设项目环境保护管理各项文件精神，坚持“达标排放”、“污染物排放总量控制”等评价原则，对建设项目及其周围环境进行了调查、分析，并依据其监测资料进行了预测和综合分析评价，得出以下结论。</w:t>
      </w:r>
    </w:p>
    <w:p w14:paraId="5B533B73">
      <w:pPr>
        <w:pStyle w:val="4"/>
        <w:spacing w:after="0" w:line="480" w:lineRule="exact"/>
        <w:jc w:val="both"/>
      </w:pPr>
      <w:bookmarkStart w:id="260" w:name="_Toc25151"/>
      <w:r>
        <w:rPr>
          <w:rFonts w:hint="eastAsia"/>
        </w:rPr>
        <w:t>9.1 建设项目概况</w:t>
      </w:r>
      <w:bookmarkEnd w:id="260"/>
    </w:p>
    <w:p w14:paraId="7F352E9D">
      <w:pPr>
        <w:spacing w:line="480" w:lineRule="exact"/>
        <w:ind w:firstLine="480" w:firstLineChars="200"/>
      </w:pPr>
      <w:r>
        <w:rPr>
          <w:rFonts w:hint="eastAsia"/>
        </w:rPr>
        <w:t>泗阳县恒邦农业发展有限公司在宿迁市泗阳县穿城镇向阳村四组建设年出栏100万只肉鸡养殖项目，项目建成后年出栏100万只肉鸡。项目总投资1500万元，其中环保投180万元，占总投资比例为12%。项目年工作300天，年工作7200小时。</w:t>
      </w:r>
    </w:p>
    <w:p w14:paraId="7D8602C2">
      <w:pPr>
        <w:pStyle w:val="4"/>
        <w:spacing w:after="0" w:line="480" w:lineRule="exact"/>
        <w:jc w:val="both"/>
      </w:pPr>
      <w:bookmarkStart w:id="261" w:name="_Toc16107"/>
      <w:bookmarkStart w:id="262" w:name="_Toc25507"/>
      <w:r>
        <w:rPr>
          <w:rFonts w:hint="eastAsia"/>
        </w:rPr>
        <w:t>9.2环境质量现状</w:t>
      </w:r>
      <w:bookmarkEnd w:id="261"/>
      <w:bookmarkEnd w:id="262"/>
    </w:p>
    <w:p w14:paraId="00FE4EAF">
      <w:pPr>
        <w:pStyle w:val="7"/>
        <w:spacing w:line="480" w:lineRule="exact"/>
      </w:pPr>
      <w:bookmarkStart w:id="263" w:name="_Toc22527"/>
      <w:r>
        <w:rPr>
          <w:rFonts w:hint="eastAsia"/>
        </w:rPr>
        <w:t>9.2.1大气环境</w:t>
      </w:r>
      <w:bookmarkEnd w:id="263"/>
    </w:p>
    <w:p w14:paraId="56CFEE3E">
      <w:pPr>
        <w:adjustRightInd w:val="0"/>
        <w:spacing w:line="480" w:lineRule="exact"/>
        <w:ind w:firstLine="480" w:firstLineChars="200"/>
        <w:rPr>
          <w:rFonts w:ascii="Times New Roman"/>
          <w:bCs/>
          <w:color w:val="000000"/>
          <w:szCs w:val="24"/>
        </w:rPr>
      </w:pPr>
      <w:r>
        <w:rPr>
          <w:rFonts w:ascii="Times New Roman"/>
          <w:szCs w:val="24"/>
        </w:rPr>
        <w:t>根据《</w:t>
      </w:r>
      <w:r>
        <w:rPr>
          <w:rFonts w:eastAsia="宋体" w:cs="Times New Roman"/>
          <w:color w:val="000000" w:themeColor="text1"/>
          <w:szCs w:val="24"/>
          <w14:textFill>
            <w14:solidFill>
              <w14:schemeClr w14:val="tx1"/>
            </w14:solidFill>
          </w14:textFill>
        </w:rPr>
        <w:t>宿迁市202</w:t>
      </w:r>
      <w:r>
        <w:rPr>
          <w:rFonts w:hint="eastAsia" w:eastAsia="宋体" w:cs="Times New Roman"/>
          <w:color w:val="000000" w:themeColor="text1"/>
          <w:szCs w:val="24"/>
          <w14:textFill>
            <w14:solidFill>
              <w14:schemeClr w14:val="tx1"/>
            </w14:solidFill>
          </w14:textFill>
        </w:rPr>
        <w:t>3</w:t>
      </w:r>
      <w:r>
        <w:rPr>
          <w:rFonts w:eastAsia="宋体" w:cs="Times New Roman"/>
          <w:color w:val="000000" w:themeColor="text1"/>
          <w:szCs w:val="24"/>
          <w14:textFill>
            <w14:solidFill>
              <w14:schemeClr w14:val="tx1"/>
            </w14:solidFill>
          </w14:textFill>
        </w:rPr>
        <w:t>年度</w:t>
      </w:r>
      <w:r>
        <w:rPr>
          <w:rFonts w:hint="eastAsia" w:eastAsia="宋体" w:cs="Times New Roman"/>
          <w:color w:val="000000" w:themeColor="text1"/>
          <w:szCs w:val="24"/>
          <w14:textFill>
            <w14:solidFill>
              <w14:schemeClr w14:val="tx1"/>
            </w14:solidFill>
          </w14:textFill>
        </w:rPr>
        <w:t>生态</w:t>
      </w:r>
      <w:r>
        <w:rPr>
          <w:rFonts w:eastAsia="宋体" w:cs="Times New Roman"/>
          <w:color w:val="000000" w:themeColor="text1"/>
          <w:szCs w:val="24"/>
          <w14:textFill>
            <w14:solidFill>
              <w14:schemeClr w14:val="tx1"/>
            </w14:solidFill>
          </w14:textFill>
        </w:rPr>
        <w:t>环境状况公报</w:t>
      </w:r>
      <w:r>
        <w:rPr>
          <w:rFonts w:ascii="Times New Roman"/>
          <w:szCs w:val="24"/>
        </w:rPr>
        <w:t>》可知</w:t>
      </w:r>
      <w:r>
        <w:rPr>
          <w:rFonts w:ascii="Times New Roman"/>
          <w:color w:val="000000"/>
          <w:szCs w:val="24"/>
        </w:rPr>
        <w:t>，项目所在地及其周边地区PM</w:t>
      </w:r>
      <w:r>
        <w:rPr>
          <w:rFonts w:ascii="Times New Roman"/>
          <w:color w:val="000000"/>
          <w:szCs w:val="24"/>
          <w:vertAlign w:val="subscript"/>
        </w:rPr>
        <w:t>10</w:t>
      </w:r>
      <w:r>
        <w:rPr>
          <w:rFonts w:ascii="Times New Roman"/>
          <w:color w:val="000000"/>
          <w:szCs w:val="24"/>
        </w:rPr>
        <w:t>、SO</w:t>
      </w:r>
      <w:r>
        <w:rPr>
          <w:rFonts w:ascii="Times New Roman"/>
          <w:color w:val="000000"/>
          <w:szCs w:val="24"/>
          <w:vertAlign w:val="subscript"/>
        </w:rPr>
        <w:t>2</w:t>
      </w:r>
      <w:r>
        <w:rPr>
          <w:rFonts w:ascii="Times New Roman"/>
          <w:color w:val="000000"/>
          <w:szCs w:val="24"/>
        </w:rPr>
        <w:t>、CO、氮氧化物满足《环境空气质量标准》（GB3095-2012）二级标准；PM</w:t>
      </w:r>
      <w:r>
        <w:rPr>
          <w:rFonts w:ascii="Times New Roman"/>
          <w:color w:val="000000"/>
          <w:szCs w:val="24"/>
          <w:vertAlign w:val="subscript"/>
        </w:rPr>
        <w:t>2.5</w:t>
      </w:r>
      <w:r>
        <w:rPr>
          <w:rFonts w:ascii="Times New Roman"/>
          <w:color w:val="000000"/>
          <w:szCs w:val="24"/>
        </w:rPr>
        <w:t>年均浓度</w:t>
      </w:r>
      <w:r>
        <w:rPr>
          <w:rFonts w:ascii="Times New Roman"/>
          <w:szCs w:val="24"/>
        </w:rPr>
        <w:t>和O</w:t>
      </w:r>
      <w:r>
        <w:rPr>
          <w:rFonts w:ascii="Times New Roman"/>
          <w:szCs w:val="24"/>
          <w:vertAlign w:val="subscript"/>
        </w:rPr>
        <w:t>3</w:t>
      </w:r>
      <w:r>
        <w:rPr>
          <w:rFonts w:ascii="Times New Roman"/>
          <w:szCs w:val="24"/>
        </w:rPr>
        <w:t>日最大8 小时均值浓度</w:t>
      </w:r>
      <w:r>
        <w:rPr>
          <w:rFonts w:ascii="Times New Roman"/>
          <w:color w:val="000000"/>
          <w:szCs w:val="24"/>
        </w:rPr>
        <w:t>超过《环境空气质量标准》（GB3095-2012）二级标准要求；根据项目实测数据结果，表明各监测点各个监测因子均满足相应评价质量标准要求，表明项目所在区域环境质量良好。</w:t>
      </w:r>
    </w:p>
    <w:p w14:paraId="58245A9A">
      <w:pPr>
        <w:pStyle w:val="7"/>
        <w:spacing w:line="500" w:lineRule="exact"/>
      </w:pPr>
      <w:bookmarkStart w:id="264" w:name="_Toc21948"/>
      <w:r>
        <w:rPr>
          <w:rFonts w:hint="eastAsia"/>
        </w:rPr>
        <w:t>9.2.2地表水环境</w:t>
      </w:r>
      <w:bookmarkEnd w:id="264"/>
    </w:p>
    <w:p w14:paraId="1738D117">
      <w:pPr>
        <w:adjustRightInd w:val="0"/>
        <w:spacing w:line="500" w:lineRule="exact"/>
        <w:ind w:firstLine="480" w:firstLineChars="200"/>
        <w:rPr>
          <w:rFonts w:ascii="Times New Roman"/>
          <w:color w:val="000000"/>
          <w:szCs w:val="24"/>
        </w:rPr>
      </w:pPr>
      <w:r>
        <w:rPr>
          <w:rFonts w:ascii="Times New Roman"/>
          <w:color w:val="000000"/>
          <w:szCs w:val="24"/>
        </w:rPr>
        <w:t>项目地表水现状监测布设</w:t>
      </w:r>
      <w:r>
        <w:rPr>
          <w:rFonts w:hint="eastAsia" w:ascii="Times New Roman"/>
          <w:color w:val="000000"/>
          <w:szCs w:val="24"/>
        </w:rPr>
        <w:t>1</w:t>
      </w:r>
      <w:r>
        <w:rPr>
          <w:rFonts w:ascii="Times New Roman"/>
          <w:color w:val="000000"/>
          <w:szCs w:val="24"/>
        </w:rPr>
        <w:t>个监测断面。根据</w:t>
      </w:r>
      <w:r>
        <w:rPr>
          <w:rFonts w:hint="eastAsia" w:ascii="Times New Roman"/>
          <w:color w:val="000000"/>
          <w:szCs w:val="24"/>
        </w:rPr>
        <w:t>现状</w:t>
      </w:r>
      <w:r>
        <w:rPr>
          <w:rFonts w:ascii="Times New Roman"/>
          <w:color w:val="000000"/>
          <w:szCs w:val="24"/>
        </w:rPr>
        <w:t>监测结果</w:t>
      </w:r>
      <w:r>
        <w:rPr>
          <w:rFonts w:hint="eastAsia" w:ascii="Times New Roman"/>
          <w:color w:val="000000"/>
          <w:szCs w:val="24"/>
        </w:rPr>
        <w:t>可知，颜倪河</w:t>
      </w:r>
      <w:r>
        <w:rPr>
          <w:rFonts w:hint="eastAsia"/>
          <w:color w:val="000000" w:themeColor="text1"/>
          <w:szCs w:val="24"/>
          <w14:textFill>
            <w14:solidFill>
              <w14:schemeClr w14:val="tx1"/>
            </w14:solidFill>
          </w14:textFill>
        </w:rPr>
        <w:t>与十一斗渠交叉口</w:t>
      </w:r>
      <w:r>
        <w:rPr>
          <w:rFonts w:ascii="Times New Roman"/>
          <w:color w:val="000000"/>
          <w:szCs w:val="24"/>
        </w:rPr>
        <w:t>监测断面各个监测指标均满足《地表水环境质量标准》（GB3838-2002）Ⅲ类水质标准要求。</w:t>
      </w:r>
    </w:p>
    <w:p w14:paraId="13E7D7C4">
      <w:pPr>
        <w:pStyle w:val="7"/>
        <w:spacing w:line="500" w:lineRule="exact"/>
      </w:pPr>
      <w:bookmarkStart w:id="265" w:name="_Toc14343"/>
      <w:r>
        <w:rPr>
          <w:rFonts w:hint="eastAsia"/>
        </w:rPr>
        <w:t>9.2.3声环境</w:t>
      </w:r>
      <w:bookmarkEnd w:id="265"/>
    </w:p>
    <w:p w14:paraId="3D7FE4E3">
      <w:pPr>
        <w:spacing w:line="500" w:lineRule="exact"/>
        <w:ind w:firstLine="480" w:firstLineChars="200"/>
        <w:rPr>
          <w:rFonts w:ascii="Times New Roman"/>
          <w:color w:val="000000"/>
          <w:szCs w:val="24"/>
        </w:rPr>
      </w:pPr>
      <w:r>
        <w:rPr>
          <w:rFonts w:ascii="Times New Roman"/>
          <w:color w:val="000000"/>
          <w:szCs w:val="24"/>
        </w:rPr>
        <w:t>项目在建设单位周边</w:t>
      </w:r>
      <w:r>
        <w:rPr>
          <w:rFonts w:hint="eastAsia" w:ascii="Times New Roman"/>
          <w:color w:val="000000"/>
          <w:szCs w:val="24"/>
        </w:rPr>
        <w:t>厂界</w:t>
      </w:r>
      <w:r>
        <w:rPr>
          <w:rFonts w:ascii="Times New Roman"/>
          <w:color w:val="000000"/>
          <w:szCs w:val="24"/>
        </w:rPr>
        <w:t>布设</w:t>
      </w:r>
      <w:r>
        <w:rPr>
          <w:rFonts w:hint="eastAsia" w:ascii="Times New Roman"/>
          <w:color w:val="000000"/>
          <w:szCs w:val="24"/>
        </w:rPr>
        <w:t>4</w:t>
      </w:r>
      <w:r>
        <w:rPr>
          <w:rFonts w:ascii="Times New Roman"/>
          <w:color w:val="000000"/>
          <w:szCs w:val="24"/>
        </w:rPr>
        <w:t>个声环境监测点，各测点监测值均满足《声环境质量标准》（GB3096-2008）</w:t>
      </w:r>
      <w:r>
        <w:rPr>
          <w:rFonts w:hint="eastAsia" w:ascii="Times New Roman"/>
          <w:color w:val="000000"/>
          <w:szCs w:val="24"/>
        </w:rPr>
        <w:t>1</w:t>
      </w:r>
      <w:r>
        <w:rPr>
          <w:rFonts w:ascii="Times New Roman"/>
          <w:color w:val="000000"/>
          <w:szCs w:val="24"/>
        </w:rPr>
        <w:t>类限值；</w:t>
      </w:r>
      <w:r>
        <w:rPr>
          <w:rFonts w:hint="eastAsia"/>
          <w:color w:val="000000" w:themeColor="text1"/>
          <w:szCs w:val="24"/>
          <w14:textFill>
            <w14:solidFill>
              <w14:schemeClr w14:val="tx1"/>
            </w14:solidFill>
          </w14:textFill>
        </w:rPr>
        <w:t>西北侧戴庄及西南侧油坊庄</w:t>
      </w:r>
      <w:r>
        <w:rPr>
          <w:rFonts w:ascii="Times New Roman"/>
          <w:szCs w:val="24"/>
        </w:rPr>
        <w:t>两个敏感点昼间和夜间噪声现状监测值均满足《声环境质量标准》（GB3096-2008）中的</w:t>
      </w:r>
      <w:r>
        <w:rPr>
          <w:rFonts w:hint="eastAsia" w:ascii="Times New Roman"/>
          <w:szCs w:val="24"/>
        </w:rPr>
        <w:t>1</w:t>
      </w:r>
      <w:r>
        <w:rPr>
          <w:rFonts w:ascii="Times New Roman"/>
          <w:szCs w:val="24"/>
        </w:rPr>
        <w:t>类标准要求</w:t>
      </w:r>
      <w:r>
        <w:rPr>
          <w:rFonts w:ascii="Times New Roman"/>
          <w:color w:val="000000"/>
          <w:szCs w:val="24"/>
        </w:rPr>
        <w:t>。</w:t>
      </w:r>
    </w:p>
    <w:p w14:paraId="277866AC">
      <w:pPr>
        <w:pStyle w:val="7"/>
        <w:spacing w:line="500" w:lineRule="exact"/>
      </w:pPr>
      <w:bookmarkStart w:id="266" w:name="_Toc6999"/>
      <w:r>
        <w:rPr>
          <w:rFonts w:hint="eastAsia"/>
        </w:rPr>
        <w:t>9.2.4地下水环境</w:t>
      </w:r>
      <w:bookmarkEnd w:id="266"/>
    </w:p>
    <w:p w14:paraId="75CCA45D">
      <w:pPr>
        <w:spacing w:line="500" w:lineRule="exact"/>
        <w:ind w:firstLine="480" w:firstLineChars="200"/>
        <w:rPr>
          <w:rFonts w:ascii="Times New Roman"/>
          <w:color w:val="000000" w:themeColor="text1"/>
          <w:szCs w:val="24"/>
          <w14:textFill>
            <w14:solidFill>
              <w14:schemeClr w14:val="tx1"/>
            </w14:solidFill>
          </w14:textFill>
        </w:rPr>
      </w:pPr>
      <w:bookmarkStart w:id="267" w:name="_Toc15552"/>
      <w:r>
        <w:rPr>
          <w:rFonts w:ascii="Times New Roman"/>
          <w:color w:val="000000" w:themeColor="text1"/>
          <w:szCs w:val="24"/>
          <w14:textFill>
            <w14:solidFill>
              <w14:schemeClr w14:val="tx1"/>
            </w14:solidFill>
          </w14:textFill>
        </w:rPr>
        <w:t>根据本项目地下水</w:t>
      </w:r>
      <w:r>
        <w:rPr>
          <w:rFonts w:hint="eastAsia" w:ascii="Times New Roman"/>
          <w:color w:val="000000" w:themeColor="text1"/>
          <w:szCs w:val="24"/>
          <w14:textFill>
            <w14:solidFill>
              <w14:schemeClr w14:val="tx1"/>
            </w14:solidFill>
          </w14:textFill>
        </w:rPr>
        <w:t>现状</w:t>
      </w:r>
      <w:r>
        <w:rPr>
          <w:rFonts w:ascii="Times New Roman"/>
          <w:color w:val="000000" w:themeColor="text1"/>
          <w:szCs w:val="24"/>
          <w14:textFill>
            <w14:solidFill>
              <w14:schemeClr w14:val="tx1"/>
            </w14:solidFill>
          </w14:textFill>
        </w:rPr>
        <w:t>监测结果，评价区域地下水环境质量良好，</w:t>
      </w:r>
      <w:r>
        <w:rPr>
          <w:rFonts w:hint="eastAsia"/>
          <w:color w:val="000000" w:themeColor="text1"/>
          <w14:textFill>
            <w14:solidFill>
              <w14:schemeClr w14:val="tx1"/>
            </w14:solidFill>
          </w14:textFill>
        </w:rPr>
        <w:t>项目所在区域地下水</w:t>
      </w:r>
      <w:r>
        <w:rPr>
          <w:rFonts w:ascii="Times New Roman" w:hAnsi="Times New Roman" w:eastAsia="宋体" w:cs="Times New Roman"/>
          <w:color w:val="000000" w:themeColor="text1"/>
          <w14:textFill>
            <w14:solidFill>
              <w14:schemeClr w14:val="tx1"/>
            </w14:solidFill>
          </w14:textFill>
        </w:rPr>
        <w:t>除</w:t>
      </w:r>
      <w:r>
        <w:rPr>
          <w:rFonts w:hint="eastAsia" w:ascii="Times New Roman" w:hAnsi="Times New Roman" w:eastAsia="宋体" w:cs="Times New Roman"/>
          <w:color w:val="000000" w:themeColor="text1"/>
          <w14:textFill>
            <w14:solidFill>
              <w14:schemeClr w14:val="tx1"/>
            </w14:solidFill>
          </w14:textFill>
        </w:rPr>
        <w:t>耗氧量</w:t>
      </w:r>
      <w:r>
        <w:rPr>
          <w:rFonts w:ascii="Times New Roman" w:hAnsi="Times New Roman" w:eastAsia="宋体" w:cs="Times New Roman"/>
          <w:color w:val="000000" w:themeColor="text1"/>
          <w14:textFill>
            <w14:solidFill>
              <w14:schemeClr w14:val="tx1"/>
            </w14:solidFill>
          </w14:textFill>
        </w:rPr>
        <w:t>不能达到《地下水环境质量标准》（GB/T14848-2017）中的Ⅲ类水质标准（达到Ⅳ类水质标准），其余各点位监测因子均能满足《地下水环境质量标准》（GB/T14848-2017）中的Ⅲ类及以上水质标准</w:t>
      </w:r>
      <w:r>
        <w:rPr>
          <w:rFonts w:ascii="Times New Roman"/>
          <w:color w:val="000000" w:themeColor="text1"/>
          <w:szCs w:val="24"/>
          <w14:textFill>
            <w14:solidFill>
              <w14:schemeClr w14:val="tx1"/>
            </w14:solidFill>
          </w14:textFill>
        </w:rPr>
        <w:t>。</w:t>
      </w:r>
    </w:p>
    <w:p w14:paraId="758ADF55">
      <w:pPr>
        <w:pStyle w:val="7"/>
        <w:spacing w:line="480" w:lineRule="exact"/>
      </w:pPr>
      <w:r>
        <w:rPr>
          <w:rFonts w:hint="eastAsia"/>
        </w:rPr>
        <w:t>9.2.5土壤环境</w:t>
      </w:r>
      <w:bookmarkEnd w:id="267"/>
    </w:p>
    <w:p w14:paraId="7CFBC7CC">
      <w:pPr>
        <w:spacing w:line="480" w:lineRule="exact"/>
        <w:ind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根据本项目土壤现状监测结果，项目所在地范围内土壤各取样点监测数据均能满足《土壤环境质量标准 农用地土壤污染风险管控标准（试行）》（GB15618-2018）</w:t>
      </w:r>
      <w:r>
        <w:rPr>
          <w:color w:val="000000" w:themeColor="text1"/>
          <w:szCs w:val="24"/>
          <w14:textFill>
            <w14:solidFill>
              <w14:schemeClr w14:val="tx1"/>
            </w14:solidFill>
          </w14:textFill>
        </w:rPr>
        <w:t>表1农用地土壤污染风险筛选值（基本项目）的相关要求</w:t>
      </w:r>
      <w:r>
        <w:rPr>
          <w:rFonts w:hint="eastAsia"/>
          <w:color w:val="000000" w:themeColor="text1"/>
          <w:szCs w:val="24"/>
          <w14:textFill>
            <w14:solidFill>
              <w14:schemeClr w14:val="tx1"/>
            </w14:solidFill>
          </w14:textFill>
        </w:rPr>
        <w:t>。</w:t>
      </w:r>
    </w:p>
    <w:p w14:paraId="357BD4B2">
      <w:pPr>
        <w:spacing w:line="480" w:lineRule="exact"/>
        <w:ind w:firstLine="480" w:firstLineChars="200"/>
        <w:rPr>
          <w:rFonts w:ascii="Times New Roman"/>
          <w:szCs w:val="24"/>
        </w:rPr>
      </w:pPr>
      <w:r>
        <w:rPr>
          <w:rFonts w:ascii="Times New Roman"/>
          <w:szCs w:val="24"/>
        </w:rPr>
        <w:t>从现状监测结果可见，项目所在地大气、地表水、声、地下水、土壤环境可以满足环境功能区划要求。</w:t>
      </w:r>
    </w:p>
    <w:p w14:paraId="784763DD">
      <w:pPr>
        <w:pStyle w:val="4"/>
        <w:spacing w:after="0" w:line="480" w:lineRule="exact"/>
        <w:jc w:val="both"/>
      </w:pPr>
      <w:bookmarkStart w:id="268" w:name="_Toc21650"/>
      <w:bookmarkStart w:id="269" w:name="_Toc30885"/>
      <w:r>
        <w:rPr>
          <w:rFonts w:hint="eastAsia"/>
        </w:rPr>
        <w:t>9.3主要污染源及拟采取的治理措施</w:t>
      </w:r>
      <w:bookmarkEnd w:id="268"/>
      <w:bookmarkEnd w:id="269"/>
    </w:p>
    <w:p w14:paraId="52109DAA">
      <w:pPr>
        <w:pStyle w:val="7"/>
        <w:spacing w:line="480" w:lineRule="exact"/>
      </w:pPr>
      <w:bookmarkStart w:id="270" w:name="_Toc7688"/>
      <w:r>
        <w:rPr>
          <w:rFonts w:hint="eastAsia"/>
        </w:rPr>
        <w:t>9.3.1废水</w:t>
      </w:r>
      <w:bookmarkEnd w:id="270"/>
    </w:p>
    <w:p w14:paraId="43D0D2E5">
      <w:pPr>
        <w:spacing w:line="480" w:lineRule="exact"/>
        <w:ind w:firstLine="480"/>
        <w:rPr>
          <w:rFonts w:ascii="Times New Roman"/>
          <w:color w:val="000000"/>
          <w:sz w:val="28"/>
          <w:szCs w:val="28"/>
        </w:rPr>
      </w:pPr>
      <w:r>
        <w:rPr>
          <w:szCs w:val="24"/>
        </w:rPr>
        <w:t>本项目产生的污水主要为鸡舍冲洗</w:t>
      </w:r>
      <w:r>
        <w:rPr>
          <w:rFonts w:hint="eastAsia"/>
          <w:szCs w:val="24"/>
        </w:rPr>
        <w:t>废</w:t>
      </w:r>
      <w:r>
        <w:rPr>
          <w:szCs w:val="24"/>
        </w:rPr>
        <w:t>水</w:t>
      </w:r>
      <w:r>
        <w:rPr>
          <w:rFonts w:hint="eastAsia"/>
          <w:szCs w:val="24"/>
        </w:rPr>
        <w:t>、喷淋废水、初期雨水</w:t>
      </w:r>
      <w:r>
        <w:rPr>
          <w:szCs w:val="24"/>
        </w:rPr>
        <w:t>和生活污水等，</w:t>
      </w:r>
      <w:r>
        <w:rPr>
          <w:rFonts w:hint="eastAsia"/>
          <w:szCs w:val="24"/>
        </w:rPr>
        <w:t>废水中</w:t>
      </w:r>
      <w:r>
        <w:rPr>
          <w:szCs w:val="24"/>
        </w:rPr>
        <w:t>主要污染物为COD、</w:t>
      </w:r>
      <w:r>
        <w:rPr>
          <w:rFonts w:hint="eastAsia"/>
          <w:szCs w:val="24"/>
        </w:rPr>
        <w:t>BOD</w:t>
      </w:r>
      <w:r>
        <w:rPr>
          <w:rFonts w:hint="eastAsia"/>
          <w:szCs w:val="24"/>
          <w:vertAlign w:val="subscript"/>
        </w:rPr>
        <w:t>5</w:t>
      </w:r>
      <w:r>
        <w:rPr>
          <w:rFonts w:hint="eastAsia"/>
          <w:szCs w:val="24"/>
        </w:rPr>
        <w:t>、</w:t>
      </w:r>
      <w:r>
        <w:rPr>
          <w:szCs w:val="24"/>
        </w:rPr>
        <w:t>NH</w:t>
      </w:r>
      <w:r>
        <w:rPr>
          <w:szCs w:val="24"/>
          <w:vertAlign w:val="subscript"/>
        </w:rPr>
        <w:t>3</w:t>
      </w:r>
      <w:r>
        <w:rPr>
          <w:szCs w:val="24"/>
        </w:rPr>
        <w:t>-N、</w:t>
      </w:r>
      <w:r>
        <w:rPr>
          <w:rFonts w:hint="eastAsia"/>
          <w:szCs w:val="24"/>
        </w:rPr>
        <w:t>TN、</w:t>
      </w:r>
      <w:r>
        <w:rPr>
          <w:szCs w:val="24"/>
        </w:rPr>
        <w:t>SS</w:t>
      </w:r>
      <w:r>
        <w:rPr>
          <w:rFonts w:hint="eastAsia"/>
          <w:szCs w:val="24"/>
        </w:rPr>
        <w:t>、TP及粪大肠菌群</w:t>
      </w:r>
      <w:r>
        <w:rPr>
          <w:szCs w:val="24"/>
        </w:rPr>
        <w:t>。</w:t>
      </w:r>
      <w:r>
        <w:rPr>
          <w:rFonts w:hint="eastAsia"/>
          <w:szCs w:val="24"/>
        </w:rPr>
        <w:t>生活污水经化粪池预处理后和</w:t>
      </w:r>
      <w:r>
        <w:rPr>
          <w:szCs w:val="24"/>
        </w:rPr>
        <w:t>鸡舍冲洗</w:t>
      </w:r>
      <w:r>
        <w:rPr>
          <w:rFonts w:hint="eastAsia"/>
          <w:szCs w:val="24"/>
        </w:rPr>
        <w:t>废</w:t>
      </w:r>
      <w:r>
        <w:rPr>
          <w:szCs w:val="24"/>
        </w:rPr>
        <w:t>水</w:t>
      </w:r>
      <w:r>
        <w:rPr>
          <w:rFonts w:hint="eastAsia"/>
          <w:szCs w:val="24"/>
        </w:rPr>
        <w:t>、喷淋废水、初期雨水一起经厂区污水处理站（采用“</w:t>
      </w:r>
      <w:r>
        <w:rPr>
          <w:rFonts w:ascii="Times New Roman" w:hAnsi="Times New Roman" w:eastAsia="宋体" w:cs="Times New Roman"/>
          <w:bCs/>
          <w:szCs w:val="24"/>
        </w:rPr>
        <w:t>格栅+沉砂集水+水解酸化+厌氧反应+好氧处理+消毒</w:t>
      </w:r>
      <w:r>
        <w:rPr>
          <w:rFonts w:hint="eastAsia"/>
          <w:szCs w:val="24"/>
        </w:rPr>
        <w:t>”工艺）处理后用于周边农田灌溉</w:t>
      </w:r>
      <w:r>
        <w:rPr>
          <w:szCs w:val="24"/>
        </w:rPr>
        <w:t>。通过采取上述措施后，</w:t>
      </w:r>
      <w:r>
        <w:rPr>
          <w:rFonts w:hint="eastAsia"/>
          <w:szCs w:val="24"/>
        </w:rPr>
        <w:t>项目</w:t>
      </w:r>
      <w:r>
        <w:rPr>
          <w:szCs w:val="24"/>
        </w:rPr>
        <w:t>废水均能得到综合利用，不外排，不会对项目周边水体造成影响。</w:t>
      </w:r>
    </w:p>
    <w:p w14:paraId="7A0FCF0D">
      <w:pPr>
        <w:pStyle w:val="7"/>
        <w:spacing w:line="480" w:lineRule="exact"/>
      </w:pPr>
      <w:bookmarkStart w:id="271" w:name="_Toc13916"/>
      <w:r>
        <w:rPr>
          <w:rFonts w:hint="eastAsia"/>
        </w:rPr>
        <w:t>9.3.2废气</w:t>
      </w:r>
      <w:bookmarkEnd w:id="271"/>
    </w:p>
    <w:p w14:paraId="274B0569">
      <w:pPr>
        <w:spacing w:line="480" w:lineRule="exact"/>
        <w:ind w:firstLine="480"/>
        <w:rPr>
          <w:rFonts w:ascii="Times New Roman"/>
          <w:color w:val="000000"/>
          <w:szCs w:val="24"/>
        </w:rPr>
      </w:pPr>
      <w:r>
        <w:rPr>
          <w:rFonts w:ascii="Times New Roman"/>
          <w:color w:val="000000"/>
          <w:szCs w:val="24"/>
        </w:rPr>
        <w:t>（1）有组织废气</w:t>
      </w:r>
    </w:p>
    <w:p w14:paraId="4C60485F">
      <w:pPr>
        <w:spacing w:line="480" w:lineRule="exact"/>
        <w:ind w:firstLine="480" w:firstLineChars="200"/>
        <w:rPr>
          <w:rFonts w:ascii="Times New Roman"/>
          <w:color w:val="000000"/>
          <w:szCs w:val="24"/>
        </w:rPr>
      </w:pPr>
      <w:r>
        <w:rPr>
          <w:rFonts w:ascii="Times New Roman"/>
          <w:color w:val="000000"/>
          <w:szCs w:val="24"/>
        </w:rPr>
        <w:t>本项目有组织废气主要为</w:t>
      </w:r>
      <w:r>
        <w:rPr>
          <w:rFonts w:hint="eastAsia"/>
          <w:szCs w:val="24"/>
        </w:rPr>
        <w:t>污水处理运行过程产生的恶臭气体及鸡粪暂存库产生的恶臭气体</w:t>
      </w:r>
      <w:r>
        <w:rPr>
          <w:rFonts w:ascii="Times New Roman"/>
          <w:color w:val="000000"/>
          <w:szCs w:val="24"/>
        </w:rPr>
        <w:t>。</w:t>
      </w:r>
    </w:p>
    <w:p w14:paraId="66F751E4">
      <w:pPr>
        <w:spacing w:line="480" w:lineRule="exact"/>
        <w:ind w:firstLine="480" w:firstLineChars="200"/>
        <w:rPr>
          <w:rFonts w:ascii="宋体" w:hAnsi="宋体" w:eastAsia="宋体" w:cs="宋体"/>
          <w:color w:val="000000"/>
          <w:szCs w:val="24"/>
        </w:rPr>
      </w:pPr>
      <w:r>
        <w:rPr>
          <w:rFonts w:hint="eastAsia" w:ascii="Times New Roman"/>
          <w:color w:val="000000"/>
          <w:szCs w:val="24"/>
        </w:rPr>
        <w:t>项目</w:t>
      </w:r>
      <w:r>
        <w:rPr>
          <w:rFonts w:hint="eastAsia"/>
          <w:szCs w:val="24"/>
        </w:rPr>
        <w:t>污水处理过程</w:t>
      </w:r>
      <w:r>
        <w:rPr>
          <w:rFonts w:hint="eastAsia" w:ascii="Times New Roman" w:hAnsi="宋体"/>
          <w:color w:val="000000"/>
          <w:szCs w:val="24"/>
        </w:rPr>
        <w:t>及</w:t>
      </w:r>
      <w:r>
        <w:rPr>
          <w:rFonts w:ascii="Times New Roman" w:hAnsi="Times New Roman" w:eastAsia="宋体" w:cs="Times New Roman"/>
          <w:bCs/>
          <w:szCs w:val="24"/>
        </w:rPr>
        <w:t>鸡粪</w:t>
      </w:r>
      <w:r>
        <w:rPr>
          <w:rFonts w:hint="eastAsia" w:ascii="Times New Roman" w:hAnsi="Times New Roman" w:eastAsia="宋体" w:cs="Times New Roman"/>
          <w:bCs/>
          <w:szCs w:val="24"/>
        </w:rPr>
        <w:t>暂存库暂存过程</w:t>
      </w:r>
      <w:r>
        <w:rPr>
          <w:rFonts w:hint="eastAsia" w:ascii="Times New Roman" w:hAnsi="宋体"/>
          <w:color w:val="000000"/>
          <w:szCs w:val="24"/>
        </w:rPr>
        <w:t>产生的恶臭废气经密闭负压收集后一起</w:t>
      </w:r>
      <w:r>
        <w:rPr>
          <w:rFonts w:ascii="Times New Roman"/>
          <w:color w:val="000000"/>
          <w:szCs w:val="24"/>
        </w:rPr>
        <w:t>通过</w:t>
      </w:r>
      <w:r>
        <w:rPr>
          <w:rFonts w:hint="eastAsia" w:ascii="Times New Roman"/>
          <w:color w:val="000000"/>
          <w:szCs w:val="24"/>
        </w:rPr>
        <w:t>1</w:t>
      </w:r>
      <w:r>
        <w:rPr>
          <w:rFonts w:ascii="Times New Roman"/>
          <w:color w:val="000000"/>
          <w:szCs w:val="24"/>
        </w:rPr>
        <w:t>套“</w:t>
      </w:r>
      <w:r>
        <w:rPr>
          <w:rFonts w:ascii="Times New Roman" w:hAnsi="Times New Roman" w:eastAsia="宋体" w:cs="Times New Roman"/>
          <w:color w:val="000000"/>
          <w:kern w:val="0"/>
          <w:szCs w:val="24"/>
          <w:lang w:bidi="ar"/>
        </w:rPr>
        <w:t>生物喷淋除臭装置</w:t>
      </w:r>
      <w:r>
        <w:rPr>
          <w:rFonts w:ascii="Times New Roman"/>
          <w:color w:val="000000"/>
          <w:szCs w:val="24"/>
        </w:rPr>
        <w:t>”处理后经</w:t>
      </w:r>
      <w:r>
        <w:rPr>
          <w:rFonts w:hint="eastAsia" w:ascii="Times New Roman"/>
          <w:color w:val="000000"/>
          <w:szCs w:val="24"/>
        </w:rPr>
        <w:t>1</w:t>
      </w:r>
      <w:r>
        <w:rPr>
          <w:rFonts w:ascii="Times New Roman"/>
          <w:color w:val="000000"/>
          <w:szCs w:val="24"/>
        </w:rPr>
        <w:t>根15m高排气筒DA001排放</w:t>
      </w:r>
      <w:r>
        <w:rPr>
          <w:rFonts w:ascii="Times New Roman" w:hAnsi="Times New Roman" w:eastAsia="宋体" w:cs="Times New Roman"/>
          <w:color w:val="000000"/>
          <w:szCs w:val="24"/>
        </w:rPr>
        <w:t>；</w:t>
      </w:r>
    </w:p>
    <w:p w14:paraId="78D4A296">
      <w:pPr>
        <w:adjustRightInd w:val="0"/>
        <w:spacing w:line="480" w:lineRule="exact"/>
        <w:ind w:firstLine="480"/>
        <w:rPr>
          <w:rFonts w:ascii="Times New Roman"/>
          <w:snapToGrid w:val="0"/>
          <w:color w:val="000000"/>
          <w:szCs w:val="24"/>
        </w:rPr>
      </w:pPr>
      <w:r>
        <w:rPr>
          <w:rFonts w:ascii="Times New Roman"/>
          <w:snapToGrid w:val="0"/>
          <w:color w:val="000000"/>
          <w:szCs w:val="24"/>
        </w:rPr>
        <w:t>（2）无组织废气</w:t>
      </w:r>
    </w:p>
    <w:p w14:paraId="223424C0">
      <w:pPr>
        <w:spacing w:line="480" w:lineRule="exact"/>
        <w:ind w:firstLine="480" w:firstLineChars="200"/>
        <w:rPr>
          <w:rFonts w:ascii="Times New Roman"/>
          <w:color w:val="FF0000"/>
          <w:szCs w:val="24"/>
        </w:rPr>
      </w:pPr>
      <w:r>
        <w:rPr>
          <w:rFonts w:ascii="Times New Roman"/>
          <w:color w:val="000000"/>
          <w:szCs w:val="24"/>
        </w:rPr>
        <w:t>本项目无组织废气主要包括</w:t>
      </w:r>
      <w:r>
        <w:rPr>
          <w:rFonts w:hint="eastAsia"/>
        </w:rPr>
        <w:t>鸡舍、鸡粪暂存库和污水处理站未被收集的恶臭气体</w:t>
      </w:r>
      <w:r>
        <w:rPr>
          <w:rFonts w:ascii="Times New Roman"/>
          <w:color w:val="000000"/>
          <w:szCs w:val="24"/>
        </w:rPr>
        <w:t>。通过提高废气收集效率、</w:t>
      </w:r>
      <w:r>
        <w:rPr>
          <w:rFonts w:hint="eastAsia" w:ascii="Times New Roman"/>
          <w:color w:val="000000"/>
          <w:szCs w:val="24"/>
        </w:rPr>
        <w:t>鸡粪日产日清</w:t>
      </w:r>
      <w:r>
        <w:rPr>
          <w:rFonts w:ascii="Times New Roman"/>
          <w:color w:val="000000"/>
          <w:szCs w:val="24"/>
        </w:rPr>
        <w:t>及加强厂区绿化等措施后，无组织废气厂界达标，对周围大气环境影响较小。</w:t>
      </w:r>
    </w:p>
    <w:p w14:paraId="4FBEDE18">
      <w:pPr>
        <w:pStyle w:val="7"/>
        <w:spacing w:line="480" w:lineRule="exact"/>
      </w:pPr>
      <w:bookmarkStart w:id="272" w:name="_Toc22745"/>
      <w:r>
        <w:rPr>
          <w:rFonts w:hint="eastAsia"/>
        </w:rPr>
        <w:t>9.3.3噪声</w:t>
      </w:r>
      <w:bookmarkEnd w:id="272"/>
    </w:p>
    <w:p w14:paraId="48E2C7E8">
      <w:pPr>
        <w:spacing w:line="480" w:lineRule="exact"/>
        <w:ind w:firstLine="480" w:firstLineChars="200"/>
        <w:rPr>
          <w:rFonts w:ascii="Times New Roman"/>
          <w:color w:val="000000"/>
          <w:szCs w:val="24"/>
        </w:rPr>
      </w:pPr>
      <w:r>
        <w:rPr>
          <w:rFonts w:ascii="Times New Roman"/>
          <w:color w:val="000000"/>
          <w:szCs w:val="24"/>
        </w:rPr>
        <w:t>项目主要噪声源</w:t>
      </w:r>
      <w:r>
        <w:rPr>
          <w:rFonts w:ascii="Times New Roman" w:hAnsi="宋体"/>
          <w:color w:val="000000" w:themeColor="text1"/>
          <w:szCs w:val="24"/>
          <w14:textFill>
            <w14:solidFill>
              <w14:schemeClr w14:val="tx1"/>
            </w14:solidFill>
          </w14:textFill>
        </w:rPr>
        <w:t>为</w:t>
      </w:r>
      <w:r>
        <w:rPr>
          <w:rFonts w:hint="eastAsia"/>
          <w:color w:val="000000" w:themeColor="text1"/>
          <w:szCs w:val="24"/>
          <w:lang w:val="en-US" w:eastAsia="zh-CN"/>
          <w14:textFill>
            <w14:solidFill>
              <w14:schemeClr w14:val="tx1"/>
            </w14:solidFill>
          </w14:textFill>
        </w:rPr>
        <w:t>电热水锅炉</w:t>
      </w:r>
      <w:r>
        <w:rPr>
          <w:rFonts w:hint="eastAsia"/>
          <w:color w:val="000000" w:themeColor="text1"/>
          <w:szCs w:val="24"/>
          <w14:textFill>
            <w14:solidFill>
              <w14:schemeClr w14:val="tx1"/>
            </w14:solidFill>
          </w14:textFill>
        </w:rPr>
        <w:t>、</w:t>
      </w:r>
      <w:r>
        <w:rPr>
          <w:rFonts w:hint="eastAsia"/>
          <w:szCs w:val="24"/>
        </w:rPr>
        <w:t>水泵、各类风机等设备运转产生的噪声及鸡叫声</w:t>
      </w:r>
      <w:r>
        <w:rPr>
          <w:rFonts w:ascii="Times New Roman"/>
          <w:color w:val="000000"/>
          <w:szCs w:val="24"/>
        </w:rPr>
        <w:t>。项目</w:t>
      </w:r>
      <w:r>
        <w:rPr>
          <w:rFonts w:hint="eastAsia" w:ascii="Times New Roman"/>
          <w:color w:val="000000"/>
          <w:szCs w:val="24"/>
        </w:rPr>
        <w:t>鸡叫声将通过</w:t>
      </w:r>
      <w:r>
        <w:rPr>
          <w:rFonts w:hint="eastAsia" w:ascii="宋体" w:hAnsi="宋体" w:eastAsia="宋体" w:cs="宋体"/>
          <w:color w:val="000000"/>
          <w:kern w:val="0"/>
          <w:szCs w:val="24"/>
          <w:lang w:bidi="ar"/>
        </w:rPr>
        <w:t>喂足饲料和水，避免饥渴及突发性噪声，</w:t>
      </w:r>
      <w:r>
        <w:rPr>
          <w:rFonts w:ascii="Times New Roman" w:hAnsi="Times New Roman" w:eastAsia="宋体" w:cs="Times New Roman"/>
          <w:bCs/>
          <w:color w:val="000000" w:themeColor="text1"/>
          <w:szCs w:val="24"/>
          <w14:textFill>
            <w14:solidFill>
              <w14:schemeClr w14:val="tx1"/>
            </w14:solidFill>
          </w14:textFill>
        </w:rPr>
        <w:t>合理布局、厂房隔声、距离衰减</w:t>
      </w:r>
      <w:r>
        <w:rPr>
          <w:rFonts w:ascii="Times New Roman"/>
          <w:color w:val="000000"/>
          <w:szCs w:val="24"/>
        </w:rPr>
        <w:t>等降噪措施</w:t>
      </w:r>
      <w:r>
        <w:rPr>
          <w:rFonts w:hint="eastAsia" w:ascii="Times New Roman" w:hAnsi="Times New Roman" w:eastAsia="宋体" w:cs="Times New Roman"/>
          <w:bCs/>
          <w:color w:val="000000" w:themeColor="text1"/>
          <w:szCs w:val="24"/>
          <w14:textFill>
            <w14:solidFill>
              <w14:schemeClr w14:val="tx1"/>
            </w14:solidFill>
          </w14:textFill>
        </w:rPr>
        <w:t>；</w:t>
      </w:r>
      <w:r>
        <w:rPr>
          <w:rFonts w:ascii="Times New Roman"/>
          <w:color w:val="000000"/>
          <w:szCs w:val="24"/>
        </w:rPr>
        <w:t>设备</w:t>
      </w:r>
      <w:r>
        <w:rPr>
          <w:rFonts w:hint="eastAsia" w:ascii="Times New Roman"/>
          <w:color w:val="000000"/>
          <w:szCs w:val="24"/>
        </w:rPr>
        <w:t>噪声通过</w:t>
      </w:r>
      <w:r>
        <w:rPr>
          <w:rFonts w:ascii="Times New Roman"/>
          <w:color w:val="000000"/>
          <w:szCs w:val="24"/>
        </w:rPr>
        <w:t>采用低噪声设备、设置减震台座、风机加装消声器、建筑隔声、总图合理布局并加强厂区绿化等降噪措施，以减轻噪声影响。</w:t>
      </w:r>
    </w:p>
    <w:p w14:paraId="7732616B">
      <w:pPr>
        <w:pStyle w:val="7"/>
        <w:spacing w:line="480" w:lineRule="exact"/>
      </w:pPr>
      <w:bookmarkStart w:id="273" w:name="_Toc24611"/>
      <w:r>
        <w:rPr>
          <w:rFonts w:hint="eastAsia"/>
        </w:rPr>
        <w:t>9.3.4固废</w:t>
      </w:r>
      <w:bookmarkEnd w:id="273"/>
    </w:p>
    <w:p w14:paraId="46329EFD">
      <w:pPr>
        <w:pStyle w:val="113"/>
        <w:tabs>
          <w:tab w:val="left" w:pos="0"/>
          <w:tab w:val="left" w:pos="1848"/>
        </w:tabs>
        <w:snapToGrid/>
        <w:spacing w:line="480" w:lineRule="exact"/>
        <w:ind w:firstLine="480"/>
        <w:rPr>
          <w:szCs w:val="24"/>
        </w:rPr>
      </w:pPr>
      <w:r>
        <w:rPr>
          <w:szCs w:val="24"/>
        </w:rPr>
        <w:t>本项目产生的一般工业固体废物主要为病死鸡、鸡粪、废包装、污泥、</w:t>
      </w:r>
      <w:r>
        <w:rPr>
          <w:kern w:val="0"/>
          <w:szCs w:val="24"/>
        </w:rPr>
        <w:t>饲料残渣</w:t>
      </w:r>
      <w:r>
        <w:rPr>
          <w:rFonts w:hint="eastAsia"/>
          <w:kern w:val="0"/>
          <w:szCs w:val="24"/>
        </w:rPr>
        <w:t>及</w:t>
      </w:r>
      <w:r>
        <w:rPr>
          <w:kern w:val="0"/>
          <w:szCs w:val="24"/>
        </w:rPr>
        <w:t>散落羽毛</w:t>
      </w:r>
      <w:r>
        <w:rPr>
          <w:rFonts w:hint="eastAsia"/>
          <w:kern w:val="0"/>
          <w:szCs w:val="24"/>
        </w:rPr>
        <w:t>、废树脂</w:t>
      </w:r>
      <w:r>
        <w:rPr>
          <w:szCs w:val="24"/>
        </w:rPr>
        <w:t>，</w:t>
      </w:r>
      <w:r>
        <w:rPr>
          <w:rFonts w:hint="eastAsia"/>
          <w:szCs w:val="24"/>
        </w:rPr>
        <w:t>其中</w:t>
      </w:r>
      <w:r>
        <w:rPr>
          <w:szCs w:val="24"/>
        </w:rPr>
        <w:t>病死鸡</w:t>
      </w:r>
      <w:r>
        <w:rPr>
          <w:rFonts w:hint="eastAsia"/>
          <w:szCs w:val="24"/>
        </w:rPr>
        <w:t>委托</w:t>
      </w:r>
      <w:r>
        <w:rPr>
          <w:rFonts w:hint="eastAsia"/>
          <w:bCs/>
          <w:kern w:val="0"/>
          <w:szCs w:val="24"/>
        </w:rPr>
        <w:t>泗阳北斗星动物无害化处理有限公司</w:t>
      </w:r>
      <w:r>
        <w:rPr>
          <w:bCs/>
          <w:szCs w:val="24"/>
        </w:rPr>
        <w:t>无害化处理</w:t>
      </w:r>
      <w:r>
        <w:rPr>
          <w:rFonts w:hint="eastAsia"/>
          <w:bCs/>
          <w:szCs w:val="24"/>
        </w:rPr>
        <w:t>，鸡粪</w:t>
      </w:r>
      <w:r>
        <w:rPr>
          <w:bCs/>
          <w:color w:val="auto"/>
          <w:szCs w:val="24"/>
        </w:rPr>
        <w:t>外售</w:t>
      </w:r>
      <w:r>
        <w:rPr>
          <w:rFonts w:hint="eastAsia"/>
          <w:bCs/>
          <w:color w:val="auto"/>
          <w:szCs w:val="24"/>
          <w:lang w:eastAsia="zh-CN"/>
        </w:rPr>
        <w:t>泗阳巨宇畜禽粪污处理有限公司</w:t>
      </w:r>
      <w:r>
        <w:rPr>
          <w:rFonts w:hint="eastAsia"/>
          <w:bCs/>
          <w:color w:val="auto"/>
          <w:szCs w:val="24"/>
          <w:lang w:val="en-US" w:eastAsia="zh-CN"/>
        </w:rPr>
        <w:t>进行</w:t>
      </w:r>
      <w:r>
        <w:rPr>
          <w:bCs/>
          <w:color w:val="auto"/>
          <w:szCs w:val="24"/>
        </w:rPr>
        <w:t>综合利用</w:t>
      </w:r>
      <w:r>
        <w:rPr>
          <w:rFonts w:hint="eastAsia"/>
          <w:bCs/>
          <w:color w:val="auto"/>
          <w:szCs w:val="24"/>
        </w:rPr>
        <w:t>，污泥委外资源化</w:t>
      </w:r>
      <w:r>
        <w:rPr>
          <w:bCs/>
          <w:color w:val="auto"/>
          <w:szCs w:val="24"/>
        </w:rPr>
        <w:t>利用</w:t>
      </w:r>
      <w:r>
        <w:rPr>
          <w:rFonts w:hint="eastAsia"/>
          <w:bCs/>
          <w:color w:val="auto"/>
          <w:szCs w:val="24"/>
        </w:rPr>
        <w:t>，</w:t>
      </w:r>
      <w:r>
        <w:rPr>
          <w:szCs w:val="24"/>
        </w:rPr>
        <w:t>废包装、</w:t>
      </w:r>
      <w:r>
        <w:rPr>
          <w:kern w:val="0"/>
          <w:szCs w:val="24"/>
        </w:rPr>
        <w:t>饲料残渣</w:t>
      </w:r>
      <w:r>
        <w:rPr>
          <w:rFonts w:hint="eastAsia"/>
          <w:kern w:val="0"/>
          <w:szCs w:val="24"/>
        </w:rPr>
        <w:t>及</w:t>
      </w:r>
      <w:r>
        <w:rPr>
          <w:kern w:val="0"/>
          <w:szCs w:val="24"/>
        </w:rPr>
        <w:t>散落羽毛</w:t>
      </w:r>
      <w:r>
        <w:rPr>
          <w:rFonts w:hint="eastAsia"/>
          <w:kern w:val="0"/>
          <w:szCs w:val="24"/>
          <w:lang w:val="en-US" w:eastAsia="zh-CN"/>
        </w:rPr>
        <w:t>收集后外售相关单位，</w:t>
      </w:r>
      <w:r>
        <w:rPr>
          <w:rFonts w:hint="eastAsia"/>
          <w:kern w:val="0"/>
          <w:szCs w:val="24"/>
        </w:rPr>
        <w:t>废树脂</w:t>
      </w:r>
      <w:r>
        <w:rPr>
          <w:rFonts w:hint="eastAsia"/>
          <w:kern w:val="0"/>
          <w:szCs w:val="24"/>
          <w:lang w:val="en-US" w:eastAsia="zh-CN"/>
        </w:rPr>
        <w:t>收集后</w:t>
      </w:r>
      <w:r>
        <w:rPr>
          <w:szCs w:val="24"/>
        </w:rPr>
        <w:t>可由</w:t>
      </w:r>
      <w:r>
        <w:rPr>
          <w:rFonts w:hint="eastAsia"/>
          <w:szCs w:val="24"/>
          <w:lang w:val="en-US" w:eastAsia="zh-CN"/>
        </w:rPr>
        <w:t>生产厂家回收再利用</w:t>
      </w:r>
      <w:r>
        <w:rPr>
          <w:szCs w:val="24"/>
        </w:rPr>
        <w:t>；项目产生的危险废物主</w:t>
      </w:r>
      <w:r>
        <w:rPr>
          <w:rFonts w:hint="eastAsia" w:ascii="宋体" w:hAnsi="宋体" w:cs="宋体"/>
          <w:szCs w:val="24"/>
        </w:rPr>
        <w:t>要是</w:t>
      </w:r>
      <w:r>
        <w:rPr>
          <w:szCs w:val="24"/>
        </w:rPr>
        <w:t>医疗废物，收集后</w:t>
      </w:r>
      <w:r>
        <w:rPr>
          <w:rFonts w:hint="eastAsia"/>
          <w:szCs w:val="24"/>
        </w:rPr>
        <w:t>委托有资质单位安全</w:t>
      </w:r>
      <w:r>
        <w:rPr>
          <w:szCs w:val="24"/>
        </w:rPr>
        <w:t>处置；生活垃圾等由环卫部门统一收集、卫生填埋处理。本项目的各类固废均得到有效的处置和利用，固体废物零排放。</w:t>
      </w:r>
    </w:p>
    <w:p w14:paraId="6CFD8B93">
      <w:pPr>
        <w:pStyle w:val="113"/>
        <w:tabs>
          <w:tab w:val="left" w:pos="0"/>
          <w:tab w:val="left" w:pos="1848"/>
        </w:tabs>
        <w:snapToGrid/>
        <w:spacing w:line="480" w:lineRule="exact"/>
        <w:ind w:firstLine="480"/>
        <w:rPr>
          <w:szCs w:val="24"/>
        </w:rPr>
      </w:pPr>
      <w:r>
        <w:rPr>
          <w:szCs w:val="24"/>
        </w:rPr>
        <w:t>综上，项目的污染防治措施可行，污染物能够达标排放。</w:t>
      </w:r>
    </w:p>
    <w:p w14:paraId="30407F13">
      <w:pPr>
        <w:pStyle w:val="4"/>
        <w:spacing w:after="0" w:line="480" w:lineRule="exact"/>
        <w:jc w:val="both"/>
      </w:pPr>
      <w:bookmarkStart w:id="274" w:name="_Toc10867"/>
      <w:bookmarkStart w:id="275" w:name="_Toc20069"/>
      <w:r>
        <w:rPr>
          <w:rFonts w:hint="eastAsia"/>
        </w:rPr>
        <w:t>9.4项目建设环境可行性</w:t>
      </w:r>
      <w:bookmarkEnd w:id="274"/>
      <w:bookmarkEnd w:id="275"/>
    </w:p>
    <w:p w14:paraId="44C9B5BB">
      <w:pPr>
        <w:pStyle w:val="7"/>
        <w:spacing w:line="480" w:lineRule="exact"/>
      </w:pPr>
      <w:bookmarkStart w:id="276" w:name="_Toc26024"/>
      <w:r>
        <w:rPr>
          <w:rFonts w:hint="eastAsia"/>
        </w:rPr>
        <w:t>9.4.1与相关规划、政策文件等相符</w:t>
      </w:r>
      <w:bookmarkEnd w:id="276"/>
    </w:p>
    <w:p w14:paraId="295B54C1">
      <w:pPr>
        <w:pStyle w:val="113"/>
        <w:tabs>
          <w:tab w:val="left" w:pos="0"/>
          <w:tab w:val="left" w:pos="1848"/>
        </w:tabs>
        <w:snapToGrid/>
        <w:spacing w:line="480" w:lineRule="exact"/>
        <w:ind w:firstLine="480"/>
        <w:rPr>
          <w:szCs w:val="24"/>
        </w:rPr>
      </w:pPr>
      <w:r>
        <w:rPr>
          <w:rFonts w:hint="eastAsia"/>
          <w:szCs w:val="24"/>
        </w:rPr>
        <w:t>根据《产业结构调整指导目录（2024年本）》，本项目属于“第一类 鼓励类”中“一、农林牧渔业”中“14、畜禽标准化规模养殖技术开发与应用”，为鼓励类项目。因此，本项目的建设符合国家产业政策。</w:t>
      </w:r>
      <w:r>
        <w:rPr>
          <w:szCs w:val="24"/>
        </w:rPr>
        <w:t>。</w:t>
      </w:r>
    </w:p>
    <w:p w14:paraId="7E4588F4">
      <w:pPr>
        <w:pStyle w:val="113"/>
        <w:tabs>
          <w:tab w:val="left" w:pos="0"/>
          <w:tab w:val="left" w:pos="1848"/>
        </w:tabs>
        <w:snapToGrid/>
        <w:spacing w:line="480" w:lineRule="exact"/>
        <w:ind w:firstLine="480"/>
        <w:rPr>
          <w:szCs w:val="24"/>
        </w:rPr>
      </w:pPr>
      <w:r>
        <w:rPr>
          <w:rFonts w:hint="eastAsia"/>
          <w:szCs w:val="24"/>
        </w:rPr>
        <w:t>对照国家《限制用地项目目录（2012年本）》、《禁止用地项目目录（2012年本）》和《江苏省限制用地项目目录（2013年本）》、《江苏省禁止用地项目目录（2013年本）》，</w:t>
      </w:r>
      <w:r>
        <w:rPr>
          <w:rFonts w:hint="eastAsia" w:ascii="宋体" w:hAnsi="宋体" w:cs="宋体"/>
          <w:kern w:val="0"/>
          <w:szCs w:val="24"/>
          <w:lang w:bidi="ar"/>
        </w:rPr>
        <w:t>本项目不属于限制类和禁止类</w:t>
      </w:r>
      <w:r>
        <w:rPr>
          <w:szCs w:val="24"/>
        </w:rPr>
        <w:t>。</w:t>
      </w:r>
    </w:p>
    <w:p w14:paraId="2404A9D2">
      <w:pPr>
        <w:pStyle w:val="113"/>
        <w:tabs>
          <w:tab w:val="left" w:pos="0"/>
          <w:tab w:val="left" w:pos="1848"/>
        </w:tabs>
        <w:snapToGrid/>
        <w:spacing w:line="480" w:lineRule="exact"/>
        <w:ind w:firstLine="480"/>
        <w:rPr>
          <w:szCs w:val="24"/>
        </w:rPr>
      </w:pPr>
      <w:r>
        <w:rPr>
          <w:rFonts w:hint="eastAsia" w:ascii="宋体" w:hAnsi="宋体" w:cs="宋体"/>
          <w:kern w:val="0"/>
          <w:szCs w:val="24"/>
          <w:lang w:bidi="ar"/>
        </w:rPr>
        <w:t>因此，本项目符合国家和地方的产业政策</w:t>
      </w:r>
      <w:r>
        <w:rPr>
          <w:szCs w:val="24"/>
        </w:rPr>
        <w:t>。</w:t>
      </w:r>
    </w:p>
    <w:p w14:paraId="63BD1250">
      <w:pPr>
        <w:pStyle w:val="7"/>
        <w:spacing w:line="480" w:lineRule="exact"/>
      </w:pPr>
      <w:bookmarkStart w:id="277" w:name="_15.1_环境影响评价结论"/>
      <w:bookmarkEnd w:id="277"/>
      <w:bookmarkStart w:id="278" w:name="_Hlt123317777"/>
      <w:bookmarkEnd w:id="278"/>
      <w:bookmarkStart w:id="279" w:name="_Toc30095"/>
      <w:r>
        <w:rPr>
          <w:rFonts w:hint="eastAsia"/>
        </w:rPr>
        <w:t>9.4.2环境影响可接受</w:t>
      </w:r>
      <w:bookmarkEnd w:id="279"/>
    </w:p>
    <w:p w14:paraId="693BE316">
      <w:pPr>
        <w:adjustRightInd w:val="0"/>
        <w:spacing w:line="480" w:lineRule="exact"/>
        <w:outlineLvl w:val="2"/>
        <w:rPr>
          <w:rFonts w:ascii="Times New Roman"/>
          <w:b/>
          <w:bCs/>
          <w:sz w:val="28"/>
          <w:szCs w:val="28"/>
        </w:rPr>
      </w:pPr>
      <w:bookmarkStart w:id="280" w:name="_Toc4472"/>
      <w:r>
        <w:rPr>
          <w:rFonts w:ascii="Times New Roman"/>
          <w:b/>
          <w:bCs/>
          <w:sz w:val="28"/>
          <w:szCs w:val="28"/>
        </w:rPr>
        <w:t>9.</w:t>
      </w:r>
      <w:r>
        <w:rPr>
          <w:rFonts w:hint="eastAsia" w:ascii="Times New Roman"/>
          <w:b/>
          <w:bCs/>
          <w:sz w:val="28"/>
          <w:szCs w:val="28"/>
        </w:rPr>
        <w:t>4.2.1大气环境影响</w:t>
      </w:r>
      <w:bookmarkEnd w:id="280"/>
    </w:p>
    <w:p w14:paraId="71F5B944">
      <w:pPr>
        <w:spacing w:line="480" w:lineRule="exact"/>
        <w:ind w:firstLine="480" w:firstLineChars="200"/>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根据预测结果：</w:t>
      </w:r>
    </w:p>
    <w:p w14:paraId="6802F7DA">
      <w:pPr>
        <w:spacing w:line="480" w:lineRule="exact"/>
        <w:ind w:firstLine="480" w:firstLineChars="200"/>
        <w:rPr>
          <w:rFonts w:ascii="Times New Roman"/>
          <w:color w:val="FF0000"/>
          <w:szCs w:val="24"/>
        </w:rPr>
      </w:pPr>
      <w:r>
        <w:rPr>
          <w:rFonts w:ascii="Times New Roman"/>
          <w:color w:val="000000" w:themeColor="text1"/>
          <w:szCs w:val="24"/>
          <w14:textFill>
            <w14:solidFill>
              <w14:schemeClr w14:val="tx1"/>
            </w14:solidFill>
          </w14:textFill>
        </w:rPr>
        <w:t>项目大气污染物正常排放、环保设施均运转良好情况下，污染物达标排放，其对环境质量的影响较小。</w:t>
      </w:r>
      <w:r>
        <w:rPr>
          <w:rFonts w:ascii="Times New Roman" w:hAnsi="Times New Roman" w:eastAsia="宋体" w:cs="Times New Roman"/>
          <w:color w:val="000000" w:themeColor="text1"/>
          <w:szCs w:val="24"/>
          <w14:textFill>
            <w14:solidFill>
              <w14:schemeClr w14:val="tx1"/>
            </w14:solidFill>
          </w14:textFill>
        </w:rPr>
        <w:t>DA001号排气筒有组织</w:t>
      </w:r>
      <w:r>
        <w:rPr>
          <w:rFonts w:hint="eastAsia" w:ascii="Times New Roman" w:hAnsi="Times New Roman" w:eastAsia="宋体" w:cs="Times New Roman"/>
          <w:color w:val="000000" w:themeColor="text1"/>
          <w:szCs w:val="24"/>
          <w14:textFill>
            <w14:solidFill>
              <w14:schemeClr w14:val="tx1"/>
            </w14:solidFill>
          </w14:textFill>
        </w:rPr>
        <w:t>氨</w:t>
      </w:r>
      <w:r>
        <w:rPr>
          <w:rFonts w:ascii="Times New Roman" w:hAnsi="Times New Roman" w:eastAsia="宋体" w:cs="Times New Roman"/>
          <w:color w:val="000000" w:themeColor="text1"/>
          <w:szCs w:val="24"/>
          <w14:textFill>
            <w14:solidFill>
              <w14:schemeClr w14:val="tx1"/>
            </w14:solidFill>
          </w14:textFill>
        </w:rPr>
        <w:t>最大落地浓度占标率为</w:t>
      </w:r>
      <w:r>
        <w:rPr>
          <w:rFonts w:hint="eastAsia" w:ascii="Times New Roman" w:hAnsi="Times New Roman" w:eastAsia="宋体" w:cs="Times New Roman"/>
          <w:color w:val="000000" w:themeColor="text1"/>
          <w:szCs w:val="24"/>
          <w14:textFill>
            <w14:solidFill>
              <w14:schemeClr w14:val="tx1"/>
            </w14:solidFill>
          </w14:textFill>
        </w:rPr>
        <w:t>0.13</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，有组织硫化氢</w:t>
      </w:r>
      <w:r>
        <w:rPr>
          <w:rFonts w:ascii="Times New Roman" w:hAnsi="Times New Roman" w:eastAsia="宋体" w:cs="Times New Roman"/>
          <w:color w:val="000000" w:themeColor="text1"/>
          <w:szCs w:val="24"/>
          <w14:textFill>
            <w14:solidFill>
              <w14:schemeClr w14:val="tx1"/>
            </w14:solidFill>
          </w14:textFill>
        </w:rPr>
        <w:t>最大落地浓度占标率为</w:t>
      </w:r>
      <w:r>
        <w:rPr>
          <w:rFonts w:hint="eastAsia" w:ascii="Times New Roman" w:hAnsi="Times New Roman" w:eastAsia="宋体" w:cs="Times New Roman"/>
          <w:color w:val="000000" w:themeColor="text1"/>
          <w:szCs w:val="24"/>
          <w14:textFill>
            <w14:solidFill>
              <w14:schemeClr w14:val="tx1"/>
            </w14:solidFill>
          </w14:textFill>
        </w:rPr>
        <w:t>0.25</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t>本项目有组织源排放的污染物对周边环境影响较小</w:t>
      </w:r>
      <w:r>
        <w:rPr>
          <w:rFonts w:ascii="Times New Roman"/>
          <w:color w:val="000000" w:themeColor="text1"/>
          <w:szCs w:val="24"/>
          <w14:textFill>
            <w14:solidFill>
              <w14:schemeClr w14:val="tx1"/>
            </w14:solidFill>
          </w14:textFill>
        </w:rPr>
        <w:t>。</w:t>
      </w:r>
    </w:p>
    <w:p w14:paraId="6CCBBE67">
      <w:pPr>
        <w:spacing w:line="480" w:lineRule="exact"/>
        <w:ind w:firstLine="480" w:firstLineChars="200"/>
        <w:rPr>
          <w:rFonts w:ascii="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本项目鸡舍区</w:t>
      </w:r>
      <w:r>
        <w:rPr>
          <w:rFonts w:ascii="Times New Roman" w:hAnsi="Times New Roman" w:eastAsia="宋体" w:cs="Times New Roman"/>
          <w:color w:val="000000" w:themeColor="text1"/>
          <w:szCs w:val="24"/>
          <w14:textFill>
            <w14:solidFill>
              <w14:schemeClr w14:val="tx1"/>
            </w14:solidFill>
          </w14:textFill>
        </w:rPr>
        <w:t>排放的</w:t>
      </w:r>
      <w:r>
        <w:rPr>
          <w:rFonts w:hint="eastAsia" w:ascii="Times New Roman" w:hAnsi="Times New Roman" w:eastAsia="宋体" w:cs="Times New Roman"/>
          <w:color w:val="000000" w:themeColor="text1"/>
          <w:szCs w:val="24"/>
          <w14:textFill>
            <w14:solidFill>
              <w14:schemeClr w14:val="tx1"/>
            </w14:solidFill>
          </w14:textFill>
        </w:rPr>
        <w:t>氨</w:t>
      </w:r>
      <w:r>
        <w:rPr>
          <w:rFonts w:ascii="Times New Roman" w:hAnsi="Times New Roman" w:eastAsia="宋体" w:cs="Times New Roman"/>
          <w:color w:val="000000" w:themeColor="text1"/>
          <w:szCs w:val="24"/>
          <w14:textFill>
            <w14:solidFill>
              <w14:schemeClr w14:val="tx1"/>
            </w14:solidFill>
          </w14:textFill>
        </w:rPr>
        <w:t>下风向最大落地浓度</w:t>
      </w:r>
      <w:r>
        <w:rPr>
          <w:rFonts w:hint="eastAsia" w:ascii="Times New Roman" w:hAnsi="Times New Roman" w:eastAsia="宋体" w:cs="Times New Roman"/>
          <w:color w:val="000000" w:themeColor="text1"/>
          <w:szCs w:val="24"/>
          <w14:textFill>
            <w14:solidFill>
              <w14:schemeClr w14:val="tx1"/>
            </w14:solidFill>
          </w14:textFill>
        </w:rPr>
        <w:t>2.78</w:t>
      </w:r>
      <w:r>
        <w:rPr>
          <w:rFonts w:ascii="Times New Roman" w:hAnsi="Times New Roman" w:eastAsia="宋体" w:cs="Times New Roman"/>
          <w:color w:val="000000" w:themeColor="text1"/>
          <w:szCs w:val="24"/>
          <w14:textFill>
            <w14:solidFill>
              <w14:schemeClr w14:val="tx1"/>
            </w14:solidFill>
          </w14:textFill>
        </w:rPr>
        <w:t>ug/m</w:t>
      </w:r>
      <w:r>
        <w:rPr>
          <w:rFonts w:ascii="Times New Roman" w:hAnsi="Times New Roman" w:eastAsia="宋体" w:cs="Times New Roman"/>
          <w:color w:val="000000" w:themeColor="text1"/>
          <w:szCs w:val="24"/>
          <w:vertAlign w:val="superscript"/>
          <w14:textFill>
            <w14:solidFill>
              <w14:schemeClr w14:val="tx1"/>
            </w14:solidFill>
          </w14:textFill>
        </w:rPr>
        <w:t>3</w:t>
      </w:r>
      <w:r>
        <w:rPr>
          <w:rFonts w:ascii="Times New Roman" w:hAnsi="Times New Roman" w:eastAsia="宋体" w:cs="Times New Roman"/>
          <w:color w:val="000000" w:themeColor="text1"/>
          <w:szCs w:val="24"/>
          <w14:textFill>
            <w14:solidFill>
              <w14:schemeClr w14:val="tx1"/>
            </w14:solidFill>
          </w14:textFill>
        </w:rPr>
        <w:t>，最大占标率为</w:t>
      </w:r>
      <w:r>
        <w:rPr>
          <w:rFonts w:hint="eastAsia" w:ascii="Times New Roman" w:hAnsi="Times New Roman" w:eastAsia="宋体" w:cs="Times New Roman"/>
          <w:color w:val="000000" w:themeColor="text1"/>
          <w:szCs w:val="24"/>
          <w14:textFill>
            <w14:solidFill>
              <w14:schemeClr w14:val="tx1"/>
            </w14:solidFill>
          </w14:textFill>
        </w:rPr>
        <w:t>1.39</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，硫化氢</w:t>
      </w:r>
      <w:r>
        <w:rPr>
          <w:rFonts w:ascii="Times New Roman" w:hAnsi="Times New Roman" w:eastAsia="宋体" w:cs="Times New Roman"/>
          <w:color w:val="000000" w:themeColor="text1"/>
          <w:szCs w:val="24"/>
          <w14:textFill>
            <w14:solidFill>
              <w14:schemeClr w14:val="tx1"/>
            </w14:solidFill>
          </w14:textFill>
        </w:rPr>
        <w:t>下风向最大落地浓度</w:t>
      </w:r>
      <w:r>
        <w:rPr>
          <w:rFonts w:hint="eastAsia" w:ascii="Times New Roman" w:hAnsi="Times New Roman" w:eastAsia="宋体" w:cs="Times New Roman"/>
          <w:color w:val="000000" w:themeColor="text1"/>
          <w:szCs w:val="24"/>
          <w14:textFill>
            <w14:solidFill>
              <w14:schemeClr w14:val="tx1"/>
            </w14:solidFill>
          </w14:textFill>
        </w:rPr>
        <w:t>0.278</w:t>
      </w:r>
      <w:r>
        <w:rPr>
          <w:rFonts w:ascii="Times New Roman" w:hAnsi="Times New Roman" w:eastAsia="宋体" w:cs="Times New Roman"/>
          <w:color w:val="000000" w:themeColor="text1"/>
          <w:szCs w:val="24"/>
          <w14:textFill>
            <w14:solidFill>
              <w14:schemeClr w14:val="tx1"/>
            </w14:solidFill>
          </w14:textFill>
        </w:rPr>
        <w:t>ug/m</w:t>
      </w:r>
      <w:r>
        <w:rPr>
          <w:rFonts w:ascii="Times New Roman" w:hAnsi="Times New Roman" w:eastAsia="宋体" w:cs="Times New Roman"/>
          <w:color w:val="000000" w:themeColor="text1"/>
          <w:szCs w:val="24"/>
          <w:vertAlign w:val="superscript"/>
          <w14:textFill>
            <w14:solidFill>
              <w14:schemeClr w14:val="tx1"/>
            </w14:solidFill>
          </w14:textFill>
        </w:rPr>
        <w:t>3</w:t>
      </w:r>
      <w:r>
        <w:rPr>
          <w:rFonts w:ascii="Times New Roman" w:hAnsi="Times New Roman" w:eastAsia="宋体" w:cs="Times New Roman"/>
          <w:color w:val="000000" w:themeColor="text1"/>
          <w:szCs w:val="24"/>
          <w14:textFill>
            <w14:solidFill>
              <w14:schemeClr w14:val="tx1"/>
            </w14:solidFill>
          </w14:textFill>
        </w:rPr>
        <w:t>，最大占标率为</w:t>
      </w:r>
      <w:r>
        <w:rPr>
          <w:rFonts w:hint="eastAsia" w:ascii="Times New Roman" w:hAnsi="Times New Roman" w:eastAsia="宋体" w:cs="Times New Roman"/>
          <w:color w:val="000000" w:themeColor="text1"/>
          <w:szCs w:val="24"/>
          <w14:textFill>
            <w14:solidFill>
              <w14:schemeClr w14:val="tx1"/>
            </w14:solidFill>
          </w14:textFill>
        </w:rPr>
        <w:t>2.78</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鸡粪暂存库</w:t>
      </w:r>
      <w:r>
        <w:rPr>
          <w:rFonts w:ascii="Times New Roman" w:hAnsi="Times New Roman" w:eastAsia="宋体" w:cs="Times New Roman"/>
          <w:color w:val="000000" w:themeColor="text1"/>
          <w:szCs w:val="24"/>
          <w14:textFill>
            <w14:solidFill>
              <w14:schemeClr w14:val="tx1"/>
            </w14:solidFill>
          </w14:textFill>
        </w:rPr>
        <w:t>排放的</w:t>
      </w:r>
      <w:r>
        <w:rPr>
          <w:rFonts w:hint="eastAsia" w:ascii="Times New Roman" w:hAnsi="Times New Roman" w:eastAsia="宋体" w:cs="Times New Roman"/>
          <w:color w:val="000000" w:themeColor="text1"/>
          <w:szCs w:val="24"/>
          <w14:textFill>
            <w14:solidFill>
              <w14:schemeClr w14:val="tx1"/>
            </w14:solidFill>
          </w14:textFill>
        </w:rPr>
        <w:t>氨</w:t>
      </w:r>
      <w:r>
        <w:rPr>
          <w:rFonts w:ascii="Times New Roman" w:hAnsi="Times New Roman" w:eastAsia="宋体" w:cs="Times New Roman"/>
          <w:color w:val="000000" w:themeColor="text1"/>
          <w:szCs w:val="24"/>
          <w14:textFill>
            <w14:solidFill>
              <w14:schemeClr w14:val="tx1"/>
            </w14:solidFill>
          </w14:textFill>
        </w:rPr>
        <w:t>下风向最大落地浓度</w:t>
      </w:r>
      <w:r>
        <w:rPr>
          <w:rFonts w:hint="eastAsia" w:ascii="Times New Roman" w:hAnsi="Times New Roman" w:eastAsia="宋体" w:cs="Times New Roman"/>
          <w:color w:val="000000" w:themeColor="text1"/>
          <w:szCs w:val="24"/>
          <w14:textFill>
            <w14:solidFill>
              <w14:schemeClr w14:val="tx1"/>
            </w14:solidFill>
          </w14:textFill>
        </w:rPr>
        <w:t>1.19</w:t>
      </w:r>
      <w:r>
        <w:rPr>
          <w:rFonts w:ascii="Times New Roman" w:hAnsi="Times New Roman" w:eastAsia="宋体" w:cs="Times New Roman"/>
          <w:color w:val="000000" w:themeColor="text1"/>
          <w:szCs w:val="24"/>
          <w14:textFill>
            <w14:solidFill>
              <w14:schemeClr w14:val="tx1"/>
            </w14:solidFill>
          </w14:textFill>
        </w:rPr>
        <w:t>ug/m</w:t>
      </w:r>
      <w:r>
        <w:rPr>
          <w:rFonts w:ascii="Times New Roman" w:hAnsi="Times New Roman" w:eastAsia="宋体" w:cs="Times New Roman"/>
          <w:color w:val="000000" w:themeColor="text1"/>
          <w:szCs w:val="24"/>
          <w:vertAlign w:val="superscript"/>
          <w14:textFill>
            <w14:solidFill>
              <w14:schemeClr w14:val="tx1"/>
            </w14:solidFill>
          </w14:textFill>
        </w:rPr>
        <w:t>3</w:t>
      </w:r>
      <w:r>
        <w:rPr>
          <w:rFonts w:ascii="Times New Roman" w:hAnsi="Times New Roman" w:eastAsia="宋体" w:cs="Times New Roman"/>
          <w:color w:val="000000" w:themeColor="text1"/>
          <w:szCs w:val="24"/>
          <w14:textFill>
            <w14:solidFill>
              <w14:schemeClr w14:val="tx1"/>
            </w14:solidFill>
          </w14:textFill>
        </w:rPr>
        <w:t>，最大占标率为0.5</w:t>
      </w:r>
      <w:r>
        <w:rPr>
          <w:rFonts w:hint="eastAsia" w:ascii="Times New Roman" w:hAnsi="Times New Roman" w:eastAsia="宋体" w:cs="Times New Roman"/>
          <w:color w:val="000000" w:themeColor="text1"/>
          <w:szCs w:val="24"/>
          <w14:textFill>
            <w14:solidFill>
              <w14:schemeClr w14:val="tx1"/>
            </w14:solidFill>
          </w14:textFill>
        </w:rPr>
        <w:t>9</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，硫化氢</w:t>
      </w:r>
      <w:r>
        <w:rPr>
          <w:rFonts w:ascii="Times New Roman" w:hAnsi="Times New Roman" w:eastAsia="宋体" w:cs="Times New Roman"/>
          <w:color w:val="000000" w:themeColor="text1"/>
          <w:szCs w:val="24"/>
          <w14:textFill>
            <w14:solidFill>
              <w14:schemeClr w14:val="tx1"/>
            </w14:solidFill>
          </w14:textFill>
        </w:rPr>
        <w:t>下风向最大落地浓度</w:t>
      </w:r>
      <w:r>
        <w:rPr>
          <w:rFonts w:hint="eastAsia" w:ascii="Times New Roman" w:hAnsi="Times New Roman" w:eastAsia="宋体" w:cs="Times New Roman"/>
          <w:color w:val="000000" w:themeColor="text1"/>
          <w:szCs w:val="24"/>
          <w14:textFill>
            <w14:solidFill>
              <w14:schemeClr w14:val="tx1"/>
            </w14:solidFill>
          </w14:textFill>
        </w:rPr>
        <w:t>0.119</w:t>
      </w:r>
      <w:r>
        <w:rPr>
          <w:rFonts w:ascii="Times New Roman" w:hAnsi="Times New Roman" w:eastAsia="宋体" w:cs="Times New Roman"/>
          <w:color w:val="000000" w:themeColor="text1"/>
          <w:szCs w:val="24"/>
          <w14:textFill>
            <w14:solidFill>
              <w14:schemeClr w14:val="tx1"/>
            </w14:solidFill>
          </w14:textFill>
        </w:rPr>
        <w:t>ug/m</w:t>
      </w:r>
      <w:r>
        <w:rPr>
          <w:rFonts w:ascii="Times New Roman" w:hAnsi="Times New Roman" w:eastAsia="宋体" w:cs="Times New Roman"/>
          <w:color w:val="000000" w:themeColor="text1"/>
          <w:szCs w:val="24"/>
          <w:vertAlign w:val="superscript"/>
          <w14:textFill>
            <w14:solidFill>
              <w14:schemeClr w14:val="tx1"/>
            </w14:solidFill>
          </w14:textFill>
        </w:rPr>
        <w:t>3</w:t>
      </w:r>
      <w:r>
        <w:rPr>
          <w:rFonts w:ascii="Times New Roman" w:hAnsi="Times New Roman" w:eastAsia="宋体" w:cs="Times New Roman"/>
          <w:color w:val="000000" w:themeColor="text1"/>
          <w:szCs w:val="24"/>
          <w14:textFill>
            <w14:solidFill>
              <w14:schemeClr w14:val="tx1"/>
            </w14:solidFill>
          </w14:textFill>
        </w:rPr>
        <w:t>，最大占标率为</w:t>
      </w:r>
      <w:r>
        <w:rPr>
          <w:rFonts w:hint="eastAsia" w:ascii="Times New Roman" w:hAnsi="Times New Roman" w:eastAsia="宋体" w:cs="Times New Roman"/>
          <w:color w:val="000000" w:themeColor="text1"/>
          <w:szCs w:val="24"/>
          <w14:textFill>
            <w14:solidFill>
              <w14:schemeClr w14:val="tx1"/>
            </w14:solidFill>
          </w14:textFill>
        </w:rPr>
        <w:t>1.19</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污水处理站</w:t>
      </w:r>
      <w:r>
        <w:rPr>
          <w:rFonts w:ascii="Times New Roman" w:hAnsi="Times New Roman" w:eastAsia="宋体" w:cs="Times New Roman"/>
          <w:color w:val="000000" w:themeColor="text1"/>
          <w:szCs w:val="24"/>
          <w14:textFill>
            <w14:solidFill>
              <w14:schemeClr w14:val="tx1"/>
            </w14:solidFill>
          </w14:textFill>
        </w:rPr>
        <w:t>排放的</w:t>
      </w:r>
      <w:r>
        <w:rPr>
          <w:rFonts w:hint="eastAsia" w:ascii="Times New Roman" w:hAnsi="Times New Roman" w:eastAsia="宋体" w:cs="Times New Roman"/>
          <w:color w:val="000000" w:themeColor="text1"/>
          <w:szCs w:val="24"/>
          <w14:textFill>
            <w14:solidFill>
              <w14:schemeClr w14:val="tx1"/>
            </w14:solidFill>
          </w14:textFill>
        </w:rPr>
        <w:t>氨</w:t>
      </w:r>
      <w:r>
        <w:rPr>
          <w:rFonts w:ascii="Times New Roman" w:hAnsi="Times New Roman" w:eastAsia="宋体" w:cs="Times New Roman"/>
          <w:color w:val="000000" w:themeColor="text1"/>
          <w:szCs w:val="24"/>
          <w14:textFill>
            <w14:solidFill>
              <w14:schemeClr w14:val="tx1"/>
            </w14:solidFill>
          </w14:textFill>
        </w:rPr>
        <w:t>下风向最大落地浓度</w:t>
      </w:r>
      <w:r>
        <w:rPr>
          <w:rFonts w:hint="eastAsia" w:ascii="Times New Roman" w:hAnsi="Times New Roman" w:eastAsia="宋体" w:cs="Times New Roman"/>
          <w:color w:val="000000" w:themeColor="text1"/>
          <w:szCs w:val="24"/>
          <w14:textFill>
            <w14:solidFill>
              <w14:schemeClr w14:val="tx1"/>
            </w14:solidFill>
          </w14:textFill>
        </w:rPr>
        <w:t>0.073</w:t>
      </w:r>
      <w:r>
        <w:rPr>
          <w:rFonts w:ascii="Times New Roman" w:hAnsi="Times New Roman" w:eastAsia="宋体" w:cs="Times New Roman"/>
          <w:color w:val="000000" w:themeColor="text1"/>
          <w:szCs w:val="24"/>
          <w14:textFill>
            <w14:solidFill>
              <w14:schemeClr w14:val="tx1"/>
            </w14:solidFill>
          </w14:textFill>
        </w:rPr>
        <w:t>ug/m</w:t>
      </w:r>
      <w:r>
        <w:rPr>
          <w:rFonts w:ascii="Times New Roman" w:hAnsi="Times New Roman" w:eastAsia="宋体" w:cs="Times New Roman"/>
          <w:color w:val="000000" w:themeColor="text1"/>
          <w:szCs w:val="24"/>
          <w:vertAlign w:val="superscript"/>
          <w14:textFill>
            <w14:solidFill>
              <w14:schemeClr w14:val="tx1"/>
            </w14:solidFill>
          </w14:textFill>
        </w:rPr>
        <w:t>3</w:t>
      </w:r>
      <w:r>
        <w:rPr>
          <w:rFonts w:ascii="Times New Roman" w:hAnsi="Times New Roman" w:eastAsia="宋体" w:cs="Times New Roman"/>
          <w:color w:val="000000" w:themeColor="text1"/>
          <w:szCs w:val="24"/>
          <w14:textFill>
            <w14:solidFill>
              <w14:schemeClr w14:val="tx1"/>
            </w14:solidFill>
          </w14:textFill>
        </w:rPr>
        <w:t>，最大占标率为0.</w:t>
      </w:r>
      <w:r>
        <w:rPr>
          <w:rFonts w:hint="eastAsia" w:ascii="Times New Roman" w:hAnsi="Times New Roman" w:eastAsia="宋体" w:cs="Times New Roman"/>
          <w:color w:val="000000" w:themeColor="text1"/>
          <w:szCs w:val="24"/>
          <w14:textFill>
            <w14:solidFill>
              <w14:schemeClr w14:val="tx1"/>
            </w14:solidFill>
          </w14:textFill>
        </w:rPr>
        <w:t>04</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，硫化氢</w:t>
      </w:r>
      <w:r>
        <w:rPr>
          <w:rFonts w:ascii="Times New Roman" w:hAnsi="Times New Roman" w:eastAsia="宋体" w:cs="Times New Roman"/>
          <w:color w:val="000000" w:themeColor="text1"/>
          <w:szCs w:val="24"/>
          <w14:textFill>
            <w14:solidFill>
              <w14:schemeClr w14:val="tx1"/>
            </w14:solidFill>
          </w14:textFill>
        </w:rPr>
        <w:t>下风向最大落地浓度</w:t>
      </w:r>
      <w:r>
        <w:rPr>
          <w:rFonts w:hint="eastAsia" w:ascii="Times New Roman" w:hAnsi="Times New Roman" w:eastAsia="宋体" w:cs="Times New Roman"/>
          <w:color w:val="000000" w:themeColor="text1"/>
          <w:szCs w:val="24"/>
          <w14:textFill>
            <w14:solidFill>
              <w14:schemeClr w14:val="tx1"/>
            </w14:solidFill>
          </w14:textFill>
        </w:rPr>
        <w:t>0.00365</w:t>
      </w:r>
      <w:r>
        <w:rPr>
          <w:rFonts w:ascii="Times New Roman" w:hAnsi="Times New Roman" w:eastAsia="宋体" w:cs="Times New Roman"/>
          <w:color w:val="000000" w:themeColor="text1"/>
          <w:szCs w:val="24"/>
          <w14:textFill>
            <w14:solidFill>
              <w14:schemeClr w14:val="tx1"/>
            </w14:solidFill>
          </w14:textFill>
        </w:rPr>
        <w:t>ug/m</w:t>
      </w:r>
      <w:r>
        <w:rPr>
          <w:rFonts w:ascii="Times New Roman" w:hAnsi="Times New Roman" w:eastAsia="宋体" w:cs="Times New Roman"/>
          <w:color w:val="000000" w:themeColor="text1"/>
          <w:szCs w:val="24"/>
          <w:vertAlign w:val="superscript"/>
          <w14:textFill>
            <w14:solidFill>
              <w14:schemeClr w14:val="tx1"/>
            </w14:solidFill>
          </w14:textFill>
        </w:rPr>
        <w:t>3</w:t>
      </w:r>
      <w:r>
        <w:rPr>
          <w:rFonts w:ascii="Times New Roman" w:hAnsi="Times New Roman" w:eastAsia="宋体" w:cs="Times New Roman"/>
          <w:color w:val="000000" w:themeColor="text1"/>
          <w:szCs w:val="24"/>
          <w14:textFill>
            <w14:solidFill>
              <w14:schemeClr w14:val="tx1"/>
            </w14:solidFill>
          </w14:textFill>
        </w:rPr>
        <w:t>，最大占标率为0.</w:t>
      </w:r>
      <w:r>
        <w:rPr>
          <w:rFonts w:hint="eastAsia" w:ascii="Times New Roman" w:hAnsi="Times New Roman" w:eastAsia="宋体" w:cs="Times New Roman"/>
          <w:color w:val="000000" w:themeColor="text1"/>
          <w:szCs w:val="24"/>
          <w14:textFill>
            <w14:solidFill>
              <w14:schemeClr w14:val="tx1"/>
            </w14:solidFill>
          </w14:textFill>
        </w:rPr>
        <w:t>04</w:t>
      </w:r>
      <w:r>
        <w:rPr>
          <w:rFonts w:ascii="Times New Roman" w:hAnsi="Times New Roman" w:eastAsia="宋体" w:cs="Times New Roman"/>
          <w:color w:val="000000" w:themeColor="text1"/>
          <w:szCs w:val="24"/>
          <w14:textFill>
            <w14:solidFill>
              <w14:schemeClr w14:val="tx1"/>
            </w14:solidFill>
          </w14:textFill>
        </w:rPr>
        <w:t>%。项目无组织排放的污染物对周边环境影响可接受</w:t>
      </w:r>
      <w:r>
        <w:rPr>
          <w:rFonts w:ascii="Times New Roman"/>
          <w:color w:val="000000" w:themeColor="text1"/>
          <w:szCs w:val="24"/>
          <w14:textFill>
            <w14:solidFill>
              <w14:schemeClr w14:val="tx1"/>
            </w14:solidFill>
          </w14:textFill>
        </w:rPr>
        <w:t>。</w:t>
      </w:r>
    </w:p>
    <w:p w14:paraId="7976FF64">
      <w:pPr>
        <w:spacing w:line="480" w:lineRule="exact"/>
        <w:ind w:firstLine="480" w:firstLineChars="200"/>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根据导则规定，本项目无需设置大气环境防护距离。</w:t>
      </w:r>
    </w:p>
    <w:p w14:paraId="792A1423">
      <w:pPr>
        <w:adjustRightInd w:val="0"/>
        <w:spacing w:line="480" w:lineRule="exact"/>
        <w:outlineLvl w:val="2"/>
        <w:rPr>
          <w:rFonts w:ascii="Times New Roman"/>
          <w:b/>
          <w:bCs/>
          <w:sz w:val="28"/>
          <w:szCs w:val="28"/>
        </w:rPr>
      </w:pPr>
      <w:r>
        <w:rPr>
          <w:rFonts w:ascii="Times New Roman"/>
          <w:b/>
          <w:bCs/>
          <w:sz w:val="28"/>
          <w:szCs w:val="28"/>
        </w:rPr>
        <w:t>9.</w:t>
      </w:r>
      <w:r>
        <w:rPr>
          <w:rFonts w:hint="eastAsia" w:ascii="Times New Roman"/>
          <w:b/>
          <w:bCs/>
          <w:sz w:val="28"/>
          <w:szCs w:val="28"/>
        </w:rPr>
        <w:t>4.2.2地表水环境影响</w:t>
      </w:r>
    </w:p>
    <w:p w14:paraId="41435C41">
      <w:pPr>
        <w:adjustRightInd w:val="0"/>
        <w:snapToGrid w:val="0"/>
        <w:spacing w:line="480" w:lineRule="exact"/>
        <w:ind w:firstLine="480" w:firstLineChars="200"/>
      </w:pPr>
      <w:bookmarkStart w:id="281" w:name="_Toc27555"/>
      <w:r>
        <w:t>本项目</w:t>
      </w:r>
      <w:r>
        <w:rPr>
          <w:rFonts w:hint="eastAsia"/>
        </w:rPr>
        <w:t>废水量为1361.4</w:t>
      </w:r>
      <w:r>
        <w:t>m</w:t>
      </w:r>
      <w:r>
        <w:rPr>
          <w:vertAlign w:val="superscript"/>
        </w:rPr>
        <w:t>3</w:t>
      </w:r>
      <w:r>
        <w:t>/a，</w:t>
      </w:r>
      <w:r>
        <w:rPr>
          <w:rFonts w:hint="eastAsia"/>
          <w:szCs w:val="24"/>
        </w:rPr>
        <w:t>生活污水经化粪池预处理后和</w:t>
      </w:r>
      <w:r>
        <w:rPr>
          <w:szCs w:val="24"/>
        </w:rPr>
        <w:t>鸡舍冲洗</w:t>
      </w:r>
      <w:r>
        <w:rPr>
          <w:rFonts w:hint="eastAsia"/>
          <w:szCs w:val="24"/>
        </w:rPr>
        <w:t>废</w:t>
      </w:r>
      <w:r>
        <w:rPr>
          <w:szCs w:val="24"/>
        </w:rPr>
        <w:t>水</w:t>
      </w:r>
      <w:r>
        <w:rPr>
          <w:rFonts w:hint="eastAsia"/>
          <w:szCs w:val="24"/>
        </w:rPr>
        <w:t>、喷淋废水、初期雨水一起经厂区污水处理站处理后用于周边农田灌溉，不外排</w:t>
      </w:r>
      <w:r>
        <w:rPr>
          <w:szCs w:val="24"/>
        </w:rPr>
        <w:t>。</w:t>
      </w:r>
      <w:r>
        <w:t>通过采取上述措施后，</w:t>
      </w:r>
      <w:r>
        <w:rPr>
          <w:rFonts w:hint="eastAsia"/>
        </w:rPr>
        <w:t>项目</w:t>
      </w:r>
      <w:r>
        <w:t>废水均能得到综合利用，不外排，不会对项目周边水体造成影响。</w:t>
      </w:r>
    </w:p>
    <w:p w14:paraId="0ABF3351">
      <w:pPr>
        <w:adjustRightInd w:val="0"/>
        <w:spacing w:line="480" w:lineRule="exact"/>
        <w:outlineLvl w:val="2"/>
        <w:rPr>
          <w:rFonts w:ascii="Times New Roman"/>
          <w:b/>
          <w:bCs/>
          <w:sz w:val="28"/>
          <w:szCs w:val="28"/>
        </w:rPr>
      </w:pPr>
      <w:r>
        <w:rPr>
          <w:rFonts w:ascii="Times New Roman"/>
          <w:b/>
          <w:bCs/>
          <w:sz w:val="28"/>
          <w:szCs w:val="28"/>
        </w:rPr>
        <w:t>9.</w:t>
      </w:r>
      <w:r>
        <w:rPr>
          <w:rFonts w:hint="eastAsia" w:ascii="Times New Roman"/>
          <w:b/>
          <w:bCs/>
          <w:sz w:val="28"/>
          <w:szCs w:val="28"/>
        </w:rPr>
        <w:t>4.2.3地下水环境影响</w:t>
      </w:r>
      <w:bookmarkEnd w:id="281"/>
    </w:p>
    <w:p w14:paraId="307ECD6F">
      <w:pPr>
        <w:spacing w:line="480" w:lineRule="exact"/>
        <w:ind w:firstLine="480" w:firstLineChars="200"/>
        <w:rPr>
          <w:rFonts w:ascii="Times New Roman"/>
          <w:color w:val="000000"/>
          <w:szCs w:val="24"/>
        </w:rPr>
      </w:pPr>
      <w:r>
        <w:rPr>
          <w:rFonts w:ascii="Times New Roman"/>
          <w:color w:val="000000"/>
          <w:szCs w:val="24"/>
        </w:rPr>
        <w:t>根据地下水环境影响预测评价，在建设项目施工质量保证较好、运营过程中各项措施充分落实，污染防渗措施有效情况下，建设项目对区域地下水质不产生影响。在非正常工况和事故情况下，会在场区及周边较小范围内污染地下水。在确保各项污染防治措施得到落实情形下，可避免或减少废水的下渗风险，有效地控制污染物渗入地下水中。</w:t>
      </w:r>
    </w:p>
    <w:p w14:paraId="2532BB34">
      <w:pPr>
        <w:adjustRightInd w:val="0"/>
        <w:spacing w:line="480" w:lineRule="exact"/>
        <w:outlineLvl w:val="2"/>
        <w:rPr>
          <w:rFonts w:ascii="Times New Roman"/>
          <w:b/>
          <w:bCs/>
          <w:sz w:val="28"/>
          <w:szCs w:val="28"/>
        </w:rPr>
      </w:pPr>
      <w:bookmarkStart w:id="282" w:name="_Toc20216"/>
      <w:r>
        <w:rPr>
          <w:rFonts w:ascii="Times New Roman"/>
          <w:b/>
          <w:bCs/>
          <w:sz w:val="28"/>
          <w:szCs w:val="28"/>
        </w:rPr>
        <w:t>9.</w:t>
      </w:r>
      <w:r>
        <w:rPr>
          <w:rFonts w:hint="eastAsia" w:ascii="Times New Roman"/>
          <w:b/>
          <w:bCs/>
          <w:sz w:val="28"/>
          <w:szCs w:val="28"/>
        </w:rPr>
        <w:t>4.2.4土壤环境影响</w:t>
      </w:r>
      <w:bookmarkEnd w:id="282"/>
    </w:p>
    <w:p w14:paraId="45C0FD68">
      <w:pPr>
        <w:spacing w:line="480" w:lineRule="exact"/>
        <w:ind w:firstLine="480" w:firstLineChars="200"/>
        <w:rPr>
          <w:rFonts w:ascii="Times New Roman"/>
          <w:color w:val="000000"/>
          <w:szCs w:val="24"/>
        </w:rPr>
      </w:pPr>
      <w:r>
        <w:rPr>
          <w:rFonts w:ascii="Times New Roman"/>
          <w:color w:val="000000"/>
          <w:szCs w:val="24"/>
        </w:rPr>
        <w:t>根据现状监测结果表明，本项目所在地土壤中各因子均能满足</w:t>
      </w:r>
      <w:r>
        <w:rPr>
          <w:rFonts w:hint="eastAsia"/>
          <w:color w:val="000000" w:themeColor="text1"/>
          <w:szCs w:val="24"/>
          <w14:textFill>
            <w14:solidFill>
              <w14:schemeClr w14:val="tx1"/>
            </w14:solidFill>
          </w14:textFill>
        </w:rPr>
        <w:t>《土壤环境质量标准 农用地土壤污染风险管控标准（试行）》（GB15618-2018）</w:t>
      </w:r>
      <w:r>
        <w:rPr>
          <w:color w:val="000000" w:themeColor="text1"/>
          <w:szCs w:val="24"/>
          <w14:textFill>
            <w14:solidFill>
              <w14:schemeClr w14:val="tx1"/>
            </w14:solidFill>
          </w14:textFill>
        </w:rPr>
        <w:t>表1农用地土壤污染风险筛选值（基本项目）的相关要求</w:t>
      </w:r>
      <w:r>
        <w:rPr>
          <w:rFonts w:ascii="Times New Roman"/>
          <w:color w:val="000000"/>
          <w:szCs w:val="24"/>
        </w:rPr>
        <w:t>。企业在日常管理过程中应加强土壤环境的监控，发现异常及时进行溯源调查，并采取相应的</w:t>
      </w:r>
      <w:r>
        <w:rPr>
          <w:rFonts w:hint="eastAsia" w:ascii="Times New Roman"/>
          <w:color w:val="000000"/>
          <w:szCs w:val="24"/>
        </w:rPr>
        <w:t>防治</w:t>
      </w:r>
      <w:r>
        <w:rPr>
          <w:rFonts w:ascii="Times New Roman"/>
          <w:color w:val="000000"/>
          <w:szCs w:val="24"/>
        </w:rPr>
        <w:t>措施进行防控</w:t>
      </w:r>
      <w:r>
        <w:rPr>
          <w:rFonts w:hint="eastAsia" w:ascii="Times New Roman"/>
          <w:color w:val="000000"/>
          <w:szCs w:val="24"/>
        </w:rPr>
        <w:t>。综上，</w:t>
      </w:r>
      <w:r>
        <w:rPr>
          <w:rFonts w:ascii="Times New Roman"/>
          <w:color w:val="000000"/>
          <w:szCs w:val="24"/>
        </w:rPr>
        <w:t>本项目对土壤环境的影响可接受。</w:t>
      </w:r>
    </w:p>
    <w:p w14:paraId="5C0ED461">
      <w:pPr>
        <w:adjustRightInd w:val="0"/>
        <w:spacing w:line="480" w:lineRule="exact"/>
        <w:outlineLvl w:val="2"/>
        <w:rPr>
          <w:rFonts w:ascii="Times New Roman"/>
          <w:b/>
          <w:bCs/>
          <w:sz w:val="28"/>
          <w:szCs w:val="28"/>
        </w:rPr>
      </w:pPr>
      <w:bookmarkStart w:id="283" w:name="_Toc3695"/>
      <w:r>
        <w:rPr>
          <w:rFonts w:ascii="Times New Roman"/>
          <w:b/>
          <w:bCs/>
          <w:sz w:val="28"/>
          <w:szCs w:val="28"/>
        </w:rPr>
        <w:t>9.</w:t>
      </w:r>
      <w:r>
        <w:rPr>
          <w:rFonts w:hint="eastAsia" w:ascii="Times New Roman"/>
          <w:b/>
          <w:bCs/>
          <w:sz w:val="28"/>
          <w:szCs w:val="28"/>
        </w:rPr>
        <w:t>4.2.5声环境影响</w:t>
      </w:r>
      <w:bookmarkEnd w:id="283"/>
    </w:p>
    <w:p w14:paraId="3531EE2C">
      <w:pPr>
        <w:spacing w:line="480" w:lineRule="exact"/>
        <w:ind w:firstLine="480" w:firstLineChars="200"/>
        <w:rPr>
          <w:rFonts w:ascii="Times New Roman"/>
          <w:color w:val="000000"/>
          <w:szCs w:val="24"/>
        </w:rPr>
      </w:pPr>
      <w:r>
        <w:rPr>
          <w:rFonts w:ascii="Times New Roman"/>
          <w:color w:val="000000"/>
          <w:szCs w:val="24"/>
        </w:rPr>
        <w:t>根据声环境影响预测，本项目实施后噪声影响贡献值叠加本底值后，厂界（预测点）噪声符合《工业企业厂界环境噪声排放标准》（GB12348-2008）的</w:t>
      </w:r>
      <w:r>
        <w:rPr>
          <w:rFonts w:hint="eastAsia" w:ascii="Times New Roman"/>
          <w:color w:val="000000"/>
          <w:szCs w:val="24"/>
        </w:rPr>
        <w:t>1</w:t>
      </w:r>
      <w:r>
        <w:rPr>
          <w:rFonts w:ascii="Times New Roman"/>
          <w:color w:val="000000"/>
          <w:szCs w:val="24"/>
        </w:rPr>
        <w:t>类标准限值要求；周边敏感点噪声符合</w:t>
      </w:r>
      <w:r>
        <w:rPr>
          <w:rFonts w:ascii="Times New Roman"/>
          <w:szCs w:val="24"/>
        </w:rPr>
        <w:t>《声环境质量标准》（GB3096-2008）中</w:t>
      </w:r>
      <w:r>
        <w:rPr>
          <w:rFonts w:hint="eastAsia" w:ascii="Times New Roman"/>
          <w:szCs w:val="24"/>
        </w:rPr>
        <w:t>1</w:t>
      </w:r>
      <w:r>
        <w:rPr>
          <w:rFonts w:ascii="Times New Roman"/>
          <w:szCs w:val="24"/>
        </w:rPr>
        <w:t>类标准</w:t>
      </w:r>
      <w:r>
        <w:rPr>
          <w:rFonts w:ascii="Times New Roman"/>
          <w:color w:val="000000"/>
          <w:szCs w:val="24"/>
        </w:rPr>
        <w:t>。</w:t>
      </w:r>
    </w:p>
    <w:p w14:paraId="4D5479A1">
      <w:pPr>
        <w:adjustRightInd w:val="0"/>
        <w:spacing w:line="480" w:lineRule="exact"/>
        <w:outlineLvl w:val="2"/>
        <w:rPr>
          <w:rFonts w:ascii="Times New Roman"/>
          <w:b/>
          <w:bCs/>
          <w:sz w:val="28"/>
          <w:szCs w:val="28"/>
        </w:rPr>
      </w:pPr>
      <w:bookmarkStart w:id="284" w:name="_Toc30231"/>
      <w:r>
        <w:rPr>
          <w:rFonts w:ascii="Times New Roman"/>
          <w:b/>
          <w:bCs/>
          <w:sz w:val="28"/>
          <w:szCs w:val="28"/>
        </w:rPr>
        <w:t>9.</w:t>
      </w:r>
      <w:r>
        <w:rPr>
          <w:rFonts w:hint="eastAsia" w:ascii="Times New Roman"/>
          <w:b/>
          <w:bCs/>
          <w:sz w:val="28"/>
          <w:szCs w:val="28"/>
        </w:rPr>
        <w:t>4.2.6固体废物环境影响</w:t>
      </w:r>
      <w:bookmarkEnd w:id="284"/>
    </w:p>
    <w:p w14:paraId="17469881">
      <w:pPr>
        <w:spacing w:line="480" w:lineRule="exact"/>
        <w:ind w:firstLine="480" w:firstLineChars="200"/>
        <w:rPr>
          <w:rFonts w:ascii="Times New Roman"/>
          <w:color w:val="000000"/>
          <w:szCs w:val="24"/>
        </w:rPr>
      </w:pPr>
      <w:r>
        <w:rPr>
          <w:rFonts w:ascii="Times New Roman"/>
          <w:color w:val="000000"/>
          <w:szCs w:val="24"/>
        </w:rPr>
        <w:t>各固体废物处理措施合理，可实现固体废物零排放，本项目固体废物不会对环境产生明显影响。</w:t>
      </w:r>
    </w:p>
    <w:p w14:paraId="1E18B6B2">
      <w:pPr>
        <w:adjustRightInd w:val="0"/>
        <w:spacing w:line="480" w:lineRule="exact"/>
        <w:outlineLvl w:val="2"/>
        <w:rPr>
          <w:rFonts w:ascii="Times New Roman" w:eastAsia="宋体"/>
          <w:b/>
          <w:bCs/>
          <w:sz w:val="28"/>
          <w:szCs w:val="28"/>
        </w:rPr>
      </w:pPr>
      <w:bookmarkStart w:id="285" w:name="_Toc26020"/>
      <w:r>
        <w:rPr>
          <w:rFonts w:ascii="Times New Roman"/>
          <w:b/>
          <w:bCs/>
          <w:sz w:val="28"/>
          <w:szCs w:val="28"/>
        </w:rPr>
        <w:t>9.</w:t>
      </w:r>
      <w:r>
        <w:rPr>
          <w:rFonts w:hint="eastAsia" w:ascii="Times New Roman"/>
          <w:b/>
          <w:bCs/>
          <w:sz w:val="28"/>
          <w:szCs w:val="28"/>
        </w:rPr>
        <w:t>4.2.7环境风险可</w:t>
      </w:r>
      <w:bookmarkEnd w:id="285"/>
      <w:r>
        <w:rPr>
          <w:rFonts w:hint="eastAsia" w:ascii="Times New Roman"/>
          <w:b/>
          <w:bCs/>
          <w:sz w:val="28"/>
          <w:szCs w:val="28"/>
        </w:rPr>
        <w:t>防控</w:t>
      </w:r>
    </w:p>
    <w:p w14:paraId="7AC2E015">
      <w:pPr>
        <w:spacing w:line="480" w:lineRule="exact"/>
        <w:ind w:firstLine="480" w:firstLineChars="200"/>
        <w:rPr>
          <w:rFonts w:ascii="Times New Roman"/>
          <w:color w:val="000000"/>
          <w:szCs w:val="24"/>
        </w:rPr>
      </w:pPr>
      <w:r>
        <w:rPr>
          <w:rFonts w:ascii="Times New Roman"/>
          <w:color w:val="000000"/>
          <w:szCs w:val="24"/>
        </w:rPr>
        <w:t>本项目发生事故的类型主要为泄漏、火灾以及废气处理和废水处理设施故障引发的超标排放，事故源主要来自</w:t>
      </w:r>
      <w:r>
        <w:rPr>
          <w:rFonts w:hint="eastAsia" w:ascii="Times New Roman"/>
          <w:color w:val="000000"/>
          <w:szCs w:val="24"/>
        </w:rPr>
        <w:t>备用柴油发电机房、养殖</w:t>
      </w:r>
      <w:r>
        <w:rPr>
          <w:rFonts w:ascii="Times New Roman"/>
          <w:color w:val="000000"/>
          <w:szCs w:val="24"/>
        </w:rPr>
        <w:t>区</w:t>
      </w:r>
      <w:r>
        <w:rPr>
          <w:rFonts w:hint="eastAsia" w:ascii="Times New Roman"/>
          <w:color w:val="000000"/>
          <w:szCs w:val="24"/>
        </w:rPr>
        <w:t>及污水处理区</w:t>
      </w:r>
      <w:r>
        <w:rPr>
          <w:rFonts w:ascii="Times New Roman"/>
          <w:color w:val="000000"/>
          <w:szCs w:val="24"/>
        </w:rPr>
        <w:t>。根据风险分析，本项目严格采取报告中提出的风险防范措施后，可以将事故的影响程度控制在可</w:t>
      </w:r>
      <w:r>
        <w:rPr>
          <w:rFonts w:hint="eastAsia" w:ascii="Times New Roman"/>
          <w:color w:val="000000"/>
          <w:szCs w:val="24"/>
        </w:rPr>
        <w:t>防控</w:t>
      </w:r>
      <w:r>
        <w:rPr>
          <w:rFonts w:ascii="Times New Roman"/>
          <w:color w:val="000000"/>
          <w:szCs w:val="24"/>
        </w:rPr>
        <w:t>范围之内。在项目运营过程中，环境风险可</w:t>
      </w:r>
      <w:r>
        <w:rPr>
          <w:rFonts w:hint="eastAsia" w:ascii="Times New Roman"/>
          <w:color w:val="000000"/>
          <w:szCs w:val="24"/>
        </w:rPr>
        <w:t>防控</w:t>
      </w:r>
      <w:r>
        <w:rPr>
          <w:rFonts w:ascii="Times New Roman"/>
          <w:color w:val="000000"/>
          <w:szCs w:val="24"/>
        </w:rPr>
        <w:t>。</w:t>
      </w:r>
    </w:p>
    <w:p w14:paraId="1855FD0D">
      <w:pPr>
        <w:pStyle w:val="4"/>
        <w:spacing w:after="0" w:line="480" w:lineRule="exact"/>
        <w:jc w:val="both"/>
      </w:pPr>
      <w:bookmarkStart w:id="286" w:name="_Toc6496"/>
      <w:bookmarkStart w:id="287" w:name="_Toc14135"/>
      <w:r>
        <w:rPr>
          <w:rFonts w:hint="eastAsia"/>
        </w:rPr>
        <w:t>9.5公众意见采纳情况</w:t>
      </w:r>
      <w:bookmarkEnd w:id="286"/>
      <w:bookmarkEnd w:id="287"/>
    </w:p>
    <w:p w14:paraId="529013EC">
      <w:pPr>
        <w:spacing w:line="480" w:lineRule="exact"/>
        <w:ind w:firstLine="480" w:firstLineChars="200"/>
        <w:rPr>
          <w:rFonts w:ascii="Times New Roman"/>
          <w:color w:val="000000"/>
          <w:szCs w:val="24"/>
        </w:rPr>
      </w:pPr>
      <w:r>
        <w:rPr>
          <w:rFonts w:ascii="Times New Roman"/>
          <w:color w:val="000000"/>
          <w:szCs w:val="24"/>
        </w:rPr>
        <w:t>本项目建设方通过网上公示、登报公示、张贴告示的方式，征求了项目附近环境敏感目标对本项目建设的意见和建议；</w:t>
      </w:r>
    </w:p>
    <w:p w14:paraId="3A694FCA">
      <w:pPr>
        <w:spacing w:line="480" w:lineRule="exact"/>
        <w:ind w:firstLine="480" w:firstLineChars="200"/>
        <w:rPr>
          <w:rFonts w:ascii="Times New Roman"/>
          <w:color w:val="000000"/>
          <w:szCs w:val="24"/>
        </w:rPr>
      </w:pPr>
      <w:r>
        <w:rPr>
          <w:rFonts w:ascii="Times New Roman"/>
          <w:color w:val="000000"/>
          <w:szCs w:val="24"/>
        </w:rPr>
        <w:t>环评一次公示于全国建设项目环境信息公示平台网站进行公示，公示网址为：</w:t>
      </w:r>
    </w:p>
    <w:p w14:paraId="1DA43269">
      <w:pPr>
        <w:spacing w:line="480" w:lineRule="exact"/>
        <w:ind w:firstLine="480" w:firstLineChars="200"/>
        <w:jc w:val="left"/>
        <w:rPr>
          <w:rStyle w:val="46"/>
          <w:rFonts w:ascii="Times New Roman"/>
          <w:color w:val="000000"/>
          <w:szCs w:val="24"/>
        </w:rPr>
      </w:pPr>
      <w:r>
        <w:rPr>
          <w:rFonts w:hint="eastAsia"/>
          <w:color w:val="000000"/>
          <w:szCs w:val="24"/>
          <w:u w:val="single"/>
        </w:rPr>
        <w:t>https://www.eiacloud.com/gs/detail/1?id=406282ldyQ</w:t>
      </w:r>
      <w:r>
        <w:rPr>
          <w:rStyle w:val="46"/>
          <w:rFonts w:hint="eastAsia"/>
          <w:color w:val="000000"/>
          <w:szCs w:val="24"/>
        </w:rPr>
        <w:t>；</w:t>
      </w:r>
    </w:p>
    <w:p w14:paraId="64213DC1">
      <w:pPr>
        <w:spacing w:line="480" w:lineRule="exact"/>
        <w:ind w:firstLine="480" w:firstLineChars="200"/>
        <w:rPr>
          <w:rFonts w:ascii="Times New Roman"/>
          <w:color w:val="000000"/>
          <w:szCs w:val="24"/>
        </w:rPr>
      </w:pPr>
      <w:r>
        <w:rPr>
          <w:rFonts w:ascii="Times New Roman"/>
          <w:color w:val="000000"/>
          <w:szCs w:val="24"/>
        </w:rPr>
        <w:t>环评二次公示于全国建设项目环境信息公示平台网站公示，公示网址为：</w:t>
      </w:r>
    </w:p>
    <w:p w14:paraId="40FBA110">
      <w:pPr>
        <w:spacing w:line="480" w:lineRule="exact"/>
        <w:ind w:firstLine="480" w:firstLineChars="200"/>
        <w:jc w:val="left"/>
        <w:rPr>
          <w:rFonts w:hint="eastAsia"/>
          <w:color w:val="000000"/>
          <w:szCs w:val="24"/>
          <w:u w:val="single"/>
        </w:rPr>
      </w:pPr>
      <w:r>
        <w:rPr>
          <w:rFonts w:hint="eastAsia"/>
          <w:color w:val="000000"/>
          <w:szCs w:val="24"/>
          <w:u w:val="single"/>
        </w:rPr>
        <w:t>https://www.eiacloud.com/gs/detail/1?id=41022fSBZ4；</w:t>
      </w:r>
    </w:p>
    <w:p w14:paraId="33D91074">
      <w:pPr>
        <w:spacing w:line="480" w:lineRule="exact"/>
        <w:ind w:firstLine="480" w:firstLineChars="200"/>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环评第二次公示时，报纸公示分别于环球时报同时公示；</w:t>
      </w:r>
    </w:p>
    <w:p w14:paraId="36167794">
      <w:pPr>
        <w:spacing w:line="480" w:lineRule="exact"/>
        <w:ind w:firstLine="480" w:firstLineChars="200"/>
        <w:rPr>
          <w:rFonts w:ascii="Times New Roman"/>
          <w:color w:val="000000"/>
          <w:szCs w:val="24"/>
        </w:rPr>
      </w:pPr>
      <w:r>
        <w:rPr>
          <w:rFonts w:ascii="Times New Roman"/>
          <w:color w:val="000000"/>
          <w:szCs w:val="24"/>
        </w:rPr>
        <w:t>项目现场公示在本项目所在</w:t>
      </w:r>
      <w:r>
        <w:rPr>
          <w:rFonts w:hint="eastAsia" w:ascii="Times New Roman"/>
          <w:color w:val="000000"/>
          <w:szCs w:val="24"/>
          <w:lang w:val="en-US" w:eastAsia="zh-CN"/>
        </w:rPr>
        <w:t>地村委会</w:t>
      </w:r>
      <w:r>
        <w:rPr>
          <w:rFonts w:ascii="Times New Roman"/>
          <w:color w:val="000000"/>
          <w:szCs w:val="24"/>
        </w:rPr>
        <w:t>信息公示栏张贴公示；</w:t>
      </w:r>
    </w:p>
    <w:p w14:paraId="3BAB880E">
      <w:pPr>
        <w:spacing w:line="480" w:lineRule="exact"/>
        <w:ind w:firstLine="480" w:firstLineChars="200"/>
        <w:rPr>
          <w:rFonts w:ascii="Times New Roman"/>
          <w:color w:val="000000"/>
          <w:szCs w:val="24"/>
        </w:rPr>
      </w:pPr>
      <w:r>
        <w:rPr>
          <w:rFonts w:ascii="Times New Roman"/>
          <w:color w:val="000000"/>
          <w:szCs w:val="24"/>
        </w:rPr>
        <w:t>网上公示期间，无反馈意见。</w:t>
      </w:r>
    </w:p>
    <w:p w14:paraId="5139C49B">
      <w:pPr>
        <w:pStyle w:val="4"/>
        <w:spacing w:after="0" w:line="480" w:lineRule="exact"/>
        <w:jc w:val="both"/>
      </w:pPr>
      <w:bookmarkStart w:id="288" w:name="_Toc1358"/>
      <w:bookmarkStart w:id="289" w:name="_Toc21815"/>
      <w:r>
        <w:rPr>
          <w:rFonts w:hint="eastAsia"/>
        </w:rPr>
        <w:t>9.6总结论</w:t>
      </w:r>
      <w:bookmarkEnd w:id="288"/>
      <w:bookmarkEnd w:id="289"/>
    </w:p>
    <w:p w14:paraId="482CC9CD">
      <w:pPr>
        <w:spacing w:line="480" w:lineRule="exact"/>
        <w:ind w:firstLine="480" w:firstLineChars="200"/>
        <w:rPr>
          <w:rFonts w:ascii="Times New Roman"/>
          <w:color w:val="000000"/>
          <w:szCs w:val="24"/>
        </w:rPr>
      </w:pPr>
      <w:r>
        <w:rPr>
          <w:rFonts w:ascii="Times New Roman"/>
          <w:color w:val="000000"/>
          <w:szCs w:val="24"/>
        </w:rPr>
        <w:t>环评单位通过调查和分析，依据监测资料和国家、地方有关法规和标准综合评价后认为：本项目的建设符合国家和地方产业政策、符合“三线一单”的控制要求；选址符合区域发展、环保等规划要求；工艺先进符合清洁生产原则；项目采取的污染防治措施可行可靠，可有效实现污染物达标排放，总体上对评价区域环境影响较小，不会降低区域的环境质量现状；固废能够妥善处置；环境风险</w:t>
      </w:r>
      <w:r>
        <w:rPr>
          <w:rFonts w:hint="eastAsia" w:ascii="Times New Roman"/>
          <w:color w:val="000000"/>
          <w:szCs w:val="24"/>
        </w:rPr>
        <w:t>可防控</w:t>
      </w:r>
      <w:r>
        <w:rPr>
          <w:rFonts w:ascii="Times New Roman"/>
          <w:color w:val="000000"/>
          <w:szCs w:val="24"/>
        </w:rPr>
        <w:t>；项目的实施将带来一定的社会效益和经济效益，能达到周围公众的支持。</w:t>
      </w:r>
    </w:p>
    <w:p w14:paraId="290E5A6D">
      <w:pPr>
        <w:spacing w:line="480" w:lineRule="exact"/>
        <w:ind w:firstLine="480" w:firstLineChars="200"/>
        <w:rPr>
          <w:rFonts w:ascii="Times New Roman"/>
          <w:color w:val="000000"/>
          <w:szCs w:val="24"/>
        </w:rPr>
      </w:pPr>
      <w:r>
        <w:rPr>
          <w:rFonts w:ascii="Times New Roman"/>
          <w:color w:val="000000"/>
          <w:szCs w:val="24"/>
        </w:rPr>
        <w:t>因此，在企业严格落实本报告提出的各项污染防治措施，严格执行环保“三同时”措施的前提下，从环保角度分析，本项目的建设具有环境可行性。</w:t>
      </w:r>
    </w:p>
    <w:p w14:paraId="025AE59D">
      <w:pPr>
        <w:pStyle w:val="4"/>
        <w:spacing w:after="0" w:line="480" w:lineRule="exact"/>
        <w:jc w:val="both"/>
      </w:pPr>
      <w:bookmarkStart w:id="290" w:name="_Toc7957"/>
      <w:bookmarkStart w:id="291" w:name="_Toc16896"/>
      <w:r>
        <w:rPr>
          <w:rFonts w:hint="eastAsia"/>
        </w:rPr>
        <w:t>9.7建议和要求</w:t>
      </w:r>
      <w:bookmarkEnd w:id="290"/>
      <w:bookmarkEnd w:id="291"/>
    </w:p>
    <w:p w14:paraId="5CBAD4A5">
      <w:pPr>
        <w:spacing w:line="480" w:lineRule="exact"/>
        <w:ind w:firstLine="480"/>
        <w:rPr>
          <w:rFonts w:ascii="Times New Roman"/>
          <w:color w:val="000000"/>
          <w:szCs w:val="24"/>
        </w:rPr>
      </w:pPr>
      <w:r>
        <w:rPr>
          <w:rFonts w:ascii="Times New Roman"/>
          <w:color w:val="000000"/>
          <w:szCs w:val="24"/>
        </w:rPr>
        <w:t>（1）建设单位在项目实施过程中，务必认真落实本项目的各项治理措施，加强对环保设施的运行管理，制定有效的管理规章制度，落实到人，防止出现事故性排放，确保建设项目的污染物排放量满足污染物排放总量控制指标的要求，同时应重视引进和建立先进的环保管理模式，完善管理机制，强化企业职工自身的环保意识。</w:t>
      </w:r>
    </w:p>
    <w:p w14:paraId="283AB98F">
      <w:pPr>
        <w:spacing w:line="480" w:lineRule="exact"/>
        <w:ind w:firstLine="480"/>
        <w:rPr>
          <w:rFonts w:ascii="Times New Roman"/>
          <w:color w:val="000000"/>
          <w:szCs w:val="24"/>
        </w:rPr>
      </w:pPr>
      <w:r>
        <w:rPr>
          <w:rFonts w:ascii="Times New Roman"/>
          <w:color w:val="000000"/>
          <w:szCs w:val="24"/>
        </w:rPr>
        <w:t>（2）加强设备维护，确保废气处理设施正常运行，避免非正常排放；保障废气收集效率，降低无组织排放。</w:t>
      </w:r>
    </w:p>
    <w:p w14:paraId="1BE6ED3C">
      <w:pPr>
        <w:spacing w:line="480" w:lineRule="exact"/>
        <w:ind w:firstLine="480"/>
        <w:rPr>
          <w:rFonts w:ascii="Times New Roman"/>
          <w:color w:val="000000"/>
          <w:szCs w:val="24"/>
        </w:rPr>
      </w:pPr>
      <w:r>
        <w:rPr>
          <w:rFonts w:ascii="Times New Roman"/>
          <w:color w:val="000000"/>
          <w:szCs w:val="24"/>
        </w:rPr>
        <w:t>（3）</w:t>
      </w:r>
      <w:r>
        <w:rPr>
          <w:kern w:val="24"/>
          <w:szCs w:val="20"/>
        </w:rPr>
        <w:t>加强污水处理</w:t>
      </w:r>
      <w:r>
        <w:rPr>
          <w:rFonts w:hint="eastAsia"/>
          <w:kern w:val="24"/>
          <w:szCs w:val="20"/>
        </w:rPr>
        <w:t>区</w:t>
      </w:r>
      <w:r>
        <w:rPr>
          <w:kern w:val="24"/>
          <w:szCs w:val="20"/>
        </w:rPr>
        <w:t>、</w:t>
      </w:r>
      <w:r>
        <w:rPr>
          <w:rFonts w:hint="eastAsia"/>
          <w:kern w:val="24"/>
          <w:szCs w:val="20"/>
        </w:rPr>
        <w:t>应急事故池、</w:t>
      </w:r>
      <w:r>
        <w:rPr>
          <w:kern w:val="24"/>
          <w:szCs w:val="20"/>
        </w:rPr>
        <w:t>鸡舍</w:t>
      </w:r>
      <w:r>
        <w:rPr>
          <w:rFonts w:hint="eastAsia"/>
          <w:kern w:val="24"/>
          <w:szCs w:val="20"/>
        </w:rPr>
        <w:t>、鸡粪暂存库及危废仓库</w:t>
      </w:r>
      <w:r>
        <w:rPr>
          <w:kern w:val="24"/>
          <w:szCs w:val="20"/>
        </w:rPr>
        <w:t>等区域防渗性能，同时定期检查，防止出现裂缝等破损，以避免或减少废水下渗风险，有效地控制污染物渗入地下水中。</w:t>
      </w:r>
    </w:p>
    <w:p w14:paraId="5FE57EDD">
      <w:pPr>
        <w:spacing w:line="480" w:lineRule="exact"/>
        <w:ind w:firstLine="480"/>
        <w:rPr>
          <w:kern w:val="24"/>
          <w:szCs w:val="20"/>
        </w:rPr>
      </w:pPr>
      <w:r>
        <w:rPr>
          <w:kern w:val="24"/>
          <w:szCs w:val="20"/>
        </w:rPr>
        <w:t>（4）在日常的生产工作中增加与周边群众的沟通，就项目环保、安全上的防治措施与公众深入交流，及时解决公众提出的合理化建议。</w:t>
      </w:r>
    </w:p>
    <w:p w14:paraId="36151D4A">
      <w:pPr>
        <w:spacing w:line="480" w:lineRule="exact"/>
        <w:ind w:firstLine="480"/>
        <w:rPr>
          <w:kern w:val="24"/>
          <w:szCs w:val="20"/>
        </w:rPr>
      </w:pPr>
      <w:r>
        <w:rPr>
          <w:kern w:val="24"/>
          <w:szCs w:val="20"/>
        </w:rPr>
        <w:t>（5）</w:t>
      </w:r>
      <w:r>
        <w:rPr>
          <w:rFonts w:ascii="Times New Roman"/>
          <w:szCs w:val="24"/>
        </w:rPr>
        <w:t>建设单位应根据《企业事业单位突发环境事件应急预案备案管理办法（试行）》等文件的要求编制企业突发环境事件应急预案。</w:t>
      </w:r>
    </w:p>
    <w:p w14:paraId="74FD077A">
      <w:pPr>
        <w:adjustRightInd w:val="0"/>
        <w:spacing w:line="480" w:lineRule="exact"/>
        <w:ind w:firstLine="448" w:firstLineChars="187"/>
        <w:rPr>
          <w:rFonts w:ascii="Times New Roman"/>
          <w:szCs w:val="24"/>
        </w:rPr>
      </w:pPr>
      <w:r>
        <w:rPr>
          <w:rFonts w:ascii="Times New Roman"/>
          <w:szCs w:val="24"/>
        </w:rPr>
        <w:t>（</w:t>
      </w:r>
      <w:r>
        <w:rPr>
          <w:rFonts w:hint="eastAsia" w:ascii="Times New Roman"/>
          <w:szCs w:val="24"/>
        </w:rPr>
        <w:t>6</w:t>
      </w:r>
      <w:r>
        <w:rPr>
          <w:rFonts w:ascii="Times New Roman"/>
          <w:szCs w:val="24"/>
        </w:rPr>
        <w:t>）</w:t>
      </w:r>
      <w:r>
        <w:rPr>
          <w:rFonts w:hint="eastAsia" w:ascii="Times New Roman"/>
          <w:szCs w:val="24"/>
        </w:rPr>
        <w:t>项目运行前，企业需与相关处置单位签订处置协议，确保本项目所有固废得到安全妥善处置。</w:t>
      </w:r>
    </w:p>
    <w:p w14:paraId="035C2261">
      <w:pPr>
        <w:spacing w:line="480" w:lineRule="exact"/>
        <w:ind w:firstLine="480" w:firstLineChars="200"/>
        <w:rPr>
          <w:rFonts w:ascii="Times New Roman"/>
          <w:color w:val="000000"/>
          <w:szCs w:val="24"/>
        </w:rPr>
      </w:pPr>
      <w:r>
        <w:rPr>
          <w:rFonts w:ascii="Times New Roman"/>
          <w:color w:val="000000"/>
          <w:szCs w:val="24"/>
        </w:rPr>
        <w:t>以上环境影响评价结论仅限于本环境影响报告书中所述的选址、建设规模、建设方案及所述的污染防治措施，当以上内容发生较大变化时应另行评价。</w:t>
      </w:r>
    </w:p>
    <w:p w14:paraId="18BBBD62">
      <w:pPr>
        <w:spacing w:line="480" w:lineRule="exact"/>
      </w:pPr>
    </w:p>
    <w:sectPr>
      <w:pgSz w:w="11906" w:h="16838"/>
      <w:pgMar w:top="1417" w:right="1417" w:bottom="1417" w:left="1417" w:header="850" w:footer="850" w:gutter="0"/>
      <w:pgNumType w:fmt="decimal"/>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Wingdings 2">
    <w:panose1 w:val="05020102010507070707"/>
    <w:charset w:val="02"/>
    <w:family w:val="roman"/>
    <w:pitch w:val="default"/>
    <w:sig w:usb0="00000000" w:usb1="00000000" w:usb2="00000000" w:usb3="00000000" w:csb0="80000000" w:csb1="00000000"/>
  </w:font>
  <w:font w:name="MS Mincho">
    <w:panose1 w:val="02020609040205080304"/>
    <w:charset w:val="80"/>
    <w:family w:val="roman"/>
    <w:pitch w:val="default"/>
    <w:sig w:usb0="A00002BF" w:usb1="68C7FCFB" w:usb2="00000010" w:usb3="00000000" w:csb0="4002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D60E6">
    <w:pPr>
      <w:pStyle w:val="25"/>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3676"/>
                          </w:sdtPr>
                          <w:sdtContent>
                            <w:p w14:paraId="4191506D">
                              <w:pPr>
                                <w:pStyle w:val="25"/>
                                <w:jc w:val="cente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IV</w:t>
                              </w:r>
                              <w:r>
                                <w:rPr>
                                  <w:sz w:val="20"/>
                                  <w:szCs w:val="20"/>
                                </w:rPr>
                                <w:fldChar w:fldCharType="end"/>
                              </w:r>
                            </w:p>
                          </w:sdtContent>
                        </w:sdt>
                        <w:p w14:paraId="46FA2B28">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sdt>
                    <w:sdtPr>
                      <w:id w:val="147463676"/>
                    </w:sdtPr>
                    <w:sdtContent>
                      <w:p w14:paraId="4191506D">
                        <w:pPr>
                          <w:pStyle w:val="25"/>
                          <w:jc w:val="cente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IV</w:t>
                        </w:r>
                        <w:r>
                          <w:rPr>
                            <w:sz w:val="20"/>
                            <w:szCs w:val="20"/>
                          </w:rPr>
                          <w:fldChar w:fldCharType="end"/>
                        </w:r>
                      </w:p>
                    </w:sdtContent>
                  </w:sdt>
                  <w:p w14:paraId="46FA2B28">
                    <w:pPr>
                      <w:pStyle w:val="2"/>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64EF2">
    <w:pPr>
      <w:pStyle w:val="2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70B7B8">
                          <w:pPr>
                            <w:pStyle w:val="25"/>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2D70B7B8">
                    <w:pPr>
                      <w:pStyle w:val="25"/>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19332">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93068395"/>
                          </w:sdtPr>
                          <w:sdtContent>
                            <w:p w14:paraId="4163572F">
                              <w:pPr>
                                <w:pStyle w:val="25"/>
                                <w:jc w:val="cente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215</w:t>
                              </w:r>
                              <w:r>
                                <w:rPr>
                                  <w:sz w:val="20"/>
                                  <w:szCs w:val="20"/>
                                </w:rPr>
                                <w:fldChar w:fldCharType="end"/>
                              </w:r>
                            </w:p>
                          </w:sdtContent>
                        </w:sdt>
                        <w:p w14:paraId="135400D5"/>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1193068395"/>
                    </w:sdtPr>
                    <w:sdtContent>
                      <w:p w14:paraId="4163572F">
                        <w:pPr>
                          <w:pStyle w:val="25"/>
                          <w:jc w:val="cente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215</w:t>
                        </w:r>
                        <w:r>
                          <w:rPr>
                            <w:sz w:val="20"/>
                            <w:szCs w:val="20"/>
                          </w:rPr>
                          <w:fldChar w:fldCharType="end"/>
                        </w:r>
                      </w:p>
                    </w:sdtContent>
                  </w:sdt>
                  <w:p w14:paraId="135400D5"/>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D51D5">
    <w:pPr>
      <w:pStyle w:val="26"/>
      <w:spacing w:line="300" w:lineRule="exact"/>
    </w:pPr>
    <w:r>
      <w:rPr>
        <w:rFonts w:ascii="Times New Roman" w:hAnsi="Times New Roman" w:cs="Times New Roman" w:eastAsiaTheme="majorEastAsia"/>
        <w:sz w:val="21"/>
        <w:szCs w:val="21"/>
      </w:rPr>
      <w:t>泗阳县恒邦农业发展有限公司年出栏100万只肉鸡养殖项目环境影响报告书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B352B">
    <w:pPr>
      <w:pStyle w:val="26"/>
    </w:pPr>
    <w:r>
      <w:rPr>
        <w:rFonts w:ascii="Times New Roman" w:hAnsi="Times New Roman" w:eastAsia="宋体" w:cs="Times New Roman"/>
        <w:sz w:val="21"/>
        <w:szCs w:val="21"/>
      </w:rPr>
      <w:t>泗阳县恒邦农业发展有限公司年出栏100万只肉鸡养殖项目环境影响报告书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E3E23">
    <w:pPr>
      <w:pStyle w:val="26"/>
      <w:spacing w:line="300" w:lineRule="exact"/>
      <w:rPr>
        <w:rFonts w:ascii="Times New Roman" w:hAnsi="Times New Roman" w:eastAsia="宋体" w:cs="Times New Roman"/>
        <w:sz w:val="21"/>
        <w:szCs w:val="21"/>
      </w:rPr>
    </w:pPr>
    <w:r>
      <w:rPr>
        <w:rFonts w:ascii="Times New Roman" w:hAnsi="Times New Roman" w:eastAsia="宋体" w:cs="Times New Roman"/>
        <w:sz w:val="21"/>
        <w:szCs w:val="21"/>
      </w:rPr>
      <w:t>泗阳县恒邦农业发展有限公司年出栏100万只肉鸡养殖项目环境影响报告书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26A38"/>
    <w:multiLevelType w:val="singleLevel"/>
    <w:tmpl w:val="88B26A38"/>
    <w:lvl w:ilvl="0" w:tentative="0">
      <w:start w:val="1"/>
      <w:numFmt w:val="upperLetter"/>
      <w:suff w:val="nothing"/>
      <w:lvlText w:val="%1、"/>
      <w:lvlJc w:val="left"/>
    </w:lvl>
  </w:abstractNum>
  <w:abstractNum w:abstractNumId="1">
    <w:nsid w:val="97F92444"/>
    <w:multiLevelType w:val="singleLevel"/>
    <w:tmpl w:val="97F92444"/>
    <w:lvl w:ilvl="0" w:tentative="0">
      <w:start w:val="1"/>
      <w:numFmt w:val="bullet"/>
      <w:pStyle w:val="16"/>
      <w:lvlText w:val=""/>
      <w:lvlJc w:val="left"/>
      <w:pPr>
        <w:tabs>
          <w:tab w:val="left" w:pos="780"/>
        </w:tabs>
        <w:ind w:left="780" w:hanging="360"/>
      </w:pPr>
      <w:rPr>
        <w:rFonts w:hint="default" w:ascii="Wingdings" w:hAnsi="Wingdings"/>
      </w:rPr>
    </w:lvl>
  </w:abstractNum>
  <w:abstractNum w:abstractNumId="2">
    <w:nsid w:val="A006FDC6"/>
    <w:multiLevelType w:val="singleLevel"/>
    <w:tmpl w:val="A006FDC6"/>
    <w:lvl w:ilvl="0" w:tentative="0">
      <w:start w:val="4"/>
      <w:numFmt w:val="decimal"/>
      <w:suff w:val="nothing"/>
      <w:lvlText w:val="（%1）"/>
      <w:lvlJc w:val="left"/>
    </w:lvl>
  </w:abstractNum>
  <w:abstractNum w:abstractNumId="3">
    <w:nsid w:val="A946553E"/>
    <w:multiLevelType w:val="singleLevel"/>
    <w:tmpl w:val="A946553E"/>
    <w:lvl w:ilvl="0" w:tentative="0">
      <w:start w:val="1"/>
      <w:numFmt w:val="decimal"/>
      <w:suff w:val="nothing"/>
      <w:lvlText w:val="（%1）"/>
      <w:lvlJc w:val="left"/>
    </w:lvl>
  </w:abstractNum>
  <w:abstractNum w:abstractNumId="4">
    <w:nsid w:val="BCB8CBD7"/>
    <w:multiLevelType w:val="singleLevel"/>
    <w:tmpl w:val="BCB8CBD7"/>
    <w:lvl w:ilvl="0" w:tentative="0">
      <w:start w:val="2"/>
      <w:numFmt w:val="decimal"/>
      <w:suff w:val="nothing"/>
      <w:lvlText w:val="%1、"/>
      <w:lvlJc w:val="left"/>
    </w:lvl>
  </w:abstractNum>
  <w:abstractNum w:abstractNumId="5">
    <w:nsid w:val="D9679BC3"/>
    <w:multiLevelType w:val="singleLevel"/>
    <w:tmpl w:val="D9679BC3"/>
    <w:lvl w:ilvl="0" w:tentative="0">
      <w:start w:val="7"/>
      <w:numFmt w:val="decimal"/>
      <w:suff w:val="nothing"/>
      <w:lvlText w:val="（%1）"/>
      <w:lvlJc w:val="left"/>
    </w:lvl>
  </w:abstractNum>
  <w:abstractNum w:abstractNumId="6">
    <w:nsid w:val="FFFFFF88"/>
    <w:multiLevelType w:val="singleLevel"/>
    <w:tmpl w:val="FFFFFF88"/>
    <w:lvl w:ilvl="0" w:tentative="0">
      <w:start w:val="1"/>
      <w:numFmt w:val="decimal"/>
      <w:pStyle w:val="10"/>
      <w:lvlText w:val="%1."/>
      <w:lvlJc w:val="left"/>
      <w:pPr>
        <w:tabs>
          <w:tab w:val="left" w:pos="360"/>
        </w:tabs>
        <w:ind w:left="360" w:hanging="360" w:hangingChars="200"/>
      </w:pPr>
    </w:lvl>
  </w:abstractNum>
  <w:abstractNum w:abstractNumId="7">
    <w:nsid w:val="1139D4AA"/>
    <w:multiLevelType w:val="singleLevel"/>
    <w:tmpl w:val="1139D4AA"/>
    <w:lvl w:ilvl="0" w:tentative="0">
      <w:start w:val="7"/>
      <w:numFmt w:val="decimal"/>
      <w:suff w:val="nothing"/>
      <w:lvlText w:val="（%1）"/>
      <w:lvlJc w:val="left"/>
    </w:lvl>
  </w:abstractNum>
  <w:abstractNum w:abstractNumId="8">
    <w:nsid w:val="1297BBF2"/>
    <w:multiLevelType w:val="singleLevel"/>
    <w:tmpl w:val="1297BBF2"/>
    <w:lvl w:ilvl="0" w:tentative="0">
      <w:start w:val="1"/>
      <w:numFmt w:val="bullet"/>
      <w:pStyle w:val="21"/>
      <w:lvlText w:val=""/>
      <w:lvlJc w:val="left"/>
      <w:pPr>
        <w:tabs>
          <w:tab w:val="left" w:pos="2040"/>
        </w:tabs>
        <w:ind w:left="2040" w:hanging="360"/>
      </w:pPr>
      <w:rPr>
        <w:rFonts w:hint="default" w:ascii="Wingdings" w:hAnsi="Wingdings"/>
      </w:rPr>
    </w:lvl>
  </w:abstractNum>
  <w:abstractNum w:abstractNumId="9">
    <w:nsid w:val="15F1467E"/>
    <w:multiLevelType w:val="singleLevel"/>
    <w:tmpl w:val="15F1467E"/>
    <w:lvl w:ilvl="0" w:tentative="0">
      <w:start w:val="3"/>
      <w:numFmt w:val="decimal"/>
      <w:suff w:val="nothing"/>
      <w:lvlText w:val="%1、"/>
      <w:lvlJc w:val="left"/>
    </w:lvl>
  </w:abstractNum>
  <w:abstractNum w:abstractNumId="10">
    <w:nsid w:val="2215F6B0"/>
    <w:multiLevelType w:val="singleLevel"/>
    <w:tmpl w:val="2215F6B0"/>
    <w:lvl w:ilvl="0" w:tentative="0">
      <w:start w:val="2"/>
      <w:numFmt w:val="decimal"/>
      <w:suff w:val="nothing"/>
      <w:lvlText w:val="（%1）"/>
      <w:lvlJc w:val="left"/>
    </w:lvl>
  </w:abstractNum>
  <w:num w:numId="1">
    <w:abstractNumId w:val="6"/>
  </w:num>
  <w:num w:numId="2">
    <w:abstractNumId w:val="1"/>
  </w:num>
  <w:num w:numId="3">
    <w:abstractNumId w:val="8"/>
  </w:num>
  <w:num w:numId="4">
    <w:abstractNumId w:val="9"/>
  </w:num>
  <w:num w:numId="5">
    <w:abstractNumId w:val="5"/>
  </w:num>
  <w:num w:numId="6">
    <w:abstractNumId w:val="7"/>
  </w:num>
  <w:num w:numId="7">
    <w:abstractNumId w:val="2"/>
  </w:num>
  <w:num w:numId="8">
    <w:abstractNumId w:val="0"/>
  </w:num>
  <w:num w:numId="9">
    <w:abstractNumId w:val="3"/>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hideSpellingErrors/>
  <w:documentProtection w:edit="readOnly" w:enforcement="0"/>
  <w:defaultTabStop w:val="420"/>
  <w:drawingGridHorizontalSpacing w:val="120"/>
  <w:drawingGridVerticalSpacing w:val="163"/>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mMTg5YjA3ZTMxNWNlMGJiNzY2ZTc5MzZlY2ExNWQifQ=="/>
  </w:docVars>
  <w:rsids>
    <w:rsidRoot w:val="00172A27"/>
    <w:rsid w:val="00000A68"/>
    <w:rsid w:val="00001616"/>
    <w:rsid w:val="00002108"/>
    <w:rsid w:val="00002222"/>
    <w:rsid w:val="0000248E"/>
    <w:rsid w:val="000027EF"/>
    <w:rsid w:val="00003539"/>
    <w:rsid w:val="00004616"/>
    <w:rsid w:val="00004A54"/>
    <w:rsid w:val="00005066"/>
    <w:rsid w:val="0000693E"/>
    <w:rsid w:val="00012520"/>
    <w:rsid w:val="00013E5A"/>
    <w:rsid w:val="00014B4C"/>
    <w:rsid w:val="00014B6E"/>
    <w:rsid w:val="00015F20"/>
    <w:rsid w:val="00016317"/>
    <w:rsid w:val="00020C6E"/>
    <w:rsid w:val="00020D75"/>
    <w:rsid w:val="00020F9A"/>
    <w:rsid w:val="00021BBD"/>
    <w:rsid w:val="00022C90"/>
    <w:rsid w:val="00022F99"/>
    <w:rsid w:val="00024F76"/>
    <w:rsid w:val="0002505A"/>
    <w:rsid w:val="000265CB"/>
    <w:rsid w:val="00026A59"/>
    <w:rsid w:val="00027803"/>
    <w:rsid w:val="000278BE"/>
    <w:rsid w:val="00027D6E"/>
    <w:rsid w:val="000300A0"/>
    <w:rsid w:val="00030ACF"/>
    <w:rsid w:val="00033BFE"/>
    <w:rsid w:val="000340C8"/>
    <w:rsid w:val="000342AE"/>
    <w:rsid w:val="000352FE"/>
    <w:rsid w:val="00036B2B"/>
    <w:rsid w:val="00036BBF"/>
    <w:rsid w:val="00037A2F"/>
    <w:rsid w:val="00037DF0"/>
    <w:rsid w:val="0004064E"/>
    <w:rsid w:val="00042B87"/>
    <w:rsid w:val="000442A9"/>
    <w:rsid w:val="00044B29"/>
    <w:rsid w:val="00046FA5"/>
    <w:rsid w:val="00050CCC"/>
    <w:rsid w:val="00050D07"/>
    <w:rsid w:val="00051983"/>
    <w:rsid w:val="00051B0B"/>
    <w:rsid w:val="0005395E"/>
    <w:rsid w:val="00053A42"/>
    <w:rsid w:val="000541B1"/>
    <w:rsid w:val="0005667F"/>
    <w:rsid w:val="00056DC9"/>
    <w:rsid w:val="00057B8B"/>
    <w:rsid w:val="00057EEB"/>
    <w:rsid w:val="000636E8"/>
    <w:rsid w:val="0006374C"/>
    <w:rsid w:val="0006558F"/>
    <w:rsid w:val="00065A7E"/>
    <w:rsid w:val="00066CCF"/>
    <w:rsid w:val="00066EED"/>
    <w:rsid w:val="0006718B"/>
    <w:rsid w:val="00067C92"/>
    <w:rsid w:val="00067D01"/>
    <w:rsid w:val="00070667"/>
    <w:rsid w:val="00070D29"/>
    <w:rsid w:val="00071C0F"/>
    <w:rsid w:val="00071DC8"/>
    <w:rsid w:val="00072187"/>
    <w:rsid w:val="00073F77"/>
    <w:rsid w:val="00074549"/>
    <w:rsid w:val="00075CB1"/>
    <w:rsid w:val="000765E1"/>
    <w:rsid w:val="000777E8"/>
    <w:rsid w:val="00077D02"/>
    <w:rsid w:val="000800C6"/>
    <w:rsid w:val="000803C2"/>
    <w:rsid w:val="00081741"/>
    <w:rsid w:val="00081F12"/>
    <w:rsid w:val="000843CC"/>
    <w:rsid w:val="000847B8"/>
    <w:rsid w:val="00085C02"/>
    <w:rsid w:val="0008601F"/>
    <w:rsid w:val="000877BB"/>
    <w:rsid w:val="000904E1"/>
    <w:rsid w:val="000906EB"/>
    <w:rsid w:val="0009083D"/>
    <w:rsid w:val="00090E78"/>
    <w:rsid w:val="00092083"/>
    <w:rsid w:val="00093F89"/>
    <w:rsid w:val="0009497F"/>
    <w:rsid w:val="00096D1E"/>
    <w:rsid w:val="000A0C31"/>
    <w:rsid w:val="000A13DA"/>
    <w:rsid w:val="000A14C3"/>
    <w:rsid w:val="000A1A56"/>
    <w:rsid w:val="000A1C5A"/>
    <w:rsid w:val="000A209A"/>
    <w:rsid w:val="000A2C55"/>
    <w:rsid w:val="000A353C"/>
    <w:rsid w:val="000A52F8"/>
    <w:rsid w:val="000A5436"/>
    <w:rsid w:val="000A60CE"/>
    <w:rsid w:val="000B1D5B"/>
    <w:rsid w:val="000B3158"/>
    <w:rsid w:val="000B4A19"/>
    <w:rsid w:val="000B5129"/>
    <w:rsid w:val="000B5EC7"/>
    <w:rsid w:val="000B6DE6"/>
    <w:rsid w:val="000B76F5"/>
    <w:rsid w:val="000C094B"/>
    <w:rsid w:val="000C130E"/>
    <w:rsid w:val="000C1550"/>
    <w:rsid w:val="000C283B"/>
    <w:rsid w:val="000C3B4C"/>
    <w:rsid w:val="000C497D"/>
    <w:rsid w:val="000C56AD"/>
    <w:rsid w:val="000C5E45"/>
    <w:rsid w:val="000C6EEC"/>
    <w:rsid w:val="000C744C"/>
    <w:rsid w:val="000D05FE"/>
    <w:rsid w:val="000D09C6"/>
    <w:rsid w:val="000D10B0"/>
    <w:rsid w:val="000D1629"/>
    <w:rsid w:val="000D321F"/>
    <w:rsid w:val="000D3AE8"/>
    <w:rsid w:val="000D5A17"/>
    <w:rsid w:val="000D78DF"/>
    <w:rsid w:val="000E042A"/>
    <w:rsid w:val="000E061E"/>
    <w:rsid w:val="000E0E43"/>
    <w:rsid w:val="000E20BA"/>
    <w:rsid w:val="000E32EA"/>
    <w:rsid w:val="000E4367"/>
    <w:rsid w:val="000E6FBC"/>
    <w:rsid w:val="000E7666"/>
    <w:rsid w:val="000E7B8C"/>
    <w:rsid w:val="000F0839"/>
    <w:rsid w:val="000F354A"/>
    <w:rsid w:val="000F45A3"/>
    <w:rsid w:val="000F4956"/>
    <w:rsid w:val="000F6478"/>
    <w:rsid w:val="000F6F8C"/>
    <w:rsid w:val="000F706B"/>
    <w:rsid w:val="000F7CE2"/>
    <w:rsid w:val="001012AA"/>
    <w:rsid w:val="00101434"/>
    <w:rsid w:val="0010193F"/>
    <w:rsid w:val="00101FF7"/>
    <w:rsid w:val="001020BF"/>
    <w:rsid w:val="00103029"/>
    <w:rsid w:val="001035D0"/>
    <w:rsid w:val="001035F8"/>
    <w:rsid w:val="00103B2C"/>
    <w:rsid w:val="00105303"/>
    <w:rsid w:val="00107010"/>
    <w:rsid w:val="00107070"/>
    <w:rsid w:val="00107649"/>
    <w:rsid w:val="0010768B"/>
    <w:rsid w:val="00110D1B"/>
    <w:rsid w:val="00110D33"/>
    <w:rsid w:val="00111F78"/>
    <w:rsid w:val="001123F3"/>
    <w:rsid w:val="0011296C"/>
    <w:rsid w:val="00112D19"/>
    <w:rsid w:val="0011444F"/>
    <w:rsid w:val="0011486E"/>
    <w:rsid w:val="00114FCA"/>
    <w:rsid w:val="001150D5"/>
    <w:rsid w:val="00115FFD"/>
    <w:rsid w:val="001160C5"/>
    <w:rsid w:val="00116EEE"/>
    <w:rsid w:val="0012044E"/>
    <w:rsid w:val="00121B0F"/>
    <w:rsid w:val="001227B2"/>
    <w:rsid w:val="00122AFF"/>
    <w:rsid w:val="00122C43"/>
    <w:rsid w:val="00123531"/>
    <w:rsid w:val="001240FF"/>
    <w:rsid w:val="0012469F"/>
    <w:rsid w:val="0012470C"/>
    <w:rsid w:val="00124AFB"/>
    <w:rsid w:val="00126083"/>
    <w:rsid w:val="00126974"/>
    <w:rsid w:val="00126E5A"/>
    <w:rsid w:val="0012702E"/>
    <w:rsid w:val="001277C2"/>
    <w:rsid w:val="00127A70"/>
    <w:rsid w:val="0013215D"/>
    <w:rsid w:val="00132D9D"/>
    <w:rsid w:val="00133983"/>
    <w:rsid w:val="00135713"/>
    <w:rsid w:val="001371FC"/>
    <w:rsid w:val="001403A4"/>
    <w:rsid w:val="00140AFD"/>
    <w:rsid w:val="00140E7F"/>
    <w:rsid w:val="00142076"/>
    <w:rsid w:val="00142A17"/>
    <w:rsid w:val="00143561"/>
    <w:rsid w:val="00144523"/>
    <w:rsid w:val="00144DCF"/>
    <w:rsid w:val="00146737"/>
    <w:rsid w:val="00147A45"/>
    <w:rsid w:val="00150CD5"/>
    <w:rsid w:val="0015125A"/>
    <w:rsid w:val="00153367"/>
    <w:rsid w:val="00154070"/>
    <w:rsid w:val="001542B2"/>
    <w:rsid w:val="001542B6"/>
    <w:rsid w:val="0015440E"/>
    <w:rsid w:val="001549BB"/>
    <w:rsid w:val="00154E87"/>
    <w:rsid w:val="00154F44"/>
    <w:rsid w:val="001553B8"/>
    <w:rsid w:val="00155E17"/>
    <w:rsid w:val="00156BEA"/>
    <w:rsid w:val="00160034"/>
    <w:rsid w:val="0016359D"/>
    <w:rsid w:val="00164548"/>
    <w:rsid w:val="00164556"/>
    <w:rsid w:val="0016529A"/>
    <w:rsid w:val="001654C0"/>
    <w:rsid w:val="001661C6"/>
    <w:rsid w:val="001725EE"/>
    <w:rsid w:val="00172A27"/>
    <w:rsid w:val="001747C4"/>
    <w:rsid w:val="001747F5"/>
    <w:rsid w:val="00174D3A"/>
    <w:rsid w:val="00175834"/>
    <w:rsid w:val="001770C6"/>
    <w:rsid w:val="00180017"/>
    <w:rsid w:val="00180993"/>
    <w:rsid w:val="001832ED"/>
    <w:rsid w:val="00184582"/>
    <w:rsid w:val="001845AF"/>
    <w:rsid w:val="0018483B"/>
    <w:rsid w:val="00184E33"/>
    <w:rsid w:val="0018515C"/>
    <w:rsid w:val="00185D0C"/>
    <w:rsid w:val="0018620B"/>
    <w:rsid w:val="00186223"/>
    <w:rsid w:val="00186316"/>
    <w:rsid w:val="00187FB2"/>
    <w:rsid w:val="00190663"/>
    <w:rsid w:val="001920F8"/>
    <w:rsid w:val="001940EF"/>
    <w:rsid w:val="00195BEF"/>
    <w:rsid w:val="001962A3"/>
    <w:rsid w:val="0019651A"/>
    <w:rsid w:val="00196709"/>
    <w:rsid w:val="001A0427"/>
    <w:rsid w:val="001A145D"/>
    <w:rsid w:val="001A155A"/>
    <w:rsid w:val="001A1E47"/>
    <w:rsid w:val="001A2D87"/>
    <w:rsid w:val="001A3BDC"/>
    <w:rsid w:val="001A3F6D"/>
    <w:rsid w:val="001A463D"/>
    <w:rsid w:val="001A5FFC"/>
    <w:rsid w:val="001A6CD9"/>
    <w:rsid w:val="001A6D5C"/>
    <w:rsid w:val="001A6DA3"/>
    <w:rsid w:val="001A77C6"/>
    <w:rsid w:val="001A7CBF"/>
    <w:rsid w:val="001A7DD4"/>
    <w:rsid w:val="001B1B89"/>
    <w:rsid w:val="001B267A"/>
    <w:rsid w:val="001B2718"/>
    <w:rsid w:val="001B2B29"/>
    <w:rsid w:val="001B30BD"/>
    <w:rsid w:val="001B33F1"/>
    <w:rsid w:val="001B64AA"/>
    <w:rsid w:val="001B6D92"/>
    <w:rsid w:val="001B716A"/>
    <w:rsid w:val="001C0202"/>
    <w:rsid w:val="001C026B"/>
    <w:rsid w:val="001C07B5"/>
    <w:rsid w:val="001C1844"/>
    <w:rsid w:val="001C1DC4"/>
    <w:rsid w:val="001C370E"/>
    <w:rsid w:val="001C3728"/>
    <w:rsid w:val="001D14D2"/>
    <w:rsid w:val="001D1788"/>
    <w:rsid w:val="001D1D77"/>
    <w:rsid w:val="001D3C4D"/>
    <w:rsid w:val="001D3FB4"/>
    <w:rsid w:val="001D47FD"/>
    <w:rsid w:val="001D4E50"/>
    <w:rsid w:val="001D5038"/>
    <w:rsid w:val="001E0A80"/>
    <w:rsid w:val="001E14F0"/>
    <w:rsid w:val="001E2241"/>
    <w:rsid w:val="001E2547"/>
    <w:rsid w:val="001E3D58"/>
    <w:rsid w:val="001E53F6"/>
    <w:rsid w:val="001E582E"/>
    <w:rsid w:val="001E618B"/>
    <w:rsid w:val="001E6626"/>
    <w:rsid w:val="001E6B72"/>
    <w:rsid w:val="001E70EF"/>
    <w:rsid w:val="001E7CF3"/>
    <w:rsid w:val="001F088D"/>
    <w:rsid w:val="001F34FD"/>
    <w:rsid w:val="001F65DF"/>
    <w:rsid w:val="001F776D"/>
    <w:rsid w:val="001F79DD"/>
    <w:rsid w:val="0020108D"/>
    <w:rsid w:val="0020147F"/>
    <w:rsid w:val="002018D5"/>
    <w:rsid w:val="00201CF0"/>
    <w:rsid w:val="002041D7"/>
    <w:rsid w:val="00204451"/>
    <w:rsid w:val="002044A0"/>
    <w:rsid w:val="002044B5"/>
    <w:rsid w:val="00204BF8"/>
    <w:rsid w:val="00205271"/>
    <w:rsid w:val="0020626D"/>
    <w:rsid w:val="0020729E"/>
    <w:rsid w:val="00211138"/>
    <w:rsid w:val="00212BF6"/>
    <w:rsid w:val="00212CB5"/>
    <w:rsid w:val="00212DEC"/>
    <w:rsid w:val="002130E8"/>
    <w:rsid w:val="0021340B"/>
    <w:rsid w:val="0021408B"/>
    <w:rsid w:val="00214382"/>
    <w:rsid w:val="00214FF8"/>
    <w:rsid w:val="00216885"/>
    <w:rsid w:val="00216CE3"/>
    <w:rsid w:val="00217126"/>
    <w:rsid w:val="00217EDB"/>
    <w:rsid w:val="002201E5"/>
    <w:rsid w:val="002207EB"/>
    <w:rsid w:val="00223B32"/>
    <w:rsid w:val="00224328"/>
    <w:rsid w:val="00224FA1"/>
    <w:rsid w:val="00225468"/>
    <w:rsid w:val="0022564F"/>
    <w:rsid w:val="00225886"/>
    <w:rsid w:val="00226672"/>
    <w:rsid w:val="00226B0F"/>
    <w:rsid w:val="00227AF8"/>
    <w:rsid w:val="002313B9"/>
    <w:rsid w:val="002345D6"/>
    <w:rsid w:val="00234B9D"/>
    <w:rsid w:val="002352A7"/>
    <w:rsid w:val="0023579B"/>
    <w:rsid w:val="00235BFE"/>
    <w:rsid w:val="00235E2C"/>
    <w:rsid w:val="00237392"/>
    <w:rsid w:val="0024026E"/>
    <w:rsid w:val="00240554"/>
    <w:rsid w:val="002411FA"/>
    <w:rsid w:val="00241947"/>
    <w:rsid w:val="00241CCE"/>
    <w:rsid w:val="002428B1"/>
    <w:rsid w:val="00243079"/>
    <w:rsid w:val="0024362E"/>
    <w:rsid w:val="00244EB8"/>
    <w:rsid w:val="00244FB9"/>
    <w:rsid w:val="00245346"/>
    <w:rsid w:val="00245F27"/>
    <w:rsid w:val="002461FE"/>
    <w:rsid w:val="0024635B"/>
    <w:rsid w:val="00247673"/>
    <w:rsid w:val="00247816"/>
    <w:rsid w:val="00250079"/>
    <w:rsid w:val="0025009A"/>
    <w:rsid w:val="00250242"/>
    <w:rsid w:val="002508D9"/>
    <w:rsid w:val="0025717E"/>
    <w:rsid w:val="00257CED"/>
    <w:rsid w:val="0026022B"/>
    <w:rsid w:val="00261521"/>
    <w:rsid w:val="00261A0A"/>
    <w:rsid w:val="00262508"/>
    <w:rsid w:val="0026286F"/>
    <w:rsid w:val="0026396B"/>
    <w:rsid w:val="00264A89"/>
    <w:rsid w:val="002655C6"/>
    <w:rsid w:val="00265603"/>
    <w:rsid w:val="0026585A"/>
    <w:rsid w:val="00266B4D"/>
    <w:rsid w:val="00266DE7"/>
    <w:rsid w:val="00267188"/>
    <w:rsid w:val="0026728E"/>
    <w:rsid w:val="00267719"/>
    <w:rsid w:val="0027035F"/>
    <w:rsid w:val="002710DB"/>
    <w:rsid w:val="0027173F"/>
    <w:rsid w:val="0027255D"/>
    <w:rsid w:val="00273ACF"/>
    <w:rsid w:val="00273FDA"/>
    <w:rsid w:val="00274415"/>
    <w:rsid w:val="00276B57"/>
    <w:rsid w:val="002774E5"/>
    <w:rsid w:val="0027769C"/>
    <w:rsid w:val="002800A1"/>
    <w:rsid w:val="002816C8"/>
    <w:rsid w:val="00282512"/>
    <w:rsid w:val="00282A27"/>
    <w:rsid w:val="00282E03"/>
    <w:rsid w:val="0028361B"/>
    <w:rsid w:val="0028368C"/>
    <w:rsid w:val="002837B1"/>
    <w:rsid w:val="00283B2C"/>
    <w:rsid w:val="002840E8"/>
    <w:rsid w:val="002849D4"/>
    <w:rsid w:val="00284CF2"/>
    <w:rsid w:val="00284EAA"/>
    <w:rsid w:val="0028544D"/>
    <w:rsid w:val="002857D6"/>
    <w:rsid w:val="00285A59"/>
    <w:rsid w:val="0028613C"/>
    <w:rsid w:val="00286652"/>
    <w:rsid w:val="00293332"/>
    <w:rsid w:val="00293F74"/>
    <w:rsid w:val="00294AF8"/>
    <w:rsid w:val="00295376"/>
    <w:rsid w:val="002956B6"/>
    <w:rsid w:val="00295D89"/>
    <w:rsid w:val="00296C5A"/>
    <w:rsid w:val="00297484"/>
    <w:rsid w:val="002A1EBC"/>
    <w:rsid w:val="002A20E5"/>
    <w:rsid w:val="002A27AB"/>
    <w:rsid w:val="002A2E11"/>
    <w:rsid w:val="002A3432"/>
    <w:rsid w:val="002A359D"/>
    <w:rsid w:val="002A418F"/>
    <w:rsid w:val="002A4472"/>
    <w:rsid w:val="002A48B3"/>
    <w:rsid w:val="002A5EF8"/>
    <w:rsid w:val="002A652C"/>
    <w:rsid w:val="002A7105"/>
    <w:rsid w:val="002A71C7"/>
    <w:rsid w:val="002B004A"/>
    <w:rsid w:val="002B0982"/>
    <w:rsid w:val="002B1245"/>
    <w:rsid w:val="002B4393"/>
    <w:rsid w:val="002B5836"/>
    <w:rsid w:val="002B64E4"/>
    <w:rsid w:val="002B6D1E"/>
    <w:rsid w:val="002C0009"/>
    <w:rsid w:val="002C07D2"/>
    <w:rsid w:val="002C259D"/>
    <w:rsid w:val="002C38AF"/>
    <w:rsid w:val="002C47CF"/>
    <w:rsid w:val="002C4CC6"/>
    <w:rsid w:val="002C4CEC"/>
    <w:rsid w:val="002C4DDF"/>
    <w:rsid w:val="002C6501"/>
    <w:rsid w:val="002C6FB1"/>
    <w:rsid w:val="002C7597"/>
    <w:rsid w:val="002C7859"/>
    <w:rsid w:val="002D0397"/>
    <w:rsid w:val="002D03B3"/>
    <w:rsid w:val="002D1492"/>
    <w:rsid w:val="002D24FB"/>
    <w:rsid w:val="002D277B"/>
    <w:rsid w:val="002D56BB"/>
    <w:rsid w:val="002D6FFA"/>
    <w:rsid w:val="002E04E8"/>
    <w:rsid w:val="002E0ACB"/>
    <w:rsid w:val="002E0E0E"/>
    <w:rsid w:val="002E1826"/>
    <w:rsid w:val="002E38D5"/>
    <w:rsid w:val="002E3A2B"/>
    <w:rsid w:val="002E49D2"/>
    <w:rsid w:val="002E4A7A"/>
    <w:rsid w:val="002E5113"/>
    <w:rsid w:val="002E6939"/>
    <w:rsid w:val="002E70A0"/>
    <w:rsid w:val="002E75E0"/>
    <w:rsid w:val="002F00A9"/>
    <w:rsid w:val="002F1558"/>
    <w:rsid w:val="002F165A"/>
    <w:rsid w:val="002F1AE8"/>
    <w:rsid w:val="002F204C"/>
    <w:rsid w:val="002F3151"/>
    <w:rsid w:val="002F3271"/>
    <w:rsid w:val="002F558C"/>
    <w:rsid w:val="002F5749"/>
    <w:rsid w:val="002F5E13"/>
    <w:rsid w:val="002F609E"/>
    <w:rsid w:val="002F6357"/>
    <w:rsid w:val="002F6AA9"/>
    <w:rsid w:val="002F7408"/>
    <w:rsid w:val="0030127C"/>
    <w:rsid w:val="00301CC7"/>
    <w:rsid w:val="00302B82"/>
    <w:rsid w:val="00302CAA"/>
    <w:rsid w:val="003032AB"/>
    <w:rsid w:val="0030558C"/>
    <w:rsid w:val="003059A6"/>
    <w:rsid w:val="00305D38"/>
    <w:rsid w:val="00306E0E"/>
    <w:rsid w:val="00307EE3"/>
    <w:rsid w:val="0031004A"/>
    <w:rsid w:val="00312089"/>
    <w:rsid w:val="0031289F"/>
    <w:rsid w:val="003132E3"/>
    <w:rsid w:val="0031345D"/>
    <w:rsid w:val="00314F03"/>
    <w:rsid w:val="00314F48"/>
    <w:rsid w:val="00316B6A"/>
    <w:rsid w:val="00317419"/>
    <w:rsid w:val="00317490"/>
    <w:rsid w:val="00317F19"/>
    <w:rsid w:val="00320952"/>
    <w:rsid w:val="00321A19"/>
    <w:rsid w:val="00321AF3"/>
    <w:rsid w:val="00321D3B"/>
    <w:rsid w:val="00323FD9"/>
    <w:rsid w:val="003249A9"/>
    <w:rsid w:val="00324CB1"/>
    <w:rsid w:val="00324EE9"/>
    <w:rsid w:val="003252E7"/>
    <w:rsid w:val="003266F5"/>
    <w:rsid w:val="00326D29"/>
    <w:rsid w:val="00326E36"/>
    <w:rsid w:val="00326F87"/>
    <w:rsid w:val="003274D4"/>
    <w:rsid w:val="00327530"/>
    <w:rsid w:val="003276BD"/>
    <w:rsid w:val="00330292"/>
    <w:rsid w:val="00333779"/>
    <w:rsid w:val="0033381C"/>
    <w:rsid w:val="00334144"/>
    <w:rsid w:val="00334482"/>
    <w:rsid w:val="00334CC9"/>
    <w:rsid w:val="003356EF"/>
    <w:rsid w:val="0033613E"/>
    <w:rsid w:val="0033732D"/>
    <w:rsid w:val="00341B73"/>
    <w:rsid w:val="00341D82"/>
    <w:rsid w:val="00343678"/>
    <w:rsid w:val="00343F43"/>
    <w:rsid w:val="00347A7F"/>
    <w:rsid w:val="00351B5D"/>
    <w:rsid w:val="003520BA"/>
    <w:rsid w:val="003527F3"/>
    <w:rsid w:val="003529D5"/>
    <w:rsid w:val="00352BE1"/>
    <w:rsid w:val="003538EB"/>
    <w:rsid w:val="00354D7E"/>
    <w:rsid w:val="003554C6"/>
    <w:rsid w:val="00356021"/>
    <w:rsid w:val="00360B4C"/>
    <w:rsid w:val="003648BD"/>
    <w:rsid w:val="00364AB7"/>
    <w:rsid w:val="00364DC2"/>
    <w:rsid w:val="00366393"/>
    <w:rsid w:val="00366992"/>
    <w:rsid w:val="00366A3B"/>
    <w:rsid w:val="0036792F"/>
    <w:rsid w:val="0037020C"/>
    <w:rsid w:val="00371F19"/>
    <w:rsid w:val="00372EA4"/>
    <w:rsid w:val="003800F9"/>
    <w:rsid w:val="00380C38"/>
    <w:rsid w:val="00380E75"/>
    <w:rsid w:val="003813BE"/>
    <w:rsid w:val="00382353"/>
    <w:rsid w:val="0038262E"/>
    <w:rsid w:val="003846AE"/>
    <w:rsid w:val="003850A9"/>
    <w:rsid w:val="003858BF"/>
    <w:rsid w:val="00385BCF"/>
    <w:rsid w:val="00386411"/>
    <w:rsid w:val="00386FB3"/>
    <w:rsid w:val="00390BDF"/>
    <w:rsid w:val="00390DF5"/>
    <w:rsid w:val="00392485"/>
    <w:rsid w:val="00393484"/>
    <w:rsid w:val="00393A25"/>
    <w:rsid w:val="00393D3F"/>
    <w:rsid w:val="00393DB9"/>
    <w:rsid w:val="00394AB3"/>
    <w:rsid w:val="00395982"/>
    <w:rsid w:val="0039628C"/>
    <w:rsid w:val="00396B86"/>
    <w:rsid w:val="003A09F1"/>
    <w:rsid w:val="003A1355"/>
    <w:rsid w:val="003A15E1"/>
    <w:rsid w:val="003A2CF5"/>
    <w:rsid w:val="003A4DF6"/>
    <w:rsid w:val="003A4E10"/>
    <w:rsid w:val="003A5139"/>
    <w:rsid w:val="003A52E8"/>
    <w:rsid w:val="003A5612"/>
    <w:rsid w:val="003A597C"/>
    <w:rsid w:val="003A64CB"/>
    <w:rsid w:val="003A6A77"/>
    <w:rsid w:val="003A71AD"/>
    <w:rsid w:val="003A74EE"/>
    <w:rsid w:val="003B097F"/>
    <w:rsid w:val="003B099A"/>
    <w:rsid w:val="003B1032"/>
    <w:rsid w:val="003B188B"/>
    <w:rsid w:val="003B33D5"/>
    <w:rsid w:val="003B4285"/>
    <w:rsid w:val="003B510A"/>
    <w:rsid w:val="003B5EA4"/>
    <w:rsid w:val="003B62A1"/>
    <w:rsid w:val="003B642D"/>
    <w:rsid w:val="003B7CFE"/>
    <w:rsid w:val="003C0F4E"/>
    <w:rsid w:val="003C2478"/>
    <w:rsid w:val="003C24CF"/>
    <w:rsid w:val="003C2E54"/>
    <w:rsid w:val="003C32B7"/>
    <w:rsid w:val="003C39B3"/>
    <w:rsid w:val="003C3E7E"/>
    <w:rsid w:val="003C4D1E"/>
    <w:rsid w:val="003C606E"/>
    <w:rsid w:val="003C66BA"/>
    <w:rsid w:val="003C75AA"/>
    <w:rsid w:val="003C7927"/>
    <w:rsid w:val="003D20D2"/>
    <w:rsid w:val="003D2A0F"/>
    <w:rsid w:val="003D2B9E"/>
    <w:rsid w:val="003D305D"/>
    <w:rsid w:val="003D353E"/>
    <w:rsid w:val="003D3CA5"/>
    <w:rsid w:val="003D47F6"/>
    <w:rsid w:val="003D65E4"/>
    <w:rsid w:val="003D7912"/>
    <w:rsid w:val="003D7D70"/>
    <w:rsid w:val="003E0DE5"/>
    <w:rsid w:val="003E1EF0"/>
    <w:rsid w:val="003E2290"/>
    <w:rsid w:val="003E22EF"/>
    <w:rsid w:val="003E3268"/>
    <w:rsid w:val="003E33FE"/>
    <w:rsid w:val="003E34B5"/>
    <w:rsid w:val="003E34CB"/>
    <w:rsid w:val="003E38D8"/>
    <w:rsid w:val="003E4070"/>
    <w:rsid w:val="003E46E6"/>
    <w:rsid w:val="003E4CA6"/>
    <w:rsid w:val="003E4F2E"/>
    <w:rsid w:val="003E51CD"/>
    <w:rsid w:val="003E63C7"/>
    <w:rsid w:val="003E797D"/>
    <w:rsid w:val="003F25B2"/>
    <w:rsid w:val="003F3CBE"/>
    <w:rsid w:val="003F3E9D"/>
    <w:rsid w:val="003F461B"/>
    <w:rsid w:val="003F623D"/>
    <w:rsid w:val="004004E9"/>
    <w:rsid w:val="00402469"/>
    <w:rsid w:val="00406439"/>
    <w:rsid w:val="00407333"/>
    <w:rsid w:val="00407BE8"/>
    <w:rsid w:val="0041209B"/>
    <w:rsid w:val="00416277"/>
    <w:rsid w:val="0041695A"/>
    <w:rsid w:val="0042134B"/>
    <w:rsid w:val="00422B03"/>
    <w:rsid w:val="00425143"/>
    <w:rsid w:val="00426FDE"/>
    <w:rsid w:val="004272A5"/>
    <w:rsid w:val="004273DD"/>
    <w:rsid w:val="00427BA9"/>
    <w:rsid w:val="004307C5"/>
    <w:rsid w:val="004311F3"/>
    <w:rsid w:val="00431D44"/>
    <w:rsid w:val="004324F4"/>
    <w:rsid w:val="00432D54"/>
    <w:rsid w:val="004333D9"/>
    <w:rsid w:val="00433F67"/>
    <w:rsid w:val="004367F9"/>
    <w:rsid w:val="00436A66"/>
    <w:rsid w:val="00437A13"/>
    <w:rsid w:val="00440CB2"/>
    <w:rsid w:val="00440E0D"/>
    <w:rsid w:val="00441907"/>
    <w:rsid w:val="00442183"/>
    <w:rsid w:val="004426DD"/>
    <w:rsid w:val="00442CE9"/>
    <w:rsid w:val="00446DEF"/>
    <w:rsid w:val="00447893"/>
    <w:rsid w:val="004507AE"/>
    <w:rsid w:val="0045138D"/>
    <w:rsid w:val="00452AAA"/>
    <w:rsid w:val="00453A9F"/>
    <w:rsid w:val="00453F9A"/>
    <w:rsid w:val="0045529E"/>
    <w:rsid w:val="00455FD1"/>
    <w:rsid w:val="00456D52"/>
    <w:rsid w:val="0045710E"/>
    <w:rsid w:val="004600C6"/>
    <w:rsid w:val="0046065E"/>
    <w:rsid w:val="004625A7"/>
    <w:rsid w:val="00462846"/>
    <w:rsid w:val="00463169"/>
    <w:rsid w:val="004645B8"/>
    <w:rsid w:val="00465D99"/>
    <w:rsid w:val="0046603C"/>
    <w:rsid w:val="0046690D"/>
    <w:rsid w:val="00467E4E"/>
    <w:rsid w:val="00470F14"/>
    <w:rsid w:val="00470FB0"/>
    <w:rsid w:val="004715DE"/>
    <w:rsid w:val="0047404C"/>
    <w:rsid w:val="0047507B"/>
    <w:rsid w:val="004753C9"/>
    <w:rsid w:val="00475CA7"/>
    <w:rsid w:val="004760E8"/>
    <w:rsid w:val="004806E6"/>
    <w:rsid w:val="00480E46"/>
    <w:rsid w:val="004813D9"/>
    <w:rsid w:val="004837DA"/>
    <w:rsid w:val="00485093"/>
    <w:rsid w:val="00486266"/>
    <w:rsid w:val="00486BDB"/>
    <w:rsid w:val="00487216"/>
    <w:rsid w:val="00487AA5"/>
    <w:rsid w:val="00487C52"/>
    <w:rsid w:val="00490120"/>
    <w:rsid w:val="00490ADA"/>
    <w:rsid w:val="00491741"/>
    <w:rsid w:val="004922E3"/>
    <w:rsid w:val="00493210"/>
    <w:rsid w:val="00495995"/>
    <w:rsid w:val="00495C99"/>
    <w:rsid w:val="004A002E"/>
    <w:rsid w:val="004A10D1"/>
    <w:rsid w:val="004A1FE0"/>
    <w:rsid w:val="004A3223"/>
    <w:rsid w:val="004A384A"/>
    <w:rsid w:val="004A4CE0"/>
    <w:rsid w:val="004A4E63"/>
    <w:rsid w:val="004A5734"/>
    <w:rsid w:val="004A6222"/>
    <w:rsid w:val="004A74CF"/>
    <w:rsid w:val="004A77C9"/>
    <w:rsid w:val="004B150D"/>
    <w:rsid w:val="004B19B4"/>
    <w:rsid w:val="004B4C55"/>
    <w:rsid w:val="004B5206"/>
    <w:rsid w:val="004B5780"/>
    <w:rsid w:val="004B6278"/>
    <w:rsid w:val="004B6C25"/>
    <w:rsid w:val="004B7914"/>
    <w:rsid w:val="004B7C55"/>
    <w:rsid w:val="004C179A"/>
    <w:rsid w:val="004C2467"/>
    <w:rsid w:val="004C422C"/>
    <w:rsid w:val="004C4687"/>
    <w:rsid w:val="004C569D"/>
    <w:rsid w:val="004C68B4"/>
    <w:rsid w:val="004C6B00"/>
    <w:rsid w:val="004C703C"/>
    <w:rsid w:val="004C72E0"/>
    <w:rsid w:val="004D04A6"/>
    <w:rsid w:val="004D0923"/>
    <w:rsid w:val="004D0F13"/>
    <w:rsid w:val="004D0F91"/>
    <w:rsid w:val="004D140D"/>
    <w:rsid w:val="004D19E3"/>
    <w:rsid w:val="004D2622"/>
    <w:rsid w:val="004D3638"/>
    <w:rsid w:val="004D3FCB"/>
    <w:rsid w:val="004D55C9"/>
    <w:rsid w:val="004D5A29"/>
    <w:rsid w:val="004D7463"/>
    <w:rsid w:val="004D7F64"/>
    <w:rsid w:val="004E0E4C"/>
    <w:rsid w:val="004E1374"/>
    <w:rsid w:val="004E1889"/>
    <w:rsid w:val="004E1A70"/>
    <w:rsid w:val="004E2B0E"/>
    <w:rsid w:val="004E30F9"/>
    <w:rsid w:val="004E3F37"/>
    <w:rsid w:val="004E5991"/>
    <w:rsid w:val="004E5A81"/>
    <w:rsid w:val="004E5CF5"/>
    <w:rsid w:val="004E5FA7"/>
    <w:rsid w:val="004E6840"/>
    <w:rsid w:val="004E7A8E"/>
    <w:rsid w:val="004E7F1D"/>
    <w:rsid w:val="004E7FD0"/>
    <w:rsid w:val="004F0B24"/>
    <w:rsid w:val="004F288A"/>
    <w:rsid w:val="004F36F6"/>
    <w:rsid w:val="004F52A5"/>
    <w:rsid w:val="004F5D3A"/>
    <w:rsid w:val="004F6412"/>
    <w:rsid w:val="004F7758"/>
    <w:rsid w:val="005009BB"/>
    <w:rsid w:val="00500E1A"/>
    <w:rsid w:val="00501525"/>
    <w:rsid w:val="00502409"/>
    <w:rsid w:val="0050337B"/>
    <w:rsid w:val="0050461D"/>
    <w:rsid w:val="00504699"/>
    <w:rsid w:val="0050631F"/>
    <w:rsid w:val="00506C49"/>
    <w:rsid w:val="0050710C"/>
    <w:rsid w:val="005103DA"/>
    <w:rsid w:val="00510A4D"/>
    <w:rsid w:val="00511762"/>
    <w:rsid w:val="00512168"/>
    <w:rsid w:val="005122E9"/>
    <w:rsid w:val="005126B8"/>
    <w:rsid w:val="00512A25"/>
    <w:rsid w:val="00513098"/>
    <w:rsid w:val="00513467"/>
    <w:rsid w:val="0051358F"/>
    <w:rsid w:val="00514C16"/>
    <w:rsid w:val="00515764"/>
    <w:rsid w:val="0051577C"/>
    <w:rsid w:val="00515DF3"/>
    <w:rsid w:val="005161EA"/>
    <w:rsid w:val="00516378"/>
    <w:rsid w:val="0051696C"/>
    <w:rsid w:val="00520105"/>
    <w:rsid w:val="00520722"/>
    <w:rsid w:val="0052086C"/>
    <w:rsid w:val="00520922"/>
    <w:rsid w:val="00520AAC"/>
    <w:rsid w:val="00520FDC"/>
    <w:rsid w:val="00522062"/>
    <w:rsid w:val="0052214E"/>
    <w:rsid w:val="005232DA"/>
    <w:rsid w:val="005238B9"/>
    <w:rsid w:val="00524023"/>
    <w:rsid w:val="00524771"/>
    <w:rsid w:val="0052612D"/>
    <w:rsid w:val="00527C11"/>
    <w:rsid w:val="00530468"/>
    <w:rsid w:val="00531C1C"/>
    <w:rsid w:val="00532808"/>
    <w:rsid w:val="00533731"/>
    <w:rsid w:val="00533EEA"/>
    <w:rsid w:val="00533F2C"/>
    <w:rsid w:val="00534E41"/>
    <w:rsid w:val="0053580E"/>
    <w:rsid w:val="00535CB9"/>
    <w:rsid w:val="00536149"/>
    <w:rsid w:val="005372E4"/>
    <w:rsid w:val="00537535"/>
    <w:rsid w:val="00540523"/>
    <w:rsid w:val="0054196E"/>
    <w:rsid w:val="005419A5"/>
    <w:rsid w:val="00541EE5"/>
    <w:rsid w:val="00542AF1"/>
    <w:rsid w:val="0054372C"/>
    <w:rsid w:val="005438A4"/>
    <w:rsid w:val="00543C8D"/>
    <w:rsid w:val="00543D5F"/>
    <w:rsid w:val="00543EA1"/>
    <w:rsid w:val="00544765"/>
    <w:rsid w:val="00544D9B"/>
    <w:rsid w:val="005457E1"/>
    <w:rsid w:val="00546E24"/>
    <w:rsid w:val="00550888"/>
    <w:rsid w:val="00551C17"/>
    <w:rsid w:val="00552528"/>
    <w:rsid w:val="00553058"/>
    <w:rsid w:val="0055368A"/>
    <w:rsid w:val="005538EC"/>
    <w:rsid w:val="00554DE8"/>
    <w:rsid w:val="00557AEE"/>
    <w:rsid w:val="00557C88"/>
    <w:rsid w:val="00560143"/>
    <w:rsid w:val="00560AFD"/>
    <w:rsid w:val="00560F65"/>
    <w:rsid w:val="00561159"/>
    <w:rsid w:val="00561819"/>
    <w:rsid w:val="00561A1E"/>
    <w:rsid w:val="00562779"/>
    <w:rsid w:val="00562C07"/>
    <w:rsid w:val="005645CE"/>
    <w:rsid w:val="00564FBA"/>
    <w:rsid w:val="005662D3"/>
    <w:rsid w:val="00566464"/>
    <w:rsid w:val="00566EE6"/>
    <w:rsid w:val="00567525"/>
    <w:rsid w:val="00570231"/>
    <w:rsid w:val="00570518"/>
    <w:rsid w:val="00570AC7"/>
    <w:rsid w:val="0057149F"/>
    <w:rsid w:val="005718E7"/>
    <w:rsid w:val="00571D16"/>
    <w:rsid w:val="00572ECE"/>
    <w:rsid w:val="00573021"/>
    <w:rsid w:val="00573124"/>
    <w:rsid w:val="0057479E"/>
    <w:rsid w:val="00574F95"/>
    <w:rsid w:val="00575B93"/>
    <w:rsid w:val="00576498"/>
    <w:rsid w:val="00576E46"/>
    <w:rsid w:val="00576F1D"/>
    <w:rsid w:val="005776AC"/>
    <w:rsid w:val="00580703"/>
    <w:rsid w:val="0058075B"/>
    <w:rsid w:val="00580843"/>
    <w:rsid w:val="00580DFF"/>
    <w:rsid w:val="00580E93"/>
    <w:rsid w:val="00581F57"/>
    <w:rsid w:val="005825CD"/>
    <w:rsid w:val="00583605"/>
    <w:rsid w:val="00583EE2"/>
    <w:rsid w:val="005857BF"/>
    <w:rsid w:val="00585E9E"/>
    <w:rsid w:val="00586F26"/>
    <w:rsid w:val="00590708"/>
    <w:rsid w:val="00590DAD"/>
    <w:rsid w:val="00592399"/>
    <w:rsid w:val="0059252C"/>
    <w:rsid w:val="00593C70"/>
    <w:rsid w:val="00595027"/>
    <w:rsid w:val="00595BDD"/>
    <w:rsid w:val="00595EE2"/>
    <w:rsid w:val="00596A83"/>
    <w:rsid w:val="00596EBD"/>
    <w:rsid w:val="00597283"/>
    <w:rsid w:val="00597702"/>
    <w:rsid w:val="00597E58"/>
    <w:rsid w:val="00597E6B"/>
    <w:rsid w:val="005A04DA"/>
    <w:rsid w:val="005A1A32"/>
    <w:rsid w:val="005A2B01"/>
    <w:rsid w:val="005A369A"/>
    <w:rsid w:val="005A795C"/>
    <w:rsid w:val="005A7BBD"/>
    <w:rsid w:val="005B07BD"/>
    <w:rsid w:val="005B0B7E"/>
    <w:rsid w:val="005B0BDD"/>
    <w:rsid w:val="005B1AB0"/>
    <w:rsid w:val="005B1D41"/>
    <w:rsid w:val="005B2179"/>
    <w:rsid w:val="005B2560"/>
    <w:rsid w:val="005B3315"/>
    <w:rsid w:val="005B3B79"/>
    <w:rsid w:val="005B560D"/>
    <w:rsid w:val="005C10A8"/>
    <w:rsid w:val="005C16BF"/>
    <w:rsid w:val="005C17B7"/>
    <w:rsid w:val="005C27A2"/>
    <w:rsid w:val="005C4859"/>
    <w:rsid w:val="005C5480"/>
    <w:rsid w:val="005C5C55"/>
    <w:rsid w:val="005C6323"/>
    <w:rsid w:val="005C7E50"/>
    <w:rsid w:val="005D047F"/>
    <w:rsid w:val="005D0569"/>
    <w:rsid w:val="005D0753"/>
    <w:rsid w:val="005D07C8"/>
    <w:rsid w:val="005D09AC"/>
    <w:rsid w:val="005D0FC4"/>
    <w:rsid w:val="005D19E5"/>
    <w:rsid w:val="005D1B32"/>
    <w:rsid w:val="005D391D"/>
    <w:rsid w:val="005D43A1"/>
    <w:rsid w:val="005D453C"/>
    <w:rsid w:val="005D4642"/>
    <w:rsid w:val="005D62C0"/>
    <w:rsid w:val="005D65BF"/>
    <w:rsid w:val="005D6FD2"/>
    <w:rsid w:val="005D71A6"/>
    <w:rsid w:val="005D73B2"/>
    <w:rsid w:val="005D772D"/>
    <w:rsid w:val="005D7B72"/>
    <w:rsid w:val="005E0077"/>
    <w:rsid w:val="005E071B"/>
    <w:rsid w:val="005E212F"/>
    <w:rsid w:val="005E2C44"/>
    <w:rsid w:val="005E34C2"/>
    <w:rsid w:val="005E38F9"/>
    <w:rsid w:val="005E5982"/>
    <w:rsid w:val="005E68A4"/>
    <w:rsid w:val="005E6939"/>
    <w:rsid w:val="005E6962"/>
    <w:rsid w:val="005E6C9D"/>
    <w:rsid w:val="005F0104"/>
    <w:rsid w:val="005F040A"/>
    <w:rsid w:val="005F20DA"/>
    <w:rsid w:val="005F2217"/>
    <w:rsid w:val="005F34EF"/>
    <w:rsid w:val="005F63B4"/>
    <w:rsid w:val="005F77F3"/>
    <w:rsid w:val="005F793F"/>
    <w:rsid w:val="005F7D78"/>
    <w:rsid w:val="0060053D"/>
    <w:rsid w:val="0060279D"/>
    <w:rsid w:val="00602D98"/>
    <w:rsid w:val="0060350E"/>
    <w:rsid w:val="00603B01"/>
    <w:rsid w:val="00603D04"/>
    <w:rsid w:val="00603F09"/>
    <w:rsid w:val="00604D60"/>
    <w:rsid w:val="0060634F"/>
    <w:rsid w:val="0060740B"/>
    <w:rsid w:val="00610D01"/>
    <w:rsid w:val="0061113F"/>
    <w:rsid w:val="0061134B"/>
    <w:rsid w:val="00611BB5"/>
    <w:rsid w:val="006120B1"/>
    <w:rsid w:val="006124A0"/>
    <w:rsid w:val="00614345"/>
    <w:rsid w:val="006146C5"/>
    <w:rsid w:val="00616233"/>
    <w:rsid w:val="00616901"/>
    <w:rsid w:val="00616E15"/>
    <w:rsid w:val="00616F51"/>
    <w:rsid w:val="00617426"/>
    <w:rsid w:val="00617D9A"/>
    <w:rsid w:val="006204A8"/>
    <w:rsid w:val="00620A41"/>
    <w:rsid w:val="00623183"/>
    <w:rsid w:val="00625516"/>
    <w:rsid w:val="00625BE1"/>
    <w:rsid w:val="0063154E"/>
    <w:rsid w:val="00631807"/>
    <w:rsid w:val="006327F1"/>
    <w:rsid w:val="00633096"/>
    <w:rsid w:val="006350C2"/>
    <w:rsid w:val="0063525B"/>
    <w:rsid w:val="0063617B"/>
    <w:rsid w:val="006365D7"/>
    <w:rsid w:val="006375A2"/>
    <w:rsid w:val="00637881"/>
    <w:rsid w:val="0063799D"/>
    <w:rsid w:val="00637AAA"/>
    <w:rsid w:val="00640056"/>
    <w:rsid w:val="00641D12"/>
    <w:rsid w:val="00642E62"/>
    <w:rsid w:val="0064301D"/>
    <w:rsid w:val="0064363B"/>
    <w:rsid w:val="006504F7"/>
    <w:rsid w:val="006505B0"/>
    <w:rsid w:val="00650D60"/>
    <w:rsid w:val="00651056"/>
    <w:rsid w:val="00652936"/>
    <w:rsid w:val="006545B1"/>
    <w:rsid w:val="006552E8"/>
    <w:rsid w:val="0065642B"/>
    <w:rsid w:val="00657051"/>
    <w:rsid w:val="006609BA"/>
    <w:rsid w:val="00660C39"/>
    <w:rsid w:val="00660F4B"/>
    <w:rsid w:val="00665355"/>
    <w:rsid w:val="00666BB0"/>
    <w:rsid w:val="006675E6"/>
    <w:rsid w:val="006676B9"/>
    <w:rsid w:val="00670C31"/>
    <w:rsid w:val="00671CD2"/>
    <w:rsid w:val="00672040"/>
    <w:rsid w:val="0067248A"/>
    <w:rsid w:val="006745B0"/>
    <w:rsid w:val="006748C1"/>
    <w:rsid w:val="00674FAA"/>
    <w:rsid w:val="006760FD"/>
    <w:rsid w:val="0067672A"/>
    <w:rsid w:val="00676C51"/>
    <w:rsid w:val="00677D05"/>
    <w:rsid w:val="00677E9E"/>
    <w:rsid w:val="00677EFD"/>
    <w:rsid w:val="00680804"/>
    <w:rsid w:val="0068224B"/>
    <w:rsid w:val="006824A2"/>
    <w:rsid w:val="00682593"/>
    <w:rsid w:val="0068266B"/>
    <w:rsid w:val="00683A6A"/>
    <w:rsid w:val="006847FA"/>
    <w:rsid w:val="0068515A"/>
    <w:rsid w:val="00685BCE"/>
    <w:rsid w:val="00686325"/>
    <w:rsid w:val="00686940"/>
    <w:rsid w:val="00687347"/>
    <w:rsid w:val="00687401"/>
    <w:rsid w:val="0069106F"/>
    <w:rsid w:val="00692047"/>
    <w:rsid w:val="006924E3"/>
    <w:rsid w:val="00692ACD"/>
    <w:rsid w:val="0069305C"/>
    <w:rsid w:val="00693B5D"/>
    <w:rsid w:val="0069404D"/>
    <w:rsid w:val="00695A90"/>
    <w:rsid w:val="0069730C"/>
    <w:rsid w:val="006A0E51"/>
    <w:rsid w:val="006A0F37"/>
    <w:rsid w:val="006A1A7D"/>
    <w:rsid w:val="006A1FD4"/>
    <w:rsid w:val="006A282F"/>
    <w:rsid w:val="006A5AE4"/>
    <w:rsid w:val="006A5EE2"/>
    <w:rsid w:val="006A605B"/>
    <w:rsid w:val="006A6C30"/>
    <w:rsid w:val="006A7409"/>
    <w:rsid w:val="006A7655"/>
    <w:rsid w:val="006B0BE5"/>
    <w:rsid w:val="006B11B5"/>
    <w:rsid w:val="006B4321"/>
    <w:rsid w:val="006B474B"/>
    <w:rsid w:val="006B5E46"/>
    <w:rsid w:val="006B6D1F"/>
    <w:rsid w:val="006C031D"/>
    <w:rsid w:val="006C0ECB"/>
    <w:rsid w:val="006C1629"/>
    <w:rsid w:val="006C1EB2"/>
    <w:rsid w:val="006C2496"/>
    <w:rsid w:val="006C2562"/>
    <w:rsid w:val="006C3788"/>
    <w:rsid w:val="006C3E7C"/>
    <w:rsid w:val="006C466E"/>
    <w:rsid w:val="006D0C87"/>
    <w:rsid w:val="006D25BC"/>
    <w:rsid w:val="006D3B2D"/>
    <w:rsid w:val="006D488E"/>
    <w:rsid w:val="006D549E"/>
    <w:rsid w:val="006D6603"/>
    <w:rsid w:val="006D668B"/>
    <w:rsid w:val="006D682C"/>
    <w:rsid w:val="006D7342"/>
    <w:rsid w:val="006D74C2"/>
    <w:rsid w:val="006E06E8"/>
    <w:rsid w:val="006E18B0"/>
    <w:rsid w:val="006E2374"/>
    <w:rsid w:val="006E5F07"/>
    <w:rsid w:val="006E5FD0"/>
    <w:rsid w:val="006E7FB3"/>
    <w:rsid w:val="006E7FF4"/>
    <w:rsid w:val="006F18A4"/>
    <w:rsid w:val="006F19AD"/>
    <w:rsid w:val="006F227B"/>
    <w:rsid w:val="006F3736"/>
    <w:rsid w:val="006F3801"/>
    <w:rsid w:val="006F3A81"/>
    <w:rsid w:val="006F74FD"/>
    <w:rsid w:val="006F7BFE"/>
    <w:rsid w:val="007001EA"/>
    <w:rsid w:val="00700E5E"/>
    <w:rsid w:val="00702840"/>
    <w:rsid w:val="00702C79"/>
    <w:rsid w:val="00704F78"/>
    <w:rsid w:val="00705060"/>
    <w:rsid w:val="0070516C"/>
    <w:rsid w:val="007055B5"/>
    <w:rsid w:val="0070669B"/>
    <w:rsid w:val="007077A3"/>
    <w:rsid w:val="007100C8"/>
    <w:rsid w:val="0071036E"/>
    <w:rsid w:val="00710DD2"/>
    <w:rsid w:val="007125F5"/>
    <w:rsid w:val="007144DF"/>
    <w:rsid w:val="00714904"/>
    <w:rsid w:val="007149D8"/>
    <w:rsid w:val="00714D0C"/>
    <w:rsid w:val="0071557E"/>
    <w:rsid w:val="007161E4"/>
    <w:rsid w:val="00716682"/>
    <w:rsid w:val="007169A8"/>
    <w:rsid w:val="00716D80"/>
    <w:rsid w:val="00721254"/>
    <w:rsid w:val="007218D2"/>
    <w:rsid w:val="00722456"/>
    <w:rsid w:val="00726E98"/>
    <w:rsid w:val="00730C8D"/>
    <w:rsid w:val="00731951"/>
    <w:rsid w:val="00731A71"/>
    <w:rsid w:val="00731DE8"/>
    <w:rsid w:val="0073417E"/>
    <w:rsid w:val="00734FD5"/>
    <w:rsid w:val="00736440"/>
    <w:rsid w:val="00740A65"/>
    <w:rsid w:val="00740EAE"/>
    <w:rsid w:val="00742511"/>
    <w:rsid w:val="007432A1"/>
    <w:rsid w:val="007446A5"/>
    <w:rsid w:val="00744C3F"/>
    <w:rsid w:val="00746B74"/>
    <w:rsid w:val="00746D1A"/>
    <w:rsid w:val="00751D00"/>
    <w:rsid w:val="00751E69"/>
    <w:rsid w:val="00751F7A"/>
    <w:rsid w:val="00752637"/>
    <w:rsid w:val="007529FC"/>
    <w:rsid w:val="00752CC4"/>
    <w:rsid w:val="00753CB8"/>
    <w:rsid w:val="00753FF5"/>
    <w:rsid w:val="00754585"/>
    <w:rsid w:val="00755ABE"/>
    <w:rsid w:val="00756E2D"/>
    <w:rsid w:val="007573B0"/>
    <w:rsid w:val="007619F4"/>
    <w:rsid w:val="00762EBF"/>
    <w:rsid w:val="007636DF"/>
    <w:rsid w:val="00763B8A"/>
    <w:rsid w:val="00763C8B"/>
    <w:rsid w:val="00765551"/>
    <w:rsid w:val="00766212"/>
    <w:rsid w:val="00766E6B"/>
    <w:rsid w:val="00767B40"/>
    <w:rsid w:val="00767DB5"/>
    <w:rsid w:val="007700DF"/>
    <w:rsid w:val="00770438"/>
    <w:rsid w:val="00770FF5"/>
    <w:rsid w:val="00771E6B"/>
    <w:rsid w:val="0077402E"/>
    <w:rsid w:val="00774F91"/>
    <w:rsid w:val="007755F8"/>
    <w:rsid w:val="00776FC9"/>
    <w:rsid w:val="0077732A"/>
    <w:rsid w:val="00777A34"/>
    <w:rsid w:val="00777EF7"/>
    <w:rsid w:val="00780F60"/>
    <w:rsid w:val="00781386"/>
    <w:rsid w:val="0078244F"/>
    <w:rsid w:val="00783605"/>
    <w:rsid w:val="00783F9E"/>
    <w:rsid w:val="00784AE7"/>
    <w:rsid w:val="00785F6A"/>
    <w:rsid w:val="00787237"/>
    <w:rsid w:val="00787B6F"/>
    <w:rsid w:val="00791513"/>
    <w:rsid w:val="0079156A"/>
    <w:rsid w:val="0079196C"/>
    <w:rsid w:val="0079299C"/>
    <w:rsid w:val="00792AC3"/>
    <w:rsid w:val="00793E03"/>
    <w:rsid w:val="007949EA"/>
    <w:rsid w:val="007954A2"/>
    <w:rsid w:val="00796019"/>
    <w:rsid w:val="00796D8A"/>
    <w:rsid w:val="0079733A"/>
    <w:rsid w:val="007974BD"/>
    <w:rsid w:val="007A0756"/>
    <w:rsid w:val="007A1582"/>
    <w:rsid w:val="007A20CF"/>
    <w:rsid w:val="007A2D38"/>
    <w:rsid w:val="007A4294"/>
    <w:rsid w:val="007A44B9"/>
    <w:rsid w:val="007A65FB"/>
    <w:rsid w:val="007A70F5"/>
    <w:rsid w:val="007A7D75"/>
    <w:rsid w:val="007B04DF"/>
    <w:rsid w:val="007B07DF"/>
    <w:rsid w:val="007B12EF"/>
    <w:rsid w:val="007B1E18"/>
    <w:rsid w:val="007B35B9"/>
    <w:rsid w:val="007B3D9C"/>
    <w:rsid w:val="007B3F87"/>
    <w:rsid w:val="007B4764"/>
    <w:rsid w:val="007B4DEA"/>
    <w:rsid w:val="007B5148"/>
    <w:rsid w:val="007B5A53"/>
    <w:rsid w:val="007B6AEE"/>
    <w:rsid w:val="007B6C03"/>
    <w:rsid w:val="007B7368"/>
    <w:rsid w:val="007C4B0A"/>
    <w:rsid w:val="007C56CC"/>
    <w:rsid w:val="007C5E53"/>
    <w:rsid w:val="007C5FC1"/>
    <w:rsid w:val="007C618D"/>
    <w:rsid w:val="007C75EB"/>
    <w:rsid w:val="007D2E99"/>
    <w:rsid w:val="007D3E09"/>
    <w:rsid w:val="007D4134"/>
    <w:rsid w:val="007D44B0"/>
    <w:rsid w:val="007D58D3"/>
    <w:rsid w:val="007D59ED"/>
    <w:rsid w:val="007D6021"/>
    <w:rsid w:val="007D6216"/>
    <w:rsid w:val="007E01D7"/>
    <w:rsid w:val="007E1EA3"/>
    <w:rsid w:val="007E2C9F"/>
    <w:rsid w:val="007E2DF9"/>
    <w:rsid w:val="007E351C"/>
    <w:rsid w:val="007E5732"/>
    <w:rsid w:val="007E5B99"/>
    <w:rsid w:val="007E63F4"/>
    <w:rsid w:val="007E6858"/>
    <w:rsid w:val="007E6A3A"/>
    <w:rsid w:val="007F0213"/>
    <w:rsid w:val="007F04E3"/>
    <w:rsid w:val="007F08DA"/>
    <w:rsid w:val="007F0CB6"/>
    <w:rsid w:val="007F3426"/>
    <w:rsid w:val="007F3464"/>
    <w:rsid w:val="007F3565"/>
    <w:rsid w:val="007F45E0"/>
    <w:rsid w:val="007F552E"/>
    <w:rsid w:val="007F5683"/>
    <w:rsid w:val="007F6281"/>
    <w:rsid w:val="007F6702"/>
    <w:rsid w:val="007F6DBD"/>
    <w:rsid w:val="007F7353"/>
    <w:rsid w:val="00800A84"/>
    <w:rsid w:val="008018BC"/>
    <w:rsid w:val="00802DA3"/>
    <w:rsid w:val="00803DA5"/>
    <w:rsid w:val="0080758F"/>
    <w:rsid w:val="008078F9"/>
    <w:rsid w:val="00807FBF"/>
    <w:rsid w:val="008103C6"/>
    <w:rsid w:val="00810E34"/>
    <w:rsid w:val="00811100"/>
    <w:rsid w:val="008111AD"/>
    <w:rsid w:val="008118CA"/>
    <w:rsid w:val="0081373C"/>
    <w:rsid w:val="00813B31"/>
    <w:rsid w:val="00815485"/>
    <w:rsid w:val="00816827"/>
    <w:rsid w:val="00817606"/>
    <w:rsid w:val="00820CE6"/>
    <w:rsid w:val="00821281"/>
    <w:rsid w:val="00821958"/>
    <w:rsid w:val="0082257C"/>
    <w:rsid w:val="00823784"/>
    <w:rsid w:val="00823F4C"/>
    <w:rsid w:val="0082455C"/>
    <w:rsid w:val="00826A16"/>
    <w:rsid w:val="008277D8"/>
    <w:rsid w:val="00827875"/>
    <w:rsid w:val="0083015C"/>
    <w:rsid w:val="00830C80"/>
    <w:rsid w:val="008318B1"/>
    <w:rsid w:val="008325F1"/>
    <w:rsid w:val="00832A3B"/>
    <w:rsid w:val="00832A52"/>
    <w:rsid w:val="00833612"/>
    <w:rsid w:val="00834250"/>
    <w:rsid w:val="00835166"/>
    <w:rsid w:val="00835480"/>
    <w:rsid w:val="008355D6"/>
    <w:rsid w:val="008366AC"/>
    <w:rsid w:val="00837224"/>
    <w:rsid w:val="00840AB9"/>
    <w:rsid w:val="0084111C"/>
    <w:rsid w:val="00841409"/>
    <w:rsid w:val="008414AE"/>
    <w:rsid w:val="00841660"/>
    <w:rsid w:val="0084238D"/>
    <w:rsid w:val="00842AF2"/>
    <w:rsid w:val="00842F40"/>
    <w:rsid w:val="00846DF8"/>
    <w:rsid w:val="00847027"/>
    <w:rsid w:val="00847C0A"/>
    <w:rsid w:val="00850533"/>
    <w:rsid w:val="00850ACE"/>
    <w:rsid w:val="0085118E"/>
    <w:rsid w:val="008517CE"/>
    <w:rsid w:val="00852784"/>
    <w:rsid w:val="008529BE"/>
    <w:rsid w:val="00853B39"/>
    <w:rsid w:val="00854818"/>
    <w:rsid w:val="00855690"/>
    <w:rsid w:val="00855FE7"/>
    <w:rsid w:val="0085657D"/>
    <w:rsid w:val="00857101"/>
    <w:rsid w:val="00857349"/>
    <w:rsid w:val="00857FD0"/>
    <w:rsid w:val="00862812"/>
    <w:rsid w:val="00862BB8"/>
    <w:rsid w:val="00863099"/>
    <w:rsid w:val="008633FD"/>
    <w:rsid w:val="00863889"/>
    <w:rsid w:val="00863C65"/>
    <w:rsid w:val="00863E23"/>
    <w:rsid w:val="00863F94"/>
    <w:rsid w:val="0086467F"/>
    <w:rsid w:val="008646D2"/>
    <w:rsid w:val="00866522"/>
    <w:rsid w:val="00866B32"/>
    <w:rsid w:val="00867393"/>
    <w:rsid w:val="00867B6A"/>
    <w:rsid w:val="0087092A"/>
    <w:rsid w:val="00870FB3"/>
    <w:rsid w:val="00871BB1"/>
    <w:rsid w:val="00871E3E"/>
    <w:rsid w:val="00872264"/>
    <w:rsid w:val="00872779"/>
    <w:rsid w:val="00872BAA"/>
    <w:rsid w:val="00873EE3"/>
    <w:rsid w:val="00874427"/>
    <w:rsid w:val="008744D0"/>
    <w:rsid w:val="008754EF"/>
    <w:rsid w:val="008758A3"/>
    <w:rsid w:val="00875AF5"/>
    <w:rsid w:val="00876F5D"/>
    <w:rsid w:val="008810BF"/>
    <w:rsid w:val="00881ED0"/>
    <w:rsid w:val="00881EF7"/>
    <w:rsid w:val="00882588"/>
    <w:rsid w:val="00882BD8"/>
    <w:rsid w:val="00882E67"/>
    <w:rsid w:val="0088485B"/>
    <w:rsid w:val="0088575C"/>
    <w:rsid w:val="00885E61"/>
    <w:rsid w:val="00886198"/>
    <w:rsid w:val="008868D6"/>
    <w:rsid w:val="00886C71"/>
    <w:rsid w:val="00887D9A"/>
    <w:rsid w:val="00890568"/>
    <w:rsid w:val="008913E6"/>
    <w:rsid w:val="00891A23"/>
    <w:rsid w:val="0089311A"/>
    <w:rsid w:val="00893A65"/>
    <w:rsid w:val="008A0695"/>
    <w:rsid w:val="008A0E28"/>
    <w:rsid w:val="008A183C"/>
    <w:rsid w:val="008A2923"/>
    <w:rsid w:val="008A2CC4"/>
    <w:rsid w:val="008A31A9"/>
    <w:rsid w:val="008A4887"/>
    <w:rsid w:val="008A4E22"/>
    <w:rsid w:val="008A579A"/>
    <w:rsid w:val="008A5A58"/>
    <w:rsid w:val="008A65CA"/>
    <w:rsid w:val="008A673A"/>
    <w:rsid w:val="008A67DC"/>
    <w:rsid w:val="008A71F6"/>
    <w:rsid w:val="008A741F"/>
    <w:rsid w:val="008B09BA"/>
    <w:rsid w:val="008B0CE3"/>
    <w:rsid w:val="008B12F6"/>
    <w:rsid w:val="008B17C5"/>
    <w:rsid w:val="008B1B6C"/>
    <w:rsid w:val="008B24FC"/>
    <w:rsid w:val="008B2988"/>
    <w:rsid w:val="008B3960"/>
    <w:rsid w:val="008B3AFD"/>
    <w:rsid w:val="008B644D"/>
    <w:rsid w:val="008B6769"/>
    <w:rsid w:val="008B698A"/>
    <w:rsid w:val="008B716C"/>
    <w:rsid w:val="008B719A"/>
    <w:rsid w:val="008B74DE"/>
    <w:rsid w:val="008C0376"/>
    <w:rsid w:val="008C065A"/>
    <w:rsid w:val="008C18EA"/>
    <w:rsid w:val="008C1E09"/>
    <w:rsid w:val="008C2AD6"/>
    <w:rsid w:val="008C3F17"/>
    <w:rsid w:val="008C4D14"/>
    <w:rsid w:val="008C523E"/>
    <w:rsid w:val="008C56E4"/>
    <w:rsid w:val="008C5BA8"/>
    <w:rsid w:val="008C6081"/>
    <w:rsid w:val="008D0E46"/>
    <w:rsid w:val="008D0F8B"/>
    <w:rsid w:val="008D2E1E"/>
    <w:rsid w:val="008D35D8"/>
    <w:rsid w:val="008D3837"/>
    <w:rsid w:val="008D47D4"/>
    <w:rsid w:val="008D6AA6"/>
    <w:rsid w:val="008D6F63"/>
    <w:rsid w:val="008D756A"/>
    <w:rsid w:val="008D77A9"/>
    <w:rsid w:val="008D7C5A"/>
    <w:rsid w:val="008E00C9"/>
    <w:rsid w:val="008E1F59"/>
    <w:rsid w:val="008E226D"/>
    <w:rsid w:val="008E22E4"/>
    <w:rsid w:val="008E2690"/>
    <w:rsid w:val="008E26D3"/>
    <w:rsid w:val="008E2E62"/>
    <w:rsid w:val="008E3212"/>
    <w:rsid w:val="008E3C65"/>
    <w:rsid w:val="008E4EEE"/>
    <w:rsid w:val="008E4FB0"/>
    <w:rsid w:val="008E66B3"/>
    <w:rsid w:val="008E6D85"/>
    <w:rsid w:val="008E799B"/>
    <w:rsid w:val="008F0A34"/>
    <w:rsid w:val="008F1A15"/>
    <w:rsid w:val="008F296C"/>
    <w:rsid w:val="008F2CBE"/>
    <w:rsid w:val="008F2EF9"/>
    <w:rsid w:val="008F2FE4"/>
    <w:rsid w:val="008F3467"/>
    <w:rsid w:val="008F36EF"/>
    <w:rsid w:val="008F3AAE"/>
    <w:rsid w:val="008F3DEC"/>
    <w:rsid w:val="008F44A8"/>
    <w:rsid w:val="008F49FD"/>
    <w:rsid w:val="008F5439"/>
    <w:rsid w:val="008F7CA1"/>
    <w:rsid w:val="00900068"/>
    <w:rsid w:val="009012A3"/>
    <w:rsid w:val="00901743"/>
    <w:rsid w:val="00902A85"/>
    <w:rsid w:val="00902A8C"/>
    <w:rsid w:val="009038B9"/>
    <w:rsid w:val="00903CAC"/>
    <w:rsid w:val="0090412C"/>
    <w:rsid w:val="0090516E"/>
    <w:rsid w:val="00906D34"/>
    <w:rsid w:val="00907E12"/>
    <w:rsid w:val="00910D8F"/>
    <w:rsid w:val="009118BF"/>
    <w:rsid w:val="009123E7"/>
    <w:rsid w:val="00912888"/>
    <w:rsid w:val="009133AA"/>
    <w:rsid w:val="00913757"/>
    <w:rsid w:val="0091458D"/>
    <w:rsid w:val="00914FC0"/>
    <w:rsid w:val="00917F5E"/>
    <w:rsid w:val="00921E50"/>
    <w:rsid w:val="00923601"/>
    <w:rsid w:val="00926958"/>
    <w:rsid w:val="009272D3"/>
    <w:rsid w:val="0093082B"/>
    <w:rsid w:val="0093088B"/>
    <w:rsid w:val="009317D1"/>
    <w:rsid w:val="009325F9"/>
    <w:rsid w:val="00932BF8"/>
    <w:rsid w:val="009339C4"/>
    <w:rsid w:val="0093542C"/>
    <w:rsid w:val="00935AF0"/>
    <w:rsid w:val="009418D7"/>
    <w:rsid w:val="00941B9A"/>
    <w:rsid w:val="00941CD6"/>
    <w:rsid w:val="0094445C"/>
    <w:rsid w:val="00944FDB"/>
    <w:rsid w:val="00945389"/>
    <w:rsid w:val="00945D48"/>
    <w:rsid w:val="00947212"/>
    <w:rsid w:val="00950C59"/>
    <w:rsid w:val="00950EA3"/>
    <w:rsid w:val="0095186D"/>
    <w:rsid w:val="00952550"/>
    <w:rsid w:val="00952DA0"/>
    <w:rsid w:val="00953328"/>
    <w:rsid w:val="009533F2"/>
    <w:rsid w:val="009546C4"/>
    <w:rsid w:val="009547C1"/>
    <w:rsid w:val="00955441"/>
    <w:rsid w:val="00955A42"/>
    <w:rsid w:val="0095655E"/>
    <w:rsid w:val="00957598"/>
    <w:rsid w:val="0096048D"/>
    <w:rsid w:val="009615B6"/>
    <w:rsid w:val="0096197F"/>
    <w:rsid w:val="00961B84"/>
    <w:rsid w:val="0096225F"/>
    <w:rsid w:val="00962F1C"/>
    <w:rsid w:val="009633A9"/>
    <w:rsid w:val="00963459"/>
    <w:rsid w:val="0096372E"/>
    <w:rsid w:val="0096575D"/>
    <w:rsid w:val="0096584A"/>
    <w:rsid w:val="00965B2B"/>
    <w:rsid w:val="00965D21"/>
    <w:rsid w:val="00966C26"/>
    <w:rsid w:val="009679EC"/>
    <w:rsid w:val="00971027"/>
    <w:rsid w:val="009722B4"/>
    <w:rsid w:val="00974094"/>
    <w:rsid w:val="00974F85"/>
    <w:rsid w:val="00975B58"/>
    <w:rsid w:val="00975D9F"/>
    <w:rsid w:val="00980800"/>
    <w:rsid w:val="00981756"/>
    <w:rsid w:val="00981FCB"/>
    <w:rsid w:val="00982CF1"/>
    <w:rsid w:val="0098325A"/>
    <w:rsid w:val="0098362D"/>
    <w:rsid w:val="00983B76"/>
    <w:rsid w:val="00983C27"/>
    <w:rsid w:val="00984FDC"/>
    <w:rsid w:val="0098517E"/>
    <w:rsid w:val="00985523"/>
    <w:rsid w:val="00985F1B"/>
    <w:rsid w:val="00985FFF"/>
    <w:rsid w:val="009900DC"/>
    <w:rsid w:val="00991C52"/>
    <w:rsid w:val="0099491C"/>
    <w:rsid w:val="00996A12"/>
    <w:rsid w:val="009A15BF"/>
    <w:rsid w:val="009A1D41"/>
    <w:rsid w:val="009A470F"/>
    <w:rsid w:val="009A4C46"/>
    <w:rsid w:val="009A725F"/>
    <w:rsid w:val="009A759C"/>
    <w:rsid w:val="009B133A"/>
    <w:rsid w:val="009B13D6"/>
    <w:rsid w:val="009B1C5F"/>
    <w:rsid w:val="009B215F"/>
    <w:rsid w:val="009B3F13"/>
    <w:rsid w:val="009B4411"/>
    <w:rsid w:val="009B4DBA"/>
    <w:rsid w:val="009C04E4"/>
    <w:rsid w:val="009C057C"/>
    <w:rsid w:val="009C0A0F"/>
    <w:rsid w:val="009C0C1D"/>
    <w:rsid w:val="009C11BE"/>
    <w:rsid w:val="009C1E2A"/>
    <w:rsid w:val="009C2234"/>
    <w:rsid w:val="009C401F"/>
    <w:rsid w:val="009C4F8B"/>
    <w:rsid w:val="009C5136"/>
    <w:rsid w:val="009C53B7"/>
    <w:rsid w:val="009C615A"/>
    <w:rsid w:val="009C7C33"/>
    <w:rsid w:val="009D024D"/>
    <w:rsid w:val="009D0D24"/>
    <w:rsid w:val="009D1373"/>
    <w:rsid w:val="009D1498"/>
    <w:rsid w:val="009D15FB"/>
    <w:rsid w:val="009D1D7C"/>
    <w:rsid w:val="009D2E0C"/>
    <w:rsid w:val="009D453E"/>
    <w:rsid w:val="009D6558"/>
    <w:rsid w:val="009D68CC"/>
    <w:rsid w:val="009D6A62"/>
    <w:rsid w:val="009D6BD4"/>
    <w:rsid w:val="009D70E7"/>
    <w:rsid w:val="009E3267"/>
    <w:rsid w:val="009E3B48"/>
    <w:rsid w:val="009E5A26"/>
    <w:rsid w:val="009F0553"/>
    <w:rsid w:val="009F12C9"/>
    <w:rsid w:val="009F1408"/>
    <w:rsid w:val="009F1D56"/>
    <w:rsid w:val="009F2F46"/>
    <w:rsid w:val="009F41B9"/>
    <w:rsid w:val="009F42B3"/>
    <w:rsid w:val="009F4EE7"/>
    <w:rsid w:val="009F5795"/>
    <w:rsid w:val="009F5FB2"/>
    <w:rsid w:val="009F619E"/>
    <w:rsid w:val="009F678B"/>
    <w:rsid w:val="00A01308"/>
    <w:rsid w:val="00A01820"/>
    <w:rsid w:val="00A01E4E"/>
    <w:rsid w:val="00A03350"/>
    <w:rsid w:val="00A03A7F"/>
    <w:rsid w:val="00A04A2E"/>
    <w:rsid w:val="00A05FD9"/>
    <w:rsid w:val="00A0758B"/>
    <w:rsid w:val="00A07C4C"/>
    <w:rsid w:val="00A1051D"/>
    <w:rsid w:val="00A112DA"/>
    <w:rsid w:val="00A120A3"/>
    <w:rsid w:val="00A12687"/>
    <w:rsid w:val="00A12A32"/>
    <w:rsid w:val="00A13A63"/>
    <w:rsid w:val="00A13FD6"/>
    <w:rsid w:val="00A155D0"/>
    <w:rsid w:val="00A15777"/>
    <w:rsid w:val="00A157EF"/>
    <w:rsid w:val="00A16200"/>
    <w:rsid w:val="00A20D9F"/>
    <w:rsid w:val="00A211E9"/>
    <w:rsid w:val="00A212C3"/>
    <w:rsid w:val="00A22F29"/>
    <w:rsid w:val="00A22FD6"/>
    <w:rsid w:val="00A2404E"/>
    <w:rsid w:val="00A2415C"/>
    <w:rsid w:val="00A24620"/>
    <w:rsid w:val="00A24811"/>
    <w:rsid w:val="00A25A3A"/>
    <w:rsid w:val="00A261B0"/>
    <w:rsid w:val="00A267B4"/>
    <w:rsid w:val="00A26824"/>
    <w:rsid w:val="00A27772"/>
    <w:rsid w:val="00A27B8A"/>
    <w:rsid w:val="00A30393"/>
    <w:rsid w:val="00A30544"/>
    <w:rsid w:val="00A31ED6"/>
    <w:rsid w:val="00A323E0"/>
    <w:rsid w:val="00A332E2"/>
    <w:rsid w:val="00A33B79"/>
    <w:rsid w:val="00A343BB"/>
    <w:rsid w:val="00A345E7"/>
    <w:rsid w:val="00A373FB"/>
    <w:rsid w:val="00A378C6"/>
    <w:rsid w:val="00A37EB4"/>
    <w:rsid w:val="00A405C6"/>
    <w:rsid w:val="00A4101A"/>
    <w:rsid w:val="00A421E4"/>
    <w:rsid w:val="00A43061"/>
    <w:rsid w:val="00A4371A"/>
    <w:rsid w:val="00A44B66"/>
    <w:rsid w:val="00A44F23"/>
    <w:rsid w:val="00A44F58"/>
    <w:rsid w:val="00A45145"/>
    <w:rsid w:val="00A462CE"/>
    <w:rsid w:val="00A46C30"/>
    <w:rsid w:val="00A4703E"/>
    <w:rsid w:val="00A477C3"/>
    <w:rsid w:val="00A47915"/>
    <w:rsid w:val="00A479CB"/>
    <w:rsid w:val="00A50F66"/>
    <w:rsid w:val="00A51515"/>
    <w:rsid w:val="00A52831"/>
    <w:rsid w:val="00A53463"/>
    <w:rsid w:val="00A53C97"/>
    <w:rsid w:val="00A5418D"/>
    <w:rsid w:val="00A5485D"/>
    <w:rsid w:val="00A54EB7"/>
    <w:rsid w:val="00A561A1"/>
    <w:rsid w:val="00A56430"/>
    <w:rsid w:val="00A5647C"/>
    <w:rsid w:val="00A56CBA"/>
    <w:rsid w:val="00A61692"/>
    <w:rsid w:val="00A616EB"/>
    <w:rsid w:val="00A61B22"/>
    <w:rsid w:val="00A632F7"/>
    <w:rsid w:val="00A63FA6"/>
    <w:rsid w:val="00A66458"/>
    <w:rsid w:val="00A67EDB"/>
    <w:rsid w:val="00A71A28"/>
    <w:rsid w:val="00A71C7D"/>
    <w:rsid w:val="00A7429A"/>
    <w:rsid w:val="00A76799"/>
    <w:rsid w:val="00A76C09"/>
    <w:rsid w:val="00A77204"/>
    <w:rsid w:val="00A774CB"/>
    <w:rsid w:val="00A806DD"/>
    <w:rsid w:val="00A80771"/>
    <w:rsid w:val="00A817ED"/>
    <w:rsid w:val="00A81DB1"/>
    <w:rsid w:val="00A82329"/>
    <w:rsid w:val="00A82419"/>
    <w:rsid w:val="00A82689"/>
    <w:rsid w:val="00A8284F"/>
    <w:rsid w:val="00A82A6C"/>
    <w:rsid w:val="00A858EB"/>
    <w:rsid w:val="00A86C59"/>
    <w:rsid w:val="00A87D96"/>
    <w:rsid w:val="00A901C0"/>
    <w:rsid w:val="00A90506"/>
    <w:rsid w:val="00A909E8"/>
    <w:rsid w:val="00A90AC6"/>
    <w:rsid w:val="00A91392"/>
    <w:rsid w:val="00A91D8B"/>
    <w:rsid w:val="00A92E6E"/>
    <w:rsid w:val="00A93FE6"/>
    <w:rsid w:val="00A94AC1"/>
    <w:rsid w:val="00A954BA"/>
    <w:rsid w:val="00A95E95"/>
    <w:rsid w:val="00A96011"/>
    <w:rsid w:val="00AA3183"/>
    <w:rsid w:val="00AA34A7"/>
    <w:rsid w:val="00AA36E8"/>
    <w:rsid w:val="00AA379E"/>
    <w:rsid w:val="00AA44FA"/>
    <w:rsid w:val="00AA4F84"/>
    <w:rsid w:val="00AA5C1C"/>
    <w:rsid w:val="00AA7E17"/>
    <w:rsid w:val="00AB05C7"/>
    <w:rsid w:val="00AB1AEA"/>
    <w:rsid w:val="00AB1C64"/>
    <w:rsid w:val="00AB4BAB"/>
    <w:rsid w:val="00AB4FEA"/>
    <w:rsid w:val="00AB5EC0"/>
    <w:rsid w:val="00AB6F9A"/>
    <w:rsid w:val="00AB765A"/>
    <w:rsid w:val="00AB7FF7"/>
    <w:rsid w:val="00AC076F"/>
    <w:rsid w:val="00AC1887"/>
    <w:rsid w:val="00AC1B9B"/>
    <w:rsid w:val="00AC260D"/>
    <w:rsid w:val="00AC280F"/>
    <w:rsid w:val="00AC2CC7"/>
    <w:rsid w:val="00AC5584"/>
    <w:rsid w:val="00AC5ACE"/>
    <w:rsid w:val="00AC5C1C"/>
    <w:rsid w:val="00AC6952"/>
    <w:rsid w:val="00AC6A56"/>
    <w:rsid w:val="00AC6E15"/>
    <w:rsid w:val="00AC7450"/>
    <w:rsid w:val="00AC760B"/>
    <w:rsid w:val="00AD004B"/>
    <w:rsid w:val="00AD074F"/>
    <w:rsid w:val="00AD10EA"/>
    <w:rsid w:val="00AD18FD"/>
    <w:rsid w:val="00AD1CA5"/>
    <w:rsid w:val="00AD21BD"/>
    <w:rsid w:val="00AD2E86"/>
    <w:rsid w:val="00AD367D"/>
    <w:rsid w:val="00AD5132"/>
    <w:rsid w:val="00AD5D6F"/>
    <w:rsid w:val="00AD60B4"/>
    <w:rsid w:val="00AD6241"/>
    <w:rsid w:val="00AD671D"/>
    <w:rsid w:val="00AD76AF"/>
    <w:rsid w:val="00AD7B87"/>
    <w:rsid w:val="00AE0E44"/>
    <w:rsid w:val="00AE0FE3"/>
    <w:rsid w:val="00AE1309"/>
    <w:rsid w:val="00AE29BF"/>
    <w:rsid w:val="00AE3078"/>
    <w:rsid w:val="00AE79D0"/>
    <w:rsid w:val="00AF103E"/>
    <w:rsid w:val="00AF1A41"/>
    <w:rsid w:val="00AF2001"/>
    <w:rsid w:val="00AF3AA6"/>
    <w:rsid w:val="00AF4121"/>
    <w:rsid w:val="00AF4A3D"/>
    <w:rsid w:val="00AF7BD1"/>
    <w:rsid w:val="00B00978"/>
    <w:rsid w:val="00B00CC2"/>
    <w:rsid w:val="00B01AEA"/>
    <w:rsid w:val="00B02380"/>
    <w:rsid w:val="00B024FB"/>
    <w:rsid w:val="00B03C4F"/>
    <w:rsid w:val="00B04429"/>
    <w:rsid w:val="00B045D3"/>
    <w:rsid w:val="00B04982"/>
    <w:rsid w:val="00B0585B"/>
    <w:rsid w:val="00B060FA"/>
    <w:rsid w:val="00B06A3E"/>
    <w:rsid w:val="00B1276D"/>
    <w:rsid w:val="00B12B41"/>
    <w:rsid w:val="00B13550"/>
    <w:rsid w:val="00B13C7E"/>
    <w:rsid w:val="00B13F8F"/>
    <w:rsid w:val="00B15346"/>
    <w:rsid w:val="00B1594A"/>
    <w:rsid w:val="00B15A94"/>
    <w:rsid w:val="00B16868"/>
    <w:rsid w:val="00B16B65"/>
    <w:rsid w:val="00B175F0"/>
    <w:rsid w:val="00B20010"/>
    <w:rsid w:val="00B227B8"/>
    <w:rsid w:val="00B23F46"/>
    <w:rsid w:val="00B24AB1"/>
    <w:rsid w:val="00B27076"/>
    <w:rsid w:val="00B30468"/>
    <w:rsid w:val="00B30BA3"/>
    <w:rsid w:val="00B325BA"/>
    <w:rsid w:val="00B32F9D"/>
    <w:rsid w:val="00B330CE"/>
    <w:rsid w:val="00B3340E"/>
    <w:rsid w:val="00B3387E"/>
    <w:rsid w:val="00B33CFE"/>
    <w:rsid w:val="00B34639"/>
    <w:rsid w:val="00B34F57"/>
    <w:rsid w:val="00B3515F"/>
    <w:rsid w:val="00B3546A"/>
    <w:rsid w:val="00B3572B"/>
    <w:rsid w:val="00B368A6"/>
    <w:rsid w:val="00B37659"/>
    <w:rsid w:val="00B40B02"/>
    <w:rsid w:val="00B40E0B"/>
    <w:rsid w:val="00B41403"/>
    <w:rsid w:val="00B41EA9"/>
    <w:rsid w:val="00B4208F"/>
    <w:rsid w:val="00B42B54"/>
    <w:rsid w:val="00B44E6A"/>
    <w:rsid w:val="00B47AA9"/>
    <w:rsid w:val="00B50966"/>
    <w:rsid w:val="00B50AF4"/>
    <w:rsid w:val="00B51766"/>
    <w:rsid w:val="00B51C49"/>
    <w:rsid w:val="00B523E6"/>
    <w:rsid w:val="00B54DB8"/>
    <w:rsid w:val="00B55225"/>
    <w:rsid w:val="00B5697A"/>
    <w:rsid w:val="00B57F65"/>
    <w:rsid w:val="00B6069C"/>
    <w:rsid w:val="00B61C81"/>
    <w:rsid w:val="00B625E3"/>
    <w:rsid w:val="00B6270E"/>
    <w:rsid w:val="00B63399"/>
    <w:rsid w:val="00B63530"/>
    <w:rsid w:val="00B63C0A"/>
    <w:rsid w:val="00B6508F"/>
    <w:rsid w:val="00B65F49"/>
    <w:rsid w:val="00B702E1"/>
    <w:rsid w:val="00B702FA"/>
    <w:rsid w:val="00B71515"/>
    <w:rsid w:val="00B72108"/>
    <w:rsid w:val="00B72736"/>
    <w:rsid w:val="00B72FA8"/>
    <w:rsid w:val="00B733E2"/>
    <w:rsid w:val="00B73BFC"/>
    <w:rsid w:val="00B7437A"/>
    <w:rsid w:val="00B7720A"/>
    <w:rsid w:val="00B801AD"/>
    <w:rsid w:val="00B803CB"/>
    <w:rsid w:val="00B806A7"/>
    <w:rsid w:val="00B81542"/>
    <w:rsid w:val="00B817E5"/>
    <w:rsid w:val="00B82765"/>
    <w:rsid w:val="00B83C47"/>
    <w:rsid w:val="00B8502D"/>
    <w:rsid w:val="00B8522C"/>
    <w:rsid w:val="00B8546A"/>
    <w:rsid w:val="00B85AC4"/>
    <w:rsid w:val="00B90064"/>
    <w:rsid w:val="00B91785"/>
    <w:rsid w:val="00B91EF5"/>
    <w:rsid w:val="00B9254F"/>
    <w:rsid w:val="00B92AE9"/>
    <w:rsid w:val="00B93558"/>
    <w:rsid w:val="00B9397F"/>
    <w:rsid w:val="00B93EA5"/>
    <w:rsid w:val="00B94CC9"/>
    <w:rsid w:val="00B95DB8"/>
    <w:rsid w:val="00B96F57"/>
    <w:rsid w:val="00B97004"/>
    <w:rsid w:val="00B971B1"/>
    <w:rsid w:val="00B97DA4"/>
    <w:rsid w:val="00BA0015"/>
    <w:rsid w:val="00BA061A"/>
    <w:rsid w:val="00BA17F3"/>
    <w:rsid w:val="00BA2365"/>
    <w:rsid w:val="00BA4B35"/>
    <w:rsid w:val="00BA6748"/>
    <w:rsid w:val="00BA6C34"/>
    <w:rsid w:val="00BA7BA6"/>
    <w:rsid w:val="00BB0422"/>
    <w:rsid w:val="00BB0614"/>
    <w:rsid w:val="00BB103A"/>
    <w:rsid w:val="00BB245F"/>
    <w:rsid w:val="00BB2F92"/>
    <w:rsid w:val="00BB4519"/>
    <w:rsid w:val="00BB6035"/>
    <w:rsid w:val="00BB65BC"/>
    <w:rsid w:val="00BB7A3C"/>
    <w:rsid w:val="00BB7A9F"/>
    <w:rsid w:val="00BC1761"/>
    <w:rsid w:val="00BC3144"/>
    <w:rsid w:val="00BC4D07"/>
    <w:rsid w:val="00BC52AD"/>
    <w:rsid w:val="00BC54FD"/>
    <w:rsid w:val="00BC569B"/>
    <w:rsid w:val="00BC5B65"/>
    <w:rsid w:val="00BC5F84"/>
    <w:rsid w:val="00BC6040"/>
    <w:rsid w:val="00BC6143"/>
    <w:rsid w:val="00BC6993"/>
    <w:rsid w:val="00BC7767"/>
    <w:rsid w:val="00BC7972"/>
    <w:rsid w:val="00BD10D2"/>
    <w:rsid w:val="00BD121D"/>
    <w:rsid w:val="00BD189F"/>
    <w:rsid w:val="00BD1E54"/>
    <w:rsid w:val="00BD1F34"/>
    <w:rsid w:val="00BD2403"/>
    <w:rsid w:val="00BD4027"/>
    <w:rsid w:val="00BE1526"/>
    <w:rsid w:val="00BE1D9F"/>
    <w:rsid w:val="00BE2A8A"/>
    <w:rsid w:val="00BE33F4"/>
    <w:rsid w:val="00BE3B4A"/>
    <w:rsid w:val="00BE3C55"/>
    <w:rsid w:val="00BE48DD"/>
    <w:rsid w:val="00BE4E3F"/>
    <w:rsid w:val="00BE5890"/>
    <w:rsid w:val="00BE5F30"/>
    <w:rsid w:val="00BE6088"/>
    <w:rsid w:val="00BE654F"/>
    <w:rsid w:val="00BE6E00"/>
    <w:rsid w:val="00BE70E0"/>
    <w:rsid w:val="00BE771E"/>
    <w:rsid w:val="00BE7D77"/>
    <w:rsid w:val="00BF092D"/>
    <w:rsid w:val="00BF153B"/>
    <w:rsid w:val="00BF1937"/>
    <w:rsid w:val="00BF24F9"/>
    <w:rsid w:val="00BF35BE"/>
    <w:rsid w:val="00BF3D37"/>
    <w:rsid w:val="00BF51A0"/>
    <w:rsid w:val="00BF5C38"/>
    <w:rsid w:val="00BF72F6"/>
    <w:rsid w:val="00BF7706"/>
    <w:rsid w:val="00BF77C7"/>
    <w:rsid w:val="00C00251"/>
    <w:rsid w:val="00C01326"/>
    <w:rsid w:val="00C01391"/>
    <w:rsid w:val="00C02290"/>
    <w:rsid w:val="00C022E3"/>
    <w:rsid w:val="00C026D6"/>
    <w:rsid w:val="00C05529"/>
    <w:rsid w:val="00C05B13"/>
    <w:rsid w:val="00C05D9A"/>
    <w:rsid w:val="00C066F3"/>
    <w:rsid w:val="00C073FD"/>
    <w:rsid w:val="00C0771B"/>
    <w:rsid w:val="00C07E2D"/>
    <w:rsid w:val="00C07E54"/>
    <w:rsid w:val="00C10ABC"/>
    <w:rsid w:val="00C10DE9"/>
    <w:rsid w:val="00C121DA"/>
    <w:rsid w:val="00C123BA"/>
    <w:rsid w:val="00C1291A"/>
    <w:rsid w:val="00C14947"/>
    <w:rsid w:val="00C1514E"/>
    <w:rsid w:val="00C162CB"/>
    <w:rsid w:val="00C164CD"/>
    <w:rsid w:val="00C16542"/>
    <w:rsid w:val="00C16AD9"/>
    <w:rsid w:val="00C17DF3"/>
    <w:rsid w:val="00C17F34"/>
    <w:rsid w:val="00C2149A"/>
    <w:rsid w:val="00C21A1C"/>
    <w:rsid w:val="00C2223E"/>
    <w:rsid w:val="00C22626"/>
    <w:rsid w:val="00C227C3"/>
    <w:rsid w:val="00C23268"/>
    <w:rsid w:val="00C25399"/>
    <w:rsid w:val="00C253C4"/>
    <w:rsid w:val="00C25AE5"/>
    <w:rsid w:val="00C262E9"/>
    <w:rsid w:val="00C26965"/>
    <w:rsid w:val="00C270D0"/>
    <w:rsid w:val="00C2768C"/>
    <w:rsid w:val="00C277E9"/>
    <w:rsid w:val="00C27AA1"/>
    <w:rsid w:val="00C30EFF"/>
    <w:rsid w:val="00C32679"/>
    <w:rsid w:val="00C3491B"/>
    <w:rsid w:val="00C34DDD"/>
    <w:rsid w:val="00C3669A"/>
    <w:rsid w:val="00C3699E"/>
    <w:rsid w:val="00C37BBB"/>
    <w:rsid w:val="00C405D7"/>
    <w:rsid w:val="00C406A6"/>
    <w:rsid w:val="00C42EE5"/>
    <w:rsid w:val="00C4311F"/>
    <w:rsid w:val="00C4422E"/>
    <w:rsid w:val="00C4617B"/>
    <w:rsid w:val="00C46C88"/>
    <w:rsid w:val="00C514FA"/>
    <w:rsid w:val="00C51725"/>
    <w:rsid w:val="00C51A8A"/>
    <w:rsid w:val="00C51C81"/>
    <w:rsid w:val="00C5211B"/>
    <w:rsid w:val="00C5308B"/>
    <w:rsid w:val="00C53A40"/>
    <w:rsid w:val="00C53AAF"/>
    <w:rsid w:val="00C54300"/>
    <w:rsid w:val="00C558CE"/>
    <w:rsid w:val="00C56A2E"/>
    <w:rsid w:val="00C56E2D"/>
    <w:rsid w:val="00C617C8"/>
    <w:rsid w:val="00C61DFD"/>
    <w:rsid w:val="00C6212E"/>
    <w:rsid w:val="00C62EFB"/>
    <w:rsid w:val="00C64942"/>
    <w:rsid w:val="00C6506E"/>
    <w:rsid w:val="00C657A7"/>
    <w:rsid w:val="00C65999"/>
    <w:rsid w:val="00C6732D"/>
    <w:rsid w:val="00C67A1F"/>
    <w:rsid w:val="00C7194E"/>
    <w:rsid w:val="00C742CF"/>
    <w:rsid w:val="00C74896"/>
    <w:rsid w:val="00C74A62"/>
    <w:rsid w:val="00C75A4A"/>
    <w:rsid w:val="00C76AC9"/>
    <w:rsid w:val="00C807C5"/>
    <w:rsid w:val="00C80983"/>
    <w:rsid w:val="00C810A9"/>
    <w:rsid w:val="00C81CBC"/>
    <w:rsid w:val="00C825C9"/>
    <w:rsid w:val="00C82F97"/>
    <w:rsid w:val="00C83B22"/>
    <w:rsid w:val="00C83BE7"/>
    <w:rsid w:val="00C83E8D"/>
    <w:rsid w:val="00C84A21"/>
    <w:rsid w:val="00C84F23"/>
    <w:rsid w:val="00C868B3"/>
    <w:rsid w:val="00C90148"/>
    <w:rsid w:val="00C90391"/>
    <w:rsid w:val="00C911BB"/>
    <w:rsid w:val="00C913F9"/>
    <w:rsid w:val="00C9278B"/>
    <w:rsid w:val="00C92981"/>
    <w:rsid w:val="00C95A10"/>
    <w:rsid w:val="00C976D9"/>
    <w:rsid w:val="00CA1E78"/>
    <w:rsid w:val="00CA31EB"/>
    <w:rsid w:val="00CA3485"/>
    <w:rsid w:val="00CA7089"/>
    <w:rsid w:val="00CA740F"/>
    <w:rsid w:val="00CA7475"/>
    <w:rsid w:val="00CB1BCF"/>
    <w:rsid w:val="00CB1D8C"/>
    <w:rsid w:val="00CB4335"/>
    <w:rsid w:val="00CB591D"/>
    <w:rsid w:val="00CB6434"/>
    <w:rsid w:val="00CB65C6"/>
    <w:rsid w:val="00CB7382"/>
    <w:rsid w:val="00CB7872"/>
    <w:rsid w:val="00CB7B97"/>
    <w:rsid w:val="00CC2EA1"/>
    <w:rsid w:val="00CC3E06"/>
    <w:rsid w:val="00CC3E22"/>
    <w:rsid w:val="00CC5350"/>
    <w:rsid w:val="00CC6627"/>
    <w:rsid w:val="00CC7370"/>
    <w:rsid w:val="00CC7862"/>
    <w:rsid w:val="00CD1BF6"/>
    <w:rsid w:val="00CD41FB"/>
    <w:rsid w:val="00CD4C0A"/>
    <w:rsid w:val="00CD4DA0"/>
    <w:rsid w:val="00CD4EDE"/>
    <w:rsid w:val="00CD568E"/>
    <w:rsid w:val="00CD6651"/>
    <w:rsid w:val="00CD6726"/>
    <w:rsid w:val="00CD6E60"/>
    <w:rsid w:val="00CD6F12"/>
    <w:rsid w:val="00CD700B"/>
    <w:rsid w:val="00CD79AE"/>
    <w:rsid w:val="00CE18D1"/>
    <w:rsid w:val="00CE23C7"/>
    <w:rsid w:val="00CE2AEC"/>
    <w:rsid w:val="00CE30C1"/>
    <w:rsid w:val="00CE3377"/>
    <w:rsid w:val="00CE463F"/>
    <w:rsid w:val="00CE48CB"/>
    <w:rsid w:val="00CE503B"/>
    <w:rsid w:val="00CE59A4"/>
    <w:rsid w:val="00CE680E"/>
    <w:rsid w:val="00CE7EBC"/>
    <w:rsid w:val="00CE7FA5"/>
    <w:rsid w:val="00CE7FAF"/>
    <w:rsid w:val="00CF02A7"/>
    <w:rsid w:val="00CF1316"/>
    <w:rsid w:val="00CF2CB5"/>
    <w:rsid w:val="00CF44A0"/>
    <w:rsid w:val="00CF7FB4"/>
    <w:rsid w:val="00D003FC"/>
    <w:rsid w:val="00D0158C"/>
    <w:rsid w:val="00D01EA3"/>
    <w:rsid w:val="00D02F10"/>
    <w:rsid w:val="00D02F30"/>
    <w:rsid w:val="00D030A5"/>
    <w:rsid w:val="00D057EB"/>
    <w:rsid w:val="00D0704E"/>
    <w:rsid w:val="00D07A33"/>
    <w:rsid w:val="00D1034E"/>
    <w:rsid w:val="00D107A7"/>
    <w:rsid w:val="00D1098A"/>
    <w:rsid w:val="00D10AAF"/>
    <w:rsid w:val="00D1120C"/>
    <w:rsid w:val="00D11A44"/>
    <w:rsid w:val="00D12462"/>
    <w:rsid w:val="00D1415C"/>
    <w:rsid w:val="00D16281"/>
    <w:rsid w:val="00D163E8"/>
    <w:rsid w:val="00D17612"/>
    <w:rsid w:val="00D20D19"/>
    <w:rsid w:val="00D21951"/>
    <w:rsid w:val="00D26BD8"/>
    <w:rsid w:val="00D277EE"/>
    <w:rsid w:val="00D3011C"/>
    <w:rsid w:val="00D30C62"/>
    <w:rsid w:val="00D30D9F"/>
    <w:rsid w:val="00D313C4"/>
    <w:rsid w:val="00D3155A"/>
    <w:rsid w:val="00D31A40"/>
    <w:rsid w:val="00D32154"/>
    <w:rsid w:val="00D32792"/>
    <w:rsid w:val="00D32AE8"/>
    <w:rsid w:val="00D32D75"/>
    <w:rsid w:val="00D34B74"/>
    <w:rsid w:val="00D40B62"/>
    <w:rsid w:val="00D40D35"/>
    <w:rsid w:val="00D40DFE"/>
    <w:rsid w:val="00D41EAF"/>
    <w:rsid w:val="00D42F04"/>
    <w:rsid w:val="00D43424"/>
    <w:rsid w:val="00D43473"/>
    <w:rsid w:val="00D43AEE"/>
    <w:rsid w:val="00D43CBA"/>
    <w:rsid w:val="00D43D81"/>
    <w:rsid w:val="00D44455"/>
    <w:rsid w:val="00D44C07"/>
    <w:rsid w:val="00D47C4C"/>
    <w:rsid w:val="00D50079"/>
    <w:rsid w:val="00D508B5"/>
    <w:rsid w:val="00D508DE"/>
    <w:rsid w:val="00D51F57"/>
    <w:rsid w:val="00D52AFB"/>
    <w:rsid w:val="00D53667"/>
    <w:rsid w:val="00D567EB"/>
    <w:rsid w:val="00D6116C"/>
    <w:rsid w:val="00D61759"/>
    <w:rsid w:val="00D62249"/>
    <w:rsid w:val="00D65F5A"/>
    <w:rsid w:val="00D66F2A"/>
    <w:rsid w:val="00D6769E"/>
    <w:rsid w:val="00D72EF0"/>
    <w:rsid w:val="00D73E0B"/>
    <w:rsid w:val="00D7556E"/>
    <w:rsid w:val="00D757BD"/>
    <w:rsid w:val="00D76232"/>
    <w:rsid w:val="00D810AA"/>
    <w:rsid w:val="00D82764"/>
    <w:rsid w:val="00D85B9C"/>
    <w:rsid w:val="00D85C64"/>
    <w:rsid w:val="00D85D3F"/>
    <w:rsid w:val="00D90590"/>
    <w:rsid w:val="00D90E1F"/>
    <w:rsid w:val="00D9199B"/>
    <w:rsid w:val="00D91B25"/>
    <w:rsid w:val="00D92046"/>
    <w:rsid w:val="00D9243B"/>
    <w:rsid w:val="00D94185"/>
    <w:rsid w:val="00D9440C"/>
    <w:rsid w:val="00D94DB2"/>
    <w:rsid w:val="00D959DA"/>
    <w:rsid w:val="00D97114"/>
    <w:rsid w:val="00D97530"/>
    <w:rsid w:val="00D975D5"/>
    <w:rsid w:val="00D97E9C"/>
    <w:rsid w:val="00DA009D"/>
    <w:rsid w:val="00DA0371"/>
    <w:rsid w:val="00DA0826"/>
    <w:rsid w:val="00DA1998"/>
    <w:rsid w:val="00DA265C"/>
    <w:rsid w:val="00DA3801"/>
    <w:rsid w:val="00DA4B79"/>
    <w:rsid w:val="00DA57D4"/>
    <w:rsid w:val="00DA5DE6"/>
    <w:rsid w:val="00DA6724"/>
    <w:rsid w:val="00DA69D6"/>
    <w:rsid w:val="00DA6FF4"/>
    <w:rsid w:val="00DB0B5E"/>
    <w:rsid w:val="00DB1020"/>
    <w:rsid w:val="00DB1AF4"/>
    <w:rsid w:val="00DB27AD"/>
    <w:rsid w:val="00DB3507"/>
    <w:rsid w:val="00DB3B7D"/>
    <w:rsid w:val="00DB45C4"/>
    <w:rsid w:val="00DB635A"/>
    <w:rsid w:val="00DC37F4"/>
    <w:rsid w:val="00DC4CC3"/>
    <w:rsid w:val="00DC511C"/>
    <w:rsid w:val="00DC6D1B"/>
    <w:rsid w:val="00DC703E"/>
    <w:rsid w:val="00DD0177"/>
    <w:rsid w:val="00DD018A"/>
    <w:rsid w:val="00DD05A9"/>
    <w:rsid w:val="00DD2CAB"/>
    <w:rsid w:val="00DD2F4A"/>
    <w:rsid w:val="00DD35BA"/>
    <w:rsid w:val="00DD3F4E"/>
    <w:rsid w:val="00DD42DB"/>
    <w:rsid w:val="00DD4358"/>
    <w:rsid w:val="00DD483E"/>
    <w:rsid w:val="00DD4EE7"/>
    <w:rsid w:val="00DD524C"/>
    <w:rsid w:val="00DD5BC2"/>
    <w:rsid w:val="00DD5CE8"/>
    <w:rsid w:val="00DD5E0A"/>
    <w:rsid w:val="00DD60F0"/>
    <w:rsid w:val="00DD6527"/>
    <w:rsid w:val="00DD6B5F"/>
    <w:rsid w:val="00DE0F40"/>
    <w:rsid w:val="00DE3AAD"/>
    <w:rsid w:val="00DE4A87"/>
    <w:rsid w:val="00DE4C2A"/>
    <w:rsid w:val="00DE5299"/>
    <w:rsid w:val="00DE70B5"/>
    <w:rsid w:val="00DE7595"/>
    <w:rsid w:val="00DE7A26"/>
    <w:rsid w:val="00DF0D94"/>
    <w:rsid w:val="00DF12C5"/>
    <w:rsid w:val="00DF1CF1"/>
    <w:rsid w:val="00DF3107"/>
    <w:rsid w:val="00DF425D"/>
    <w:rsid w:val="00DF435C"/>
    <w:rsid w:val="00DF45DE"/>
    <w:rsid w:val="00DF47AF"/>
    <w:rsid w:val="00DF497B"/>
    <w:rsid w:val="00DF53CD"/>
    <w:rsid w:val="00DF645A"/>
    <w:rsid w:val="00DF715C"/>
    <w:rsid w:val="00DF7186"/>
    <w:rsid w:val="00DF7331"/>
    <w:rsid w:val="00DF781A"/>
    <w:rsid w:val="00E01AC9"/>
    <w:rsid w:val="00E042F7"/>
    <w:rsid w:val="00E0569D"/>
    <w:rsid w:val="00E069D9"/>
    <w:rsid w:val="00E07A7A"/>
    <w:rsid w:val="00E07CBE"/>
    <w:rsid w:val="00E07DDE"/>
    <w:rsid w:val="00E07FB6"/>
    <w:rsid w:val="00E1003B"/>
    <w:rsid w:val="00E115DB"/>
    <w:rsid w:val="00E11CE6"/>
    <w:rsid w:val="00E12893"/>
    <w:rsid w:val="00E13ACB"/>
    <w:rsid w:val="00E13E14"/>
    <w:rsid w:val="00E14A74"/>
    <w:rsid w:val="00E14BB8"/>
    <w:rsid w:val="00E155F1"/>
    <w:rsid w:val="00E15D8C"/>
    <w:rsid w:val="00E15E86"/>
    <w:rsid w:val="00E21251"/>
    <w:rsid w:val="00E217B5"/>
    <w:rsid w:val="00E22186"/>
    <w:rsid w:val="00E2249F"/>
    <w:rsid w:val="00E23025"/>
    <w:rsid w:val="00E24452"/>
    <w:rsid w:val="00E24A90"/>
    <w:rsid w:val="00E264F5"/>
    <w:rsid w:val="00E27491"/>
    <w:rsid w:val="00E27E18"/>
    <w:rsid w:val="00E30BE7"/>
    <w:rsid w:val="00E30E5B"/>
    <w:rsid w:val="00E31759"/>
    <w:rsid w:val="00E319BB"/>
    <w:rsid w:val="00E32536"/>
    <w:rsid w:val="00E32683"/>
    <w:rsid w:val="00E33CF5"/>
    <w:rsid w:val="00E34ACF"/>
    <w:rsid w:val="00E35BA9"/>
    <w:rsid w:val="00E35ED8"/>
    <w:rsid w:val="00E3653F"/>
    <w:rsid w:val="00E36BE8"/>
    <w:rsid w:val="00E426FD"/>
    <w:rsid w:val="00E450A7"/>
    <w:rsid w:val="00E4563E"/>
    <w:rsid w:val="00E46C9E"/>
    <w:rsid w:val="00E4701A"/>
    <w:rsid w:val="00E50C17"/>
    <w:rsid w:val="00E50F18"/>
    <w:rsid w:val="00E51344"/>
    <w:rsid w:val="00E524E6"/>
    <w:rsid w:val="00E52691"/>
    <w:rsid w:val="00E52934"/>
    <w:rsid w:val="00E52DA1"/>
    <w:rsid w:val="00E53C27"/>
    <w:rsid w:val="00E542C8"/>
    <w:rsid w:val="00E543E9"/>
    <w:rsid w:val="00E56B65"/>
    <w:rsid w:val="00E57BB3"/>
    <w:rsid w:val="00E60638"/>
    <w:rsid w:val="00E61BE9"/>
    <w:rsid w:val="00E63721"/>
    <w:rsid w:val="00E64871"/>
    <w:rsid w:val="00E66D20"/>
    <w:rsid w:val="00E675C5"/>
    <w:rsid w:val="00E6791C"/>
    <w:rsid w:val="00E67D78"/>
    <w:rsid w:val="00E67EDB"/>
    <w:rsid w:val="00E70482"/>
    <w:rsid w:val="00E71DF8"/>
    <w:rsid w:val="00E72ED6"/>
    <w:rsid w:val="00E731C5"/>
    <w:rsid w:val="00E738B0"/>
    <w:rsid w:val="00E74A53"/>
    <w:rsid w:val="00E762A9"/>
    <w:rsid w:val="00E7755E"/>
    <w:rsid w:val="00E77903"/>
    <w:rsid w:val="00E80175"/>
    <w:rsid w:val="00E80F14"/>
    <w:rsid w:val="00E81742"/>
    <w:rsid w:val="00E84831"/>
    <w:rsid w:val="00E84891"/>
    <w:rsid w:val="00E85DEB"/>
    <w:rsid w:val="00E87780"/>
    <w:rsid w:val="00E90DF6"/>
    <w:rsid w:val="00E92CBB"/>
    <w:rsid w:val="00E942B0"/>
    <w:rsid w:val="00E94C1D"/>
    <w:rsid w:val="00E95208"/>
    <w:rsid w:val="00E956D3"/>
    <w:rsid w:val="00E96BEA"/>
    <w:rsid w:val="00E976F3"/>
    <w:rsid w:val="00E97BF1"/>
    <w:rsid w:val="00EA0275"/>
    <w:rsid w:val="00EA05B7"/>
    <w:rsid w:val="00EA0E61"/>
    <w:rsid w:val="00EA17F9"/>
    <w:rsid w:val="00EA1AEC"/>
    <w:rsid w:val="00EA1C70"/>
    <w:rsid w:val="00EA2631"/>
    <w:rsid w:val="00EA3387"/>
    <w:rsid w:val="00EA3BD7"/>
    <w:rsid w:val="00EA441B"/>
    <w:rsid w:val="00EA4B6D"/>
    <w:rsid w:val="00EA54AA"/>
    <w:rsid w:val="00EA5BF0"/>
    <w:rsid w:val="00EA77D2"/>
    <w:rsid w:val="00EB0986"/>
    <w:rsid w:val="00EB185E"/>
    <w:rsid w:val="00EB1DBB"/>
    <w:rsid w:val="00EB2208"/>
    <w:rsid w:val="00EB23C9"/>
    <w:rsid w:val="00EB24A3"/>
    <w:rsid w:val="00EB3C18"/>
    <w:rsid w:val="00EB3CB4"/>
    <w:rsid w:val="00EB54CE"/>
    <w:rsid w:val="00EB6612"/>
    <w:rsid w:val="00EB7716"/>
    <w:rsid w:val="00EC039C"/>
    <w:rsid w:val="00EC0BF0"/>
    <w:rsid w:val="00EC10FC"/>
    <w:rsid w:val="00EC174B"/>
    <w:rsid w:val="00EC17AA"/>
    <w:rsid w:val="00EC2002"/>
    <w:rsid w:val="00EC3396"/>
    <w:rsid w:val="00EC39B6"/>
    <w:rsid w:val="00EC4A60"/>
    <w:rsid w:val="00EC53FA"/>
    <w:rsid w:val="00ED0C5B"/>
    <w:rsid w:val="00ED0C62"/>
    <w:rsid w:val="00ED1631"/>
    <w:rsid w:val="00ED2279"/>
    <w:rsid w:val="00ED2FFC"/>
    <w:rsid w:val="00ED3649"/>
    <w:rsid w:val="00ED417B"/>
    <w:rsid w:val="00ED459C"/>
    <w:rsid w:val="00ED6825"/>
    <w:rsid w:val="00ED6BCA"/>
    <w:rsid w:val="00ED7BD6"/>
    <w:rsid w:val="00EE1CCF"/>
    <w:rsid w:val="00EE2343"/>
    <w:rsid w:val="00EE24FB"/>
    <w:rsid w:val="00EE2689"/>
    <w:rsid w:val="00EE38AF"/>
    <w:rsid w:val="00EE3F54"/>
    <w:rsid w:val="00EE4721"/>
    <w:rsid w:val="00EE5667"/>
    <w:rsid w:val="00EE58F3"/>
    <w:rsid w:val="00EE5F40"/>
    <w:rsid w:val="00EE5F6B"/>
    <w:rsid w:val="00EE6E78"/>
    <w:rsid w:val="00EE71B5"/>
    <w:rsid w:val="00EF139B"/>
    <w:rsid w:val="00EF14F4"/>
    <w:rsid w:val="00EF1E89"/>
    <w:rsid w:val="00EF2A93"/>
    <w:rsid w:val="00EF2B98"/>
    <w:rsid w:val="00EF2D10"/>
    <w:rsid w:val="00EF2FF3"/>
    <w:rsid w:val="00EF36AA"/>
    <w:rsid w:val="00EF36AD"/>
    <w:rsid w:val="00EF41CC"/>
    <w:rsid w:val="00EF550D"/>
    <w:rsid w:val="00EF637F"/>
    <w:rsid w:val="00EF67C2"/>
    <w:rsid w:val="00EF6871"/>
    <w:rsid w:val="00EF72C4"/>
    <w:rsid w:val="00EF7D51"/>
    <w:rsid w:val="00F0052E"/>
    <w:rsid w:val="00F02453"/>
    <w:rsid w:val="00F03141"/>
    <w:rsid w:val="00F034D0"/>
    <w:rsid w:val="00F03541"/>
    <w:rsid w:val="00F03D28"/>
    <w:rsid w:val="00F04275"/>
    <w:rsid w:val="00F0461E"/>
    <w:rsid w:val="00F05086"/>
    <w:rsid w:val="00F05EAA"/>
    <w:rsid w:val="00F06165"/>
    <w:rsid w:val="00F07D20"/>
    <w:rsid w:val="00F10152"/>
    <w:rsid w:val="00F11869"/>
    <w:rsid w:val="00F12403"/>
    <w:rsid w:val="00F13078"/>
    <w:rsid w:val="00F13406"/>
    <w:rsid w:val="00F13A4C"/>
    <w:rsid w:val="00F14EEB"/>
    <w:rsid w:val="00F153C6"/>
    <w:rsid w:val="00F1551A"/>
    <w:rsid w:val="00F16497"/>
    <w:rsid w:val="00F20C00"/>
    <w:rsid w:val="00F21531"/>
    <w:rsid w:val="00F21AF8"/>
    <w:rsid w:val="00F2202D"/>
    <w:rsid w:val="00F220BF"/>
    <w:rsid w:val="00F2265D"/>
    <w:rsid w:val="00F22761"/>
    <w:rsid w:val="00F243EF"/>
    <w:rsid w:val="00F2490C"/>
    <w:rsid w:val="00F25FB6"/>
    <w:rsid w:val="00F269F3"/>
    <w:rsid w:val="00F2719D"/>
    <w:rsid w:val="00F30048"/>
    <w:rsid w:val="00F30165"/>
    <w:rsid w:val="00F30DCC"/>
    <w:rsid w:val="00F3112B"/>
    <w:rsid w:val="00F31976"/>
    <w:rsid w:val="00F32C0D"/>
    <w:rsid w:val="00F3368C"/>
    <w:rsid w:val="00F34B83"/>
    <w:rsid w:val="00F3594A"/>
    <w:rsid w:val="00F3662E"/>
    <w:rsid w:val="00F37A62"/>
    <w:rsid w:val="00F4026B"/>
    <w:rsid w:val="00F402D3"/>
    <w:rsid w:val="00F40561"/>
    <w:rsid w:val="00F40648"/>
    <w:rsid w:val="00F411FD"/>
    <w:rsid w:val="00F4124E"/>
    <w:rsid w:val="00F429DA"/>
    <w:rsid w:val="00F430AE"/>
    <w:rsid w:val="00F4456A"/>
    <w:rsid w:val="00F447B9"/>
    <w:rsid w:val="00F44A75"/>
    <w:rsid w:val="00F4557C"/>
    <w:rsid w:val="00F458E8"/>
    <w:rsid w:val="00F46D0B"/>
    <w:rsid w:val="00F47A97"/>
    <w:rsid w:val="00F47BC3"/>
    <w:rsid w:val="00F51118"/>
    <w:rsid w:val="00F517FE"/>
    <w:rsid w:val="00F536A0"/>
    <w:rsid w:val="00F54086"/>
    <w:rsid w:val="00F5669E"/>
    <w:rsid w:val="00F56E94"/>
    <w:rsid w:val="00F573E3"/>
    <w:rsid w:val="00F60434"/>
    <w:rsid w:val="00F62889"/>
    <w:rsid w:val="00F629B5"/>
    <w:rsid w:val="00F632BB"/>
    <w:rsid w:val="00F64F9E"/>
    <w:rsid w:val="00F659C1"/>
    <w:rsid w:val="00F66988"/>
    <w:rsid w:val="00F66E23"/>
    <w:rsid w:val="00F671C5"/>
    <w:rsid w:val="00F67769"/>
    <w:rsid w:val="00F70340"/>
    <w:rsid w:val="00F70795"/>
    <w:rsid w:val="00F712A4"/>
    <w:rsid w:val="00F71975"/>
    <w:rsid w:val="00F7209F"/>
    <w:rsid w:val="00F731A3"/>
    <w:rsid w:val="00F739A4"/>
    <w:rsid w:val="00F74546"/>
    <w:rsid w:val="00F74EA5"/>
    <w:rsid w:val="00F76382"/>
    <w:rsid w:val="00F76395"/>
    <w:rsid w:val="00F80339"/>
    <w:rsid w:val="00F81119"/>
    <w:rsid w:val="00F81157"/>
    <w:rsid w:val="00F87DAD"/>
    <w:rsid w:val="00F909DE"/>
    <w:rsid w:val="00F912D8"/>
    <w:rsid w:val="00F922F2"/>
    <w:rsid w:val="00F930A3"/>
    <w:rsid w:val="00F93153"/>
    <w:rsid w:val="00F93A4A"/>
    <w:rsid w:val="00F93CBD"/>
    <w:rsid w:val="00F9409B"/>
    <w:rsid w:val="00F94E99"/>
    <w:rsid w:val="00F950B7"/>
    <w:rsid w:val="00F95445"/>
    <w:rsid w:val="00F96AFD"/>
    <w:rsid w:val="00FA11BA"/>
    <w:rsid w:val="00FA17E4"/>
    <w:rsid w:val="00FA1DD3"/>
    <w:rsid w:val="00FA2064"/>
    <w:rsid w:val="00FA2850"/>
    <w:rsid w:val="00FA398C"/>
    <w:rsid w:val="00FA48F7"/>
    <w:rsid w:val="00FA4F33"/>
    <w:rsid w:val="00FA50DE"/>
    <w:rsid w:val="00FA5ED7"/>
    <w:rsid w:val="00FA62E4"/>
    <w:rsid w:val="00FA6623"/>
    <w:rsid w:val="00FA7220"/>
    <w:rsid w:val="00FA7D49"/>
    <w:rsid w:val="00FB2467"/>
    <w:rsid w:val="00FB2E9A"/>
    <w:rsid w:val="00FB4E2C"/>
    <w:rsid w:val="00FB6726"/>
    <w:rsid w:val="00FB78D6"/>
    <w:rsid w:val="00FB7A2E"/>
    <w:rsid w:val="00FC11FE"/>
    <w:rsid w:val="00FC244D"/>
    <w:rsid w:val="00FC2821"/>
    <w:rsid w:val="00FC2BA0"/>
    <w:rsid w:val="00FC2E99"/>
    <w:rsid w:val="00FC45B0"/>
    <w:rsid w:val="00FC52D0"/>
    <w:rsid w:val="00FC5BA7"/>
    <w:rsid w:val="00FC6600"/>
    <w:rsid w:val="00FC7F68"/>
    <w:rsid w:val="00FD1810"/>
    <w:rsid w:val="00FD1908"/>
    <w:rsid w:val="00FD2351"/>
    <w:rsid w:val="00FD2D78"/>
    <w:rsid w:val="00FD3E89"/>
    <w:rsid w:val="00FD60FD"/>
    <w:rsid w:val="00FD6848"/>
    <w:rsid w:val="00FD6B71"/>
    <w:rsid w:val="00FD6BD8"/>
    <w:rsid w:val="00FD7458"/>
    <w:rsid w:val="00FE1D1B"/>
    <w:rsid w:val="00FE1DAB"/>
    <w:rsid w:val="00FE2458"/>
    <w:rsid w:val="00FE24E5"/>
    <w:rsid w:val="00FE25DC"/>
    <w:rsid w:val="00FE4F2E"/>
    <w:rsid w:val="00FE600E"/>
    <w:rsid w:val="00FE6D0F"/>
    <w:rsid w:val="00FE7283"/>
    <w:rsid w:val="00FE793E"/>
    <w:rsid w:val="00FF0A57"/>
    <w:rsid w:val="00FF0C09"/>
    <w:rsid w:val="00FF1628"/>
    <w:rsid w:val="00FF17A4"/>
    <w:rsid w:val="00FF212B"/>
    <w:rsid w:val="00FF44BA"/>
    <w:rsid w:val="00FF54D1"/>
    <w:rsid w:val="00FF59C1"/>
    <w:rsid w:val="00FF630A"/>
    <w:rsid w:val="00FF6874"/>
    <w:rsid w:val="00FF6C37"/>
    <w:rsid w:val="00FF6FF6"/>
    <w:rsid w:val="00FF77E9"/>
    <w:rsid w:val="00FF79E4"/>
    <w:rsid w:val="00FF7FEB"/>
    <w:rsid w:val="01251E99"/>
    <w:rsid w:val="01545A05"/>
    <w:rsid w:val="01882C3E"/>
    <w:rsid w:val="018F3475"/>
    <w:rsid w:val="019D115B"/>
    <w:rsid w:val="01C30A75"/>
    <w:rsid w:val="01E63261"/>
    <w:rsid w:val="01F27D15"/>
    <w:rsid w:val="020F4ADB"/>
    <w:rsid w:val="021321E5"/>
    <w:rsid w:val="021A421A"/>
    <w:rsid w:val="022D68B8"/>
    <w:rsid w:val="02395CBE"/>
    <w:rsid w:val="024C485A"/>
    <w:rsid w:val="02535CBD"/>
    <w:rsid w:val="02672BE8"/>
    <w:rsid w:val="026E6F40"/>
    <w:rsid w:val="02865521"/>
    <w:rsid w:val="02C72AA5"/>
    <w:rsid w:val="02D7069C"/>
    <w:rsid w:val="02F052BF"/>
    <w:rsid w:val="02F73142"/>
    <w:rsid w:val="03016325"/>
    <w:rsid w:val="03143D86"/>
    <w:rsid w:val="03295F2A"/>
    <w:rsid w:val="035C0FC5"/>
    <w:rsid w:val="03B86720"/>
    <w:rsid w:val="03CC21CB"/>
    <w:rsid w:val="03F01B3C"/>
    <w:rsid w:val="0407392A"/>
    <w:rsid w:val="040B1C8F"/>
    <w:rsid w:val="041E47E2"/>
    <w:rsid w:val="04286815"/>
    <w:rsid w:val="04294F27"/>
    <w:rsid w:val="0478429B"/>
    <w:rsid w:val="04993DD1"/>
    <w:rsid w:val="04A70542"/>
    <w:rsid w:val="04DA56D8"/>
    <w:rsid w:val="050F1163"/>
    <w:rsid w:val="051A60E2"/>
    <w:rsid w:val="05281683"/>
    <w:rsid w:val="05377B18"/>
    <w:rsid w:val="056C30BF"/>
    <w:rsid w:val="05A24310"/>
    <w:rsid w:val="05BC4A93"/>
    <w:rsid w:val="05C44FE1"/>
    <w:rsid w:val="05DC2D7C"/>
    <w:rsid w:val="05FE369B"/>
    <w:rsid w:val="0600615C"/>
    <w:rsid w:val="0610507A"/>
    <w:rsid w:val="06163BD1"/>
    <w:rsid w:val="061B4D44"/>
    <w:rsid w:val="062E0F1B"/>
    <w:rsid w:val="063302DF"/>
    <w:rsid w:val="065E2E82"/>
    <w:rsid w:val="066B5CCB"/>
    <w:rsid w:val="06AA49DE"/>
    <w:rsid w:val="073448D9"/>
    <w:rsid w:val="074B0C61"/>
    <w:rsid w:val="075551C6"/>
    <w:rsid w:val="076D7459"/>
    <w:rsid w:val="077F119D"/>
    <w:rsid w:val="078801B7"/>
    <w:rsid w:val="0788465B"/>
    <w:rsid w:val="078B5A9D"/>
    <w:rsid w:val="07B25A6A"/>
    <w:rsid w:val="080D2DB2"/>
    <w:rsid w:val="080F7CC7"/>
    <w:rsid w:val="08165C08"/>
    <w:rsid w:val="085D5AE7"/>
    <w:rsid w:val="08D52E43"/>
    <w:rsid w:val="08E92ED7"/>
    <w:rsid w:val="08FF1224"/>
    <w:rsid w:val="09240462"/>
    <w:rsid w:val="09263793"/>
    <w:rsid w:val="092C1016"/>
    <w:rsid w:val="09646A02"/>
    <w:rsid w:val="098C0857"/>
    <w:rsid w:val="09907166"/>
    <w:rsid w:val="099866AB"/>
    <w:rsid w:val="099E28A5"/>
    <w:rsid w:val="0A4A3E4A"/>
    <w:rsid w:val="0A58577E"/>
    <w:rsid w:val="0A7658BB"/>
    <w:rsid w:val="0A8A4157"/>
    <w:rsid w:val="0A8E6E01"/>
    <w:rsid w:val="0A917729"/>
    <w:rsid w:val="0AEA0A21"/>
    <w:rsid w:val="0AEE6707"/>
    <w:rsid w:val="0B016BFE"/>
    <w:rsid w:val="0B350F42"/>
    <w:rsid w:val="0B820A37"/>
    <w:rsid w:val="0B8F608B"/>
    <w:rsid w:val="0B987A43"/>
    <w:rsid w:val="0BC310C2"/>
    <w:rsid w:val="0BD95485"/>
    <w:rsid w:val="0BEC2B15"/>
    <w:rsid w:val="0C2226EA"/>
    <w:rsid w:val="0C250048"/>
    <w:rsid w:val="0C4E1AC1"/>
    <w:rsid w:val="0C6B5C82"/>
    <w:rsid w:val="0C721436"/>
    <w:rsid w:val="0C7C056A"/>
    <w:rsid w:val="0CC9374C"/>
    <w:rsid w:val="0CE54539"/>
    <w:rsid w:val="0CE83126"/>
    <w:rsid w:val="0CFD51A3"/>
    <w:rsid w:val="0CFE756A"/>
    <w:rsid w:val="0D701E19"/>
    <w:rsid w:val="0D9C10BE"/>
    <w:rsid w:val="0DAD2FFC"/>
    <w:rsid w:val="0DEB76F2"/>
    <w:rsid w:val="0DED16BC"/>
    <w:rsid w:val="0DF621CF"/>
    <w:rsid w:val="0E1E7AC7"/>
    <w:rsid w:val="0E3C3602"/>
    <w:rsid w:val="0E5621EF"/>
    <w:rsid w:val="0E6944D4"/>
    <w:rsid w:val="0E820056"/>
    <w:rsid w:val="0E8A0CB9"/>
    <w:rsid w:val="0EAB78CE"/>
    <w:rsid w:val="0EFD76DC"/>
    <w:rsid w:val="0F01755B"/>
    <w:rsid w:val="0F2A424A"/>
    <w:rsid w:val="0F3D21CF"/>
    <w:rsid w:val="0F7200CA"/>
    <w:rsid w:val="0F8941EF"/>
    <w:rsid w:val="0F8A6E5B"/>
    <w:rsid w:val="0FA8775E"/>
    <w:rsid w:val="0FD61CDB"/>
    <w:rsid w:val="0FDF77A4"/>
    <w:rsid w:val="10265161"/>
    <w:rsid w:val="10280789"/>
    <w:rsid w:val="105671BC"/>
    <w:rsid w:val="1062740D"/>
    <w:rsid w:val="10637A13"/>
    <w:rsid w:val="10824BD7"/>
    <w:rsid w:val="108300B5"/>
    <w:rsid w:val="10961B97"/>
    <w:rsid w:val="10C009C2"/>
    <w:rsid w:val="10C4626F"/>
    <w:rsid w:val="10D75481"/>
    <w:rsid w:val="10DC5BA7"/>
    <w:rsid w:val="10F22B45"/>
    <w:rsid w:val="10FA1FF0"/>
    <w:rsid w:val="10FF361F"/>
    <w:rsid w:val="112B7B76"/>
    <w:rsid w:val="113001C6"/>
    <w:rsid w:val="11306601"/>
    <w:rsid w:val="1131366D"/>
    <w:rsid w:val="116752E1"/>
    <w:rsid w:val="1173012A"/>
    <w:rsid w:val="11905D3D"/>
    <w:rsid w:val="11CC7533"/>
    <w:rsid w:val="12010958"/>
    <w:rsid w:val="12B502CE"/>
    <w:rsid w:val="12CF313E"/>
    <w:rsid w:val="13313C85"/>
    <w:rsid w:val="13453400"/>
    <w:rsid w:val="137419CA"/>
    <w:rsid w:val="13831F7D"/>
    <w:rsid w:val="13874443"/>
    <w:rsid w:val="139E111E"/>
    <w:rsid w:val="13B22054"/>
    <w:rsid w:val="13B81E24"/>
    <w:rsid w:val="13F21D43"/>
    <w:rsid w:val="13F92124"/>
    <w:rsid w:val="13FA2795"/>
    <w:rsid w:val="13FC68C4"/>
    <w:rsid w:val="13FE226B"/>
    <w:rsid w:val="13FF1D23"/>
    <w:rsid w:val="14045069"/>
    <w:rsid w:val="14397409"/>
    <w:rsid w:val="1441006B"/>
    <w:rsid w:val="144B2C98"/>
    <w:rsid w:val="145C6C53"/>
    <w:rsid w:val="146A2DFC"/>
    <w:rsid w:val="14887478"/>
    <w:rsid w:val="14ED3D4F"/>
    <w:rsid w:val="151943E7"/>
    <w:rsid w:val="152C3A7F"/>
    <w:rsid w:val="15437E13"/>
    <w:rsid w:val="15A06AEA"/>
    <w:rsid w:val="15B14D7D"/>
    <w:rsid w:val="15EA3771"/>
    <w:rsid w:val="15EF1673"/>
    <w:rsid w:val="15FB06EE"/>
    <w:rsid w:val="15FB76CC"/>
    <w:rsid w:val="16225568"/>
    <w:rsid w:val="164351AB"/>
    <w:rsid w:val="16652343"/>
    <w:rsid w:val="16822884"/>
    <w:rsid w:val="168B3F87"/>
    <w:rsid w:val="16A5289D"/>
    <w:rsid w:val="16B32D77"/>
    <w:rsid w:val="16B64392"/>
    <w:rsid w:val="16F70841"/>
    <w:rsid w:val="16FC7FBF"/>
    <w:rsid w:val="171D7072"/>
    <w:rsid w:val="173613BC"/>
    <w:rsid w:val="17614434"/>
    <w:rsid w:val="17685ACA"/>
    <w:rsid w:val="17744D0D"/>
    <w:rsid w:val="17BC6930"/>
    <w:rsid w:val="17EC4792"/>
    <w:rsid w:val="17FD074D"/>
    <w:rsid w:val="17FD2374"/>
    <w:rsid w:val="182E0907"/>
    <w:rsid w:val="18544575"/>
    <w:rsid w:val="185F31B6"/>
    <w:rsid w:val="186C76D9"/>
    <w:rsid w:val="18C81342"/>
    <w:rsid w:val="18F63C9B"/>
    <w:rsid w:val="190915D8"/>
    <w:rsid w:val="191705A7"/>
    <w:rsid w:val="198F3E7A"/>
    <w:rsid w:val="19B46DCA"/>
    <w:rsid w:val="19B9771B"/>
    <w:rsid w:val="19BD63E6"/>
    <w:rsid w:val="19E5593D"/>
    <w:rsid w:val="1A1572E8"/>
    <w:rsid w:val="1A165AF6"/>
    <w:rsid w:val="1A5F5FFB"/>
    <w:rsid w:val="1A620D3B"/>
    <w:rsid w:val="1A733D23"/>
    <w:rsid w:val="1B261D69"/>
    <w:rsid w:val="1BA8729D"/>
    <w:rsid w:val="1BC04C23"/>
    <w:rsid w:val="1BDA3F8B"/>
    <w:rsid w:val="1BDC5034"/>
    <w:rsid w:val="1BDE0896"/>
    <w:rsid w:val="1BEC1F56"/>
    <w:rsid w:val="1C0B75D1"/>
    <w:rsid w:val="1C2334FB"/>
    <w:rsid w:val="1C4227E8"/>
    <w:rsid w:val="1C4626B2"/>
    <w:rsid w:val="1C580FCE"/>
    <w:rsid w:val="1C745167"/>
    <w:rsid w:val="1C774954"/>
    <w:rsid w:val="1CB86485"/>
    <w:rsid w:val="1D0045AF"/>
    <w:rsid w:val="1DA66F45"/>
    <w:rsid w:val="1DC3176D"/>
    <w:rsid w:val="1DEB5D2A"/>
    <w:rsid w:val="1DFC20EC"/>
    <w:rsid w:val="1E025220"/>
    <w:rsid w:val="1E167C06"/>
    <w:rsid w:val="1E8126F4"/>
    <w:rsid w:val="1ED13EDE"/>
    <w:rsid w:val="1EED6B6A"/>
    <w:rsid w:val="1EFD1033"/>
    <w:rsid w:val="1F343888"/>
    <w:rsid w:val="1F34517D"/>
    <w:rsid w:val="1F5219B0"/>
    <w:rsid w:val="1F551C96"/>
    <w:rsid w:val="1FAB7341"/>
    <w:rsid w:val="1FCD6C81"/>
    <w:rsid w:val="20344BEF"/>
    <w:rsid w:val="20370574"/>
    <w:rsid w:val="203C3FBF"/>
    <w:rsid w:val="20415BF6"/>
    <w:rsid w:val="20546C98"/>
    <w:rsid w:val="20555F8F"/>
    <w:rsid w:val="20844510"/>
    <w:rsid w:val="20855F87"/>
    <w:rsid w:val="20946068"/>
    <w:rsid w:val="20963FC4"/>
    <w:rsid w:val="20D7189E"/>
    <w:rsid w:val="20DA7031"/>
    <w:rsid w:val="210A4706"/>
    <w:rsid w:val="21152AF1"/>
    <w:rsid w:val="2138372D"/>
    <w:rsid w:val="213A6FF8"/>
    <w:rsid w:val="213D7D8D"/>
    <w:rsid w:val="214D5DE0"/>
    <w:rsid w:val="21627873"/>
    <w:rsid w:val="21954837"/>
    <w:rsid w:val="21DC5877"/>
    <w:rsid w:val="21EC315F"/>
    <w:rsid w:val="220E2D98"/>
    <w:rsid w:val="22571000"/>
    <w:rsid w:val="22685DDE"/>
    <w:rsid w:val="226F3FF6"/>
    <w:rsid w:val="22D73C6A"/>
    <w:rsid w:val="22E744D4"/>
    <w:rsid w:val="22F90E21"/>
    <w:rsid w:val="23452FA8"/>
    <w:rsid w:val="234904E8"/>
    <w:rsid w:val="23781D29"/>
    <w:rsid w:val="23A83C63"/>
    <w:rsid w:val="23DB0E91"/>
    <w:rsid w:val="24310A38"/>
    <w:rsid w:val="24431BDE"/>
    <w:rsid w:val="24680AC7"/>
    <w:rsid w:val="246A18D3"/>
    <w:rsid w:val="246F4781"/>
    <w:rsid w:val="24A51F50"/>
    <w:rsid w:val="24BB2DB5"/>
    <w:rsid w:val="24C50845"/>
    <w:rsid w:val="24C744B4"/>
    <w:rsid w:val="24CC30B3"/>
    <w:rsid w:val="24E75FAB"/>
    <w:rsid w:val="24F44A60"/>
    <w:rsid w:val="250F0496"/>
    <w:rsid w:val="251B2213"/>
    <w:rsid w:val="255C733C"/>
    <w:rsid w:val="25CA39BF"/>
    <w:rsid w:val="25DC4372"/>
    <w:rsid w:val="25DF025A"/>
    <w:rsid w:val="26042C0E"/>
    <w:rsid w:val="26541FD0"/>
    <w:rsid w:val="26DD2FFB"/>
    <w:rsid w:val="26F41732"/>
    <w:rsid w:val="271C2272"/>
    <w:rsid w:val="27244721"/>
    <w:rsid w:val="2758774E"/>
    <w:rsid w:val="275E4220"/>
    <w:rsid w:val="278C672D"/>
    <w:rsid w:val="279D4D50"/>
    <w:rsid w:val="27AF0870"/>
    <w:rsid w:val="27D668C5"/>
    <w:rsid w:val="27EE11C2"/>
    <w:rsid w:val="28463780"/>
    <w:rsid w:val="2860331C"/>
    <w:rsid w:val="28B74948"/>
    <w:rsid w:val="28F25980"/>
    <w:rsid w:val="28F2772E"/>
    <w:rsid w:val="28FF6E54"/>
    <w:rsid w:val="293572ED"/>
    <w:rsid w:val="295C4E54"/>
    <w:rsid w:val="2973261D"/>
    <w:rsid w:val="29916F47"/>
    <w:rsid w:val="2993385B"/>
    <w:rsid w:val="29986528"/>
    <w:rsid w:val="29BA3623"/>
    <w:rsid w:val="29DA46D7"/>
    <w:rsid w:val="2A1A51E1"/>
    <w:rsid w:val="2A3110D7"/>
    <w:rsid w:val="2A905451"/>
    <w:rsid w:val="2A950CB9"/>
    <w:rsid w:val="2AB949A8"/>
    <w:rsid w:val="2ACD0D79"/>
    <w:rsid w:val="2B150495"/>
    <w:rsid w:val="2B44461E"/>
    <w:rsid w:val="2B503110"/>
    <w:rsid w:val="2B667F60"/>
    <w:rsid w:val="2B6D7540"/>
    <w:rsid w:val="2B6E484E"/>
    <w:rsid w:val="2C0F2709"/>
    <w:rsid w:val="2C33078A"/>
    <w:rsid w:val="2C41076C"/>
    <w:rsid w:val="2C410ED3"/>
    <w:rsid w:val="2C581F9E"/>
    <w:rsid w:val="2C841846"/>
    <w:rsid w:val="2CD05FD9"/>
    <w:rsid w:val="2CDD55C2"/>
    <w:rsid w:val="2CF25F4F"/>
    <w:rsid w:val="2D1A7254"/>
    <w:rsid w:val="2D3B1296"/>
    <w:rsid w:val="2D7955F3"/>
    <w:rsid w:val="2D925B48"/>
    <w:rsid w:val="2DA37F20"/>
    <w:rsid w:val="2DAF03AB"/>
    <w:rsid w:val="2DB15135"/>
    <w:rsid w:val="2DEA7C21"/>
    <w:rsid w:val="2E0423DE"/>
    <w:rsid w:val="2E132621"/>
    <w:rsid w:val="2E2A5352"/>
    <w:rsid w:val="2E456552"/>
    <w:rsid w:val="2E666F6E"/>
    <w:rsid w:val="2E766DFD"/>
    <w:rsid w:val="2EA860EC"/>
    <w:rsid w:val="2F164EC5"/>
    <w:rsid w:val="2F3F11F4"/>
    <w:rsid w:val="2F5D1F4F"/>
    <w:rsid w:val="2F963509"/>
    <w:rsid w:val="2FAD25C0"/>
    <w:rsid w:val="2FC80D61"/>
    <w:rsid w:val="2FD61178"/>
    <w:rsid w:val="2FEE3B30"/>
    <w:rsid w:val="301D4BC0"/>
    <w:rsid w:val="3049057C"/>
    <w:rsid w:val="308F0A11"/>
    <w:rsid w:val="30CE1B0F"/>
    <w:rsid w:val="30D50061"/>
    <w:rsid w:val="311F4A1D"/>
    <w:rsid w:val="31271691"/>
    <w:rsid w:val="315216B2"/>
    <w:rsid w:val="315847D6"/>
    <w:rsid w:val="316625C5"/>
    <w:rsid w:val="31880C30"/>
    <w:rsid w:val="31E1694F"/>
    <w:rsid w:val="31EB6E1E"/>
    <w:rsid w:val="322064E7"/>
    <w:rsid w:val="32B91C34"/>
    <w:rsid w:val="32C510AC"/>
    <w:rsid w:val="32EA1223"/>
    <w:rsid w:val="33151E75"/>
    <w:rsid w:val="331E72DD"/>
    <w:rsid w:val="333948D8"/>
    <w:rsid w:val="333F66C8"/>
    <w:rsid w:val="3362086A"/>
    <w:rsid w:val="33B900CF"/>
    <w:rsid w:val="33B95A18"/>
    <w:rsid w:val="33C21232"/>
    <w:rsid w:val="33CE5231"/>
    <w:rsid w:val="33F6367F"/>
    <w:rsid w:val="342268B7"/>
    <w:rsid w:val="343574C0"/>
    <w:rsid w:val="345A1215"/>
    <w:rsid w:val="34767465"/>
    <w:rsid w:val="34982AB8"/>
    <w:rsid w:val="34A543C8"/>
    <w:rsid w:val="34E02B31"/>
    <w:rsid w:val="34E12489"/>
    <w:rsid w:val="34EC69C4"/>
    <w:rsid w:val="34F85849"/>
    <w:rsid w:val="353E482E"/>
    <w:rsid w:val="354D6418"/>
    <w:rsid w:val="35731BF7"/>
    <w:rsid w:val="358F4431"/>
    <w:rsid w:val="35AD6B22"/>
    <w:rsid w:val="35C81F43"/>
    <w:rsid w:val="35DE1766"/>
    <w:rsid w:val="360C12AB"/>
    <w:rsid w:val="36421DA1"/>
    <w:rsid w:val="364C06F5"/>
    <w:rsid w:val="364D2F0D"/>
    <w:rsid w:val="36660C1B"/>
    <w:rsid w:val="36772B09"/>
    <w:rsid w:val="367E650F"/>
    <w:rsid w:val="368649BB"/>
    <w:rsid w:val="369477E3"/>
    <w:rsid w:val="36DE637A"/>
    <w:rsid w:val="36ED7BA0"/>
    <w:rsid w:val="36F37C4B"/>
    <w:rsid w:val="370D001D"/>
    <w:rsid w:val="37117919"/>
    <w:rsid w:val="37210992"/>
    <w:rsid w:val="375A6BCB"/>
    <w:rsid w:val="37865C12"/>
    <w:rsid w:val="37907028"/>
    <w:rsid w:val="37A147F9"/>
    <w:rsid w:val="37C51BB7"/>
    <w:rsid w:val="37E7686A"/>
    <w:rsid w:val="381C6BE3"/>
    <w:rsid w:val="38291F6B"/>
    <w:rsid w:val="382E5B98"/>
    <w:rsid w:val="384869FE"/>
    <w:rsid w:val="38AD71CE"/>
    <w:rsid w:val="38C45675"/>
    <w:rsid w:val="38CD161E"/>
    <w:rsid w:val="3917174E"/>
    <w:rsid w:val="3925145A"/>
    <w:rsid w:val="39400042"/>
    <w:rsid w:val="397041D8"/>
    <w:rsid w:val="397D36E2"/>
    <w:rsid w:val="39822409"/>
    <w:rsid w:val="39F81603"/>
    <w:rsid w:val="39FB2C86"/>
    <w:rsid w:val="3A345DF9"/>
    <w:rsid w:val="3A454075"/>
    <w:rsid w:val="3A717768"/>
    <w:rsid w:val="3A7B59ED"/>
    <w:rsid w:val="3A893244"/>
    <w:rsid w:val="3AB93AD2"/>
    <w:rsid w:val="3AC569CA"/>
    <w:rsid w:val="3AC727C9"/>
    <w:rsid w:val="3B0555C7"/>
    <w:rsid w:val="3B173B2B"/>
    <w:rsid w:val="3B1B2B15"/>
    <w:rsid w:val="3B3616FD"/>
    <w:rsid w:val="3B3D0CDD"/>
    <w:rsid w:val="3B571A31"/>
    <w:rsid w:val="3B6540C9"/>
    <w:rsid w:val="3B6743D5"/>
    <w:rsid w:val="3B6A0BD6"/>
    <w:rsid w:val="3B6F253D"/>
    <w:rsid w:val="3BA70734"/>
    <w:rsid w:val="3BAB3E99"/>
    <w:rsid w:val="3BCC06FF"/>
    <w:rsid w:val="3C0F3B1B"/>
    <w:rsid w:val="3C351240"/>
    <w:rsid w:val="3C3E25FF"/>
    <w:rsid w:val="3C540343"/>
    <w:rsid w:val="3C77021F"/>
    <w:rsid w:val="3CA814AA"/>
    <w:rsid w:val="3CAA5A38"/>
    <w:rsid w:val="3D2C43D4"/>
    <w:rsid w:val="3D462BA4"/>
    <w:rsid w:val="3D4F6AA6"/>
    <w:rsid w:val="3D5C074C"/>
    <w:rsid w:val="3D641776"/>
    <w:rsid w:val="3D66188F"/>
    <w:rsid w:val="3D6B3050"/>
    <w:rsid w:val="3DC94AAA"/>
    <w:rsid w:val="3DF23B18"/>
    <w:rsid w:val="3E064FCD"/>
    <w:rsid w:val="3E1026D9"/>
    <w:rsid w:val="3E1E699E"/>
    <w:rsid w:val="3E3A638B"/>
    <w:rsid w:val="3ED74FA5"/>
    <w:rsid w:val="3EF47905"/>
    <w:rsid w:val="3F1673A8"/>
    <w:rsid w:val="3F23541F"/>
    <w:rsid w:val="3F3E6D03"/>
    <w:rsid w:val="3F977F77"/>
    <w:rsid w:val="3F9F3D14"/>
    <w:rsid w:val="3FBF6165"/>
    <w:rsid w:val="3FC70BF1"/>
    <w:rsid w:val="40827192"/>
    <w:rsid w:val="408D2095"/>
    <w:rsid w:val="409A3D12"/>
    <w:rsid w:val="40DF274F"/>
    <w:rsid w:val="40EA7148"/>
    <w:rsid w:val="40EF52DE"/>
    <w:rsid w:val="410944F6"/>
    <w:rsid w:val="4157061F"/>
    <w:rsid w:val="416C703B"/>
    <w:rsid w:val="418B6180"/>
    <w:rsid w:val="419929E5"/>
    <w:rsid w:val="423821FE"/>
    <w:rsid w:val="42530DE6"/>
    <w:rsid w:val="4299234F"/>
    <w:rsid w:val="42D91856"/>
    <w:rsid w:val="42DA5063"/>
    <w:rsid w:val="436B5F77"/>
    <w:rsid w:val="438E1651"/>
    <w:rsid w:val="439416B6"/>
    <w:rsid w:val="442B1AF2"/>
    <w:rsid w:val="44325D1D"/>
    <w:rsid w:val="44603269"/>
    <w:rsid w:val="449F6565"/>
    <w:rsid w:val="44A14E43"/>
    <w:rsid w:val="44CD1324"/>
    <w:rsid w:val="44DF0DF1"/>
    <w:rsid w:val="44E5036F"/>
    <w:rsid w:val="44F113D0"/>
    <w:rsid w:val="44FC5765"/>
    <w:rsid w:val="459E3CA7"/>
    <w:rsid w:val="45F3102E"/>
    <w:rsid w:val="45F906B7"/>
    <w:rsid w:val="46215E9C"/>
    <w:rsid w:val="464E439A"/>
    <w:rsid w:val="46515D1B"/>
    <w:rsid w:val="468C48C7"/>
    <w:rsid w:val="46C6602A"/>
    <w:rsid w:val="46DC76EB"/>
    <w:rsid w:val="472B101C"/>
    <w:rsid w:val="473E2065"/>
    <w:rsid w:val="47573126"/>
    <w:rsid w:val="476F10BA"/>
    <w:rsid w:val="47841A42"/>
    <w:rsid w:val="47857C94"/>
    <w:rsid w:val="47961EA1"/>
    <w:rsid w:val="47A67C0A"/>
    <w:rsid w:val="47D7140A"/>
    <w:rsid w:val="47DE682B"/>
    <w:rsid w:val="47DF376B"/>
    <w:rsid w:val="47E6754A"/>
    <w:rsid w:val="47EA2EAC"/>
    <w:rsid w:val="48044C00"/>
    <w:rsid w:val="480E2E2C"/>
    <w:rsid w:val="48556F43"/>
    <w:rsid w:val="48834B52"/>
    <w:rsid w:val="4898542D"/>
    <w:rsid w:val="48C93BB0"/>
    <w:rsid w:val="48D472A2"/>
    <w:rsid w:val="495F5427"/>
    <w:rsid w:val="4961028C"/>
    <w:rsid w:val="498D4162"/>
    <w:rsid w:val="49920EAE"/>
    <w:rsid w:val="49AB2A4A"/>
    <w:rsid w:val="49C167BA"/>
    <w:rsid w:val="49C27781"/>
    <w:rsid w:val="49C5081B"/>
    <w:rsid w:val="49C86282"/>
    <w:rsid w:val="49D5445A"/>
    <w:rsid w:val="49E250DF"/>
    <w:rsid w:val="49EE7639"/>
    <w:rsid w:val="4A0E66D8"/>
    <w:rsid w:val="4A134258"/>
    <w:rsid w:val="4A8745C2"/>
    <w:rsid w:val="4AA975D6"/>
    <w:rsid w:val="4AC84136"/>
    <w:rsid w:val="4B015F26"/>
    <w:rsid w:val="4B0D1A3B"/>
    <w:rsid w:val="4B6E60E6"/>
    <w:rsid w:val="4B7104AC"/>
    <w:rsid w:val="4B7818BD"/>
    <w:rsid w:val="4BDB2578"/>
    <w:rsid w:val="4BDB667C"/>
    <w:rsid w:val="4BE96317"/>
    <w:rsid w:val="4C19218F"/>
    <w:rsid w:val="4C6738C1"/>
    <w:rsid w:val="4CD7071C"/>
    <w:rsid w:val="4CDF3C83"/>
    <w:rsid w:val="4CE02EC9"/>
    <w:rsid w:val="4CFD1DDD"/>
    <w:rsid w:val="4CFE153D"/>
    <w:rsid w:val="4D05364F"/>
    <w:rsid w:val="4D23161E"/>
    <w:rsid w:val="4DCD4142"/>
    <w:rsid w:val="4DD1068E"/>
    <w:rsid w:val="4DD51249"/>
    <w:rsid w:val="4DDB5815"/>
    <w:rsid w:val="4DE549CF"/>
    <w:rsid w:val="4DE70024"/>
    <w:rsid w:val="4E3F5BA3"/>
    <w:rsid w:val="4E7D23F4"/>
    <w:rsid w:val="4E7D6F4C"/>
    <w:rsid w:val="4EAD2341"/>
    <w:rsid w:val="4EBF28B2"/>
    <w:rsid w:val="4EF676C9"/>
    <w:rsid w:val="4F0139B2"/>
    <w:rsid w:val="4F5C1FF1"/>
    <w:rsid w:val="4F777928"/>
    <w:rsid w:val="4F7C5AFA"/>
    <w:rsid w:val="4F860A4D"/>
    <w:rsid w:val="4F8C0C60"/>
    <w:rsid w:val="4F9F078E"/>
    <w:rsid w:val="4FA5655C"/>
    <w:rsid w:val="4FEB1815"/>
    <w:rsid w:val="4FFC2136"/>
    <w:rsid w:val="502D3E05"/>
    <w:rsid w:val="50A44C5B"/>
    <w:rsid w:val="50A51CEC"/>
    <w:rsid w:val="50A56CB1"/>
    <w:rsid w:val="50F6575E"/>
    <w:rsid w:val="51066FF1"/>
    <w:rsid w:val="515F1C58"/>
    <w:rsid w:val="51965CE4"/>
    <w:rsid w:val="51F021AD"/>
    <w:rsid w:val="52065E75"/>
    <w:rsid w:val="52075749"/>
    <w:rsid w:val="52123D40"/>
    <w:rsid w:val="522D3B50"/>
    <w:rsid w:val="524E6853"/>
    <w:rsid w:val="52B77439"/>
    <w:rsid w:val="52C11D9C"/>
    <w:rsid w:val="52EA4E4F"/>
    <w:rsid w:val="5302663C"/>
    <w:rsid w:val="531F51CA"/>
    <w:rsid w:val="532760A3"/>
    <w:rsid w:val="53314014"/>
    <w:rsid w:val="53317146"/>
    <w:rsid w:val="5334256E"/>
    <w:rsid w:val="53530C46"/>
    <w:rsid w:val="538E1C7E"/>
    <w:rsid w:val="541A1764"/>
    <w:rsid w:val="543071D9"/>
    <w:rsid w:val="543422F3"/>
    <w:rsid w:val="54673318"/>
    <w:rsid w:val="54993B75"/>
    <w:rsid w:val="549A66A2"/>
    <w:rsid w:val="54DE112B"/>
    <w:rsid w:val="55081F04"/>
    <w:rsid w:val="550F6DEF"/>
    <w:rsid w:val="5560505E"/>
    <w:rsid w:val="55926968"/>
    <w:rsid w:val="55974203"/>
    <w:rsid w:val="559F4616"/>
    <w:rsid w:val="55A01AEB"/>
    <w:rsid w:val="55AF2380"/>
    <w:rsid w:val="55CB540B"/>
    <w:rsid w:val="56301FDC"/>
    <w:rsid w:val="563354D2"/>
    <w:rsid w:val="56400D90"/>
    <w:rsid w:val="56724241"/>
    <w:rsid w:val="56B30346"/>
    <w:rsid w:val="56C61954"/>
    <w:rsid w:val="56F664B8"/>
    <w:rsid w:val="571F6992"/>
    <w:rsid w:val="57275AC9"/>
    <w:rsid w:val="57883400"/>
    <w:rsid w:val="57893BDA"/>
    <w:rsid w:val="57B813CA"/>
    <w:rsid w:val="57C8450A"/>
    <w:rsid w:val="57DC2203"/>
    <w:rsid w:val="57DC76C5"/>
    <w:rsid w:val="57E46DE1"/>
    <w:rsid w:val="580C67B6"/>
    <w:rsid w:val="583D6E5A"/>
    <w:rsid w:val="584557D3"/>
    <w:rsid w:val="585316E8"/>
    <w:rsid w:val="585865EB"/>
    <w:rsid w:val="588E2720"/>
    <w:rsid w:val="589763E3"/>
    <w:rsid w:val="589C4E3D"/>
    <w:rsid w:val="58E240CE"/>
    <w:rsid w:val="58E940A7"/>
    <w:rsid w:val="58F502C4"/>
    <w:rsid w:val="59480F81"/>
    <w:rsid w:val="594D2DC3"/>
    <w:rsid w:val="594E320F"/>
    <w:rsid w:val="597E3F42"/>
    <w:rsid w:val="59A71B28"/>
    <w:rsid w:val="59CE1778"/>
    <w:rsid w:val="59EE16C8"/>
    <w:rsid w:val="5A200458"/>
    <w:rsid w:val="5A4C234C"/>
    <w:rsid w:val="5A546557"/>
    <w:rsid w:val="5A7F1E77"/>
    <w:rsid w:val="5A921A3C"/>
    <w:rsid w:val="5A92474A"/>
    <w:rsid w:val="5AD17913"/>
    <w:rsid w:val="5B1C2D81"/>
    <w:rsid w:val="5B321A89"/>
    <w:rsid w:val="5B8F76C4"/>
    <w:rsid w:val="5BCA156F"/>
    <w:rsid w:val="5BF5334F"/>
    <w:rsid w:val="5C493790"/>
    <w:rsid w:val="5C507FD7"/>
    <w:rsid w:val="5C6F3B0A"/>
    <w:rsid w:val="5C954725"/>
    <w:rsid w:val="5C990038"/>
    <w:rsid w:val="5C996113"/>
    <w:rsid w:val="5C9D0986"/>
    <w:rsid w:val="5D3A177D"/>
    <w:rsid w:val="5D4B45A5"/>
    <w:rsid w:val="5D90525D"/>
    <w:rsid w:val="5DB27491"/>
    <w:rsid w:val="5E4044BD"/>
    <w:rsid w:val="5E4A0E97"/>
    <w:rsid w:val="5E4D2736"/>
    <w:rsid w:val="5E6769C4"/>
    <w:rsid w:val="5E6D64CB"/>
    <w:rsid w:val="5EAF69B4"/>
    <w:rsid w:val="5EB02D4D"/>
    <w:rsid w:val="5ECE5CA9"/>
    <w:rsid w:val="5ED03A93"/>
    <w:rsid w:val="5EE27322"/>
    <w:rsid w:val="5EFA7D9C"/>
    <w:rsid w:val="5F00253F"/>
    <w:rsid w:val="5F090D52"/>
    <w:rsid w:val="5F781A34"/>
    <w:rsid w:val="5F7A186E"/>
    <w:rsid w:val="5F7E395C"/>
    <w:rsid w:val="5FC15CEB"/>
    <w:rsid w:val="5FDD1AF2"/>
    <w:rsid w:val="60116111"/>
    <w:rsid w:val="60260721"/>
    <w:rsid w:val="60342D54"/>
    <w:rsid w:val="603B6B56"/>
    <w:rsid w:val="60602240"/>
    <w:rsid w:val="60736D90"/>
    <w:rsid w:val="60C26A27"/>
    <w:rsid w:val="60CC4641"/>
    <w:rsid w:val="60D54049"/>
    <w:rsid w:val="60FC21E1"/>
    <w:rsid w:val="61131A15"/>
    <w:rsid w:val="615F4C5A"/>
    <w:rsid w:val="616E30EF"/>
    <w:rsid w:val="6171498D"/>
    <w:rsid w:val="6192502F"/>
    <w:rsid w:val="61B34FA6"/>
    <w:rsid w:val="62001846"/>
    <w:rsid w:val="62492517"/>
    <w:rsid w:val="625639D6"/>
    <w:rsid w:val="626D423F"/>
    <w:rsid w:val="629A25C3"/>
    <w:rsid w:val="62A611BD"/>
    <w:rsid w:val="62AE5E99"/>
    <w:rsid w:val="62FB05A6"/>
    <w:rsid w:val="63117765"/>
    <w:rsid w:val="631D4DCC"/>
    <w:rsid w:val="63200E21"/>
    <w:rsid w:val="632B573B"/>
    <w:rsid w:val="633B0AB8"/>
    <w:rsid w:val="635E2420"/>
    <w:rsid w:val="639B1A12"/>
    <w:rsid w:val="639F1C85"/>
    <w:rsid w:val="63F41631"/>
    <w:rsid w:val="63FD5963"/>
    <w:rsid w:val="63FD5F38"/>
    <w:rsid w:val="64283A29"/>
    <w:rsid w:val="64467619"/>
    <w:rsid w:val="646D3B32"/>
    <w:rsid w:val="649472FF"/>
    <w:rsid w:val="64DB22B5"/>
    <w:rsid w:val="64EB5B2D"/>
    <w:rsid w:val="64ED5246"/>
    <w:rsid w:val="64F9122D"/>
    <w:rsid w:val="651C1CCC"/>
    <w:rsid w:val="65801862"/>
    <w:rsid w:val="659550EE"/>
    <w:rsid w:val="65A77B26"/>
    <w:rsid w:val="65C23A09"/>
    <w:rsid w:val="65F33863"/>
    <w:rsid w:val="663A7A43"/>
    <w:rsid w:val="663C1B1B"/>
    <w:rsid w:val="664E78B5"/>
    <w:rsid w:val="665E79B6"/>
    <w:rsid w:val="666D6ACD"/>
    <w:rsid w:val="6678426F"/>
    <w:rsid w:val="669C0A5F"/>
    <w:rsid w:val="66EB5EC0"/>
    <w:rsid w:val="66F527A2"/>
    <w:rsid w:val="67177D85"/>
    <w:rsid w:val="67386590"/>
    <w:rsid w:val="676015CF"/>
    <w:rsid w:val="677D3789"/>
    <w:rsid w:val="67817EC9"/>
    <w:rsid w:val="679A7627"/>
    <w:rsid w:val="67C76C25"/>
    <w:rsid w:val="67CD776C"/>
    <w:rsid w:val="67D773AA"/>
    <w:rsid w:val="67E20393"/>
    <w:rsid w:val="681349F0"/>
    <w:rsid w:val="682D0794"/>
    <w:rsid w:val="683018AC"/>
    <w:rsid w:val="683825E7"/>
    <w:rsid w:val="68886D15"/>
    <w:rsid w:val="68AE0517"/>
    <w:rsid w:val="68B0223F"/>
    <w:rsid w:val="68DD65D8"/>
    <w:rsid w:val="68EA74FF"/>
    <w:rsid w:val="69287CF7"/>
    <w:rsid w:val="697771F0"/>
    <w:rsid w:val="69A04061"/>
    <w:rsid w:val="69F217DA"/>
    <w:rsid w:val="6A072332"/>
    <w:rsid w:val="6A484E25"/>
    <w:rsid w:val="6AAD1874"/>
    <w:rsid w:val="6B0E35C6"/>
    <w:rsid w:val="6B4A0C7A"/>
    <w:rsid w:val="6B50037F"/>
    <w:rsid w:val="6B746367"/>
    <w:rsid w:val="6BC14A37"/>
    <w:rsid w:val="6BDA5F51"/>
    <w:rsid w:val="6C0E1756"/>
    <w:rsid w:val="6C1F3AEB"/>
    <w:rsid w:val="6C6C545C"/>
    <w:rsid w:val="6CB34465"/>
    <w:rsid w:val="6CF459B4"/>
    <w:rsid w:val="6D270F41"/>
    <w:rsid w:val="6D2D3750"/>
    <w:rsid w:val="6D37450A"/>
    <w:rsid w:val="6D476162"/>
    <w:rsid w:val="6D4E1BF9"/>
    <w:rsid w:val="6D534011"/>
    <w:rsid w:val="6D577A30"/>
    <w:rsid w:val="6DFB3967"/>
    <w:rsid w:val="6E396833"/>
    <w:rsid w:val="6E3D3E96"/>
    <w:rsid w:val="6E4B4A1F"/>
    <w:rsid w:val="6E66347A"/>
    <w:rsid w:val="6E6B2E90"/>
    <w:rsid w:val="6EB15809"/>
    <w:rsid w:val="6EF32E85"/>
    <w:rsid w:val="6F15321B"/>
    <w:rsid w:val="6F765F90"/>
    <w:rsid w:val="6F7E79B2"/>
    <w:rsid w:val="6F97317A"/>
    <w:rsid w:val="6FD60754"/>
    <w:rsid w:val="6FE054DB"/>
    <w:rsid w:val="700C27C9"/>
    <w:rsid w:val="70187047"/>
    <w:rsid w:val="70215068"/>
    <w:rsid w:val="706C6102"/>
    <w:rsid w:val="707A2584"/>
    <w:rsid w:val="70E23899"/>
    <w:rsid w:val="71072C18"/>
    <w:rsid w:val="712761E2"/>
    <w:rsid w:val="71880AA7"/>
    <w:rsid w:val="719437B7"/>
    <w:rsid w:val="71C11862"/>
    <w:rsid w:val="71D40D4C"/>
    <w:rsid w:val="71EF3DD8"/>
    <w:rsid w:val="7209059E"/>
    <w:rsid w:val="724063E2"/>
    <w:rsid w:val="724162ED"/>
    <w:rsid w:val="72AE1555"/>
    <w:rsid w:val="72B06160"/>
    <w:rsid w:val="72B27357"/>
    <w:rsid w:val="732B7FED"/>
    <w:rsid w:val="735212A8"/>
    <w:rsid w:val="73624B89"/>
    <w:rsid w:val="7368536E"/>
    <w:rsid w:val="736B1B84"/>
    <w:rsid w:val="736E3E77"/>
    <w:rsid w:val="73E76412"/>
    <w:rsid w:val="73F40C3A"/>
    <w:rsid w:val="7430426D"/>
    <w:rsid w:val="743914DE"/>
    <w:rsid w:val="743B3304"/>
    <w:rsid w:val="74406ECA"/>
    <w:rsid w:val="74423818"/>
    <w:rsid w:val="745B1FE4"/>
    <w:rsid w:val="74687E72"/>
    <w:rsid w:val="74C45F90"/>
    <w:rsid w:val="75067F9B"/>
    <w:rsid w:val="751A20A4"/>
    <w:rsid w:val="75383380"/>
    <w:rsid w:val="75480195"/>
    <w:rsid w:val="75622B13"/>
    <w:rsid w:val="75720FA8"/>
    <w:rsid w:val="75915EA6"/>
    <w:rsid w:val="75A90742"/>
    <w:rsid w:val="75B55338"/>
    <w:rsid w:val="75C3535A"/>
    <w:rsid w:val="75E6211F"/>
    <w:rsid w:val="75ED3979"/>
    <w:rsid w:val="76387B01"/>
    <w:rsid w:val="76594E7F"/>
    <w:rsid w:val="76F1221F"/>
    <w:rsid w:val="76F36118"/>
    <w:rsid w:val="76F45BCB"/>
    <w:rsid w:val="772B46CB"/>
    <w:rsid w:val="77550632"/>
    <w:rsid w:val="77742513"/>
    <w:rsid w:val="777C4360"/>
    <w:rsid w:val="778101AF"/>
    <w:rsid w:val="77A30FE1"/>
    <w:rsid w:val="77A64F39"/>
    <w:rsid w:val="77C31575"/>
    <w:rsid w:val="77CB499F"/>
    <w:rsid w:val="77EF3179"/>
    <w:rsid w:val="77F022B2"/>
    <w:rsid w:val="781B5927"/>
    <w:rsid w:val="781C1F95"/>
    <w:rsid w:val="785B5495"/>
    <w:rsid w:val="788306BD"/>
    <w:rsid w:val="78880AE2"/>
    <w:rsid w:val="788A485A"/>
    <w:rsid w:val="788D434B"/>
    <w:rsid w:val="78940C6A"/>
    <w:rsid w:val="78A055B0"/>
    <w:rsid w:val="78B11DE7"/>
    <w:rsid w:val="78BF1C0A"/>
    <w:rsid w:val="78CC0103"/>
    <w:rsid w:val="78F22B1F"/>
    <w:rsid w:val="79022643"/>
    <w:rsid w:val="790F0AFD"/>
    <w:rsid w:val="7937686D"/>
    <w:rsid w:val="79CE51C2"/>
    <w:rsid w:val="79EB67B4"/>
    <w:rsid w:val="79FE72AE"/>
    <w:rsid w:val="7A3C7DD6"/>
    <w:rsid w:val="7A4822D7"/>
    <w:rsid w:val="7A57324B"/>
    <w:rsid w:val="7A772BBC"/>
    <w:rsid w:val="7A8552D9"/>
    <w:rsid w:val="7A9A28D2"/>
    <w:rsid w:val="7ACD6C80"/>
    <w:rsid w:val="7B02637D"/>
    <w:rsid w:val="7B126198"/>
    <w:rsid w:val="7B134A40"/>
    <w:rsid w:val="7B2B0A77"/>
    <w:rsid w:val="7B441466"/>
    <w:rsid w:val="7B917CAE"/>
    <w:rsid w:val="7BCB7F8E"/>
    <w:rsid w:val="7BE424D4"/>
    <w:rsid w:val="7BF40D92"/>
    <w:rsid w:val="7BF85F7F"/>
    <w:rsid w:val="7C172B36"/>
    <w:rsid w:val="7C372603"/>
    <w:rsid w:val="7C5C4760"/>
    <w:rsid w:val="7C667F1C"/>
    <w:rsid w:val="7C6C143D"/>
    <w:rsid w:val="7C943EFA"/>
    <w:rsid w:val="7CB30AA9"/>
    <w:rsid w:val="7CB73744"/>
    <w:rsid w:val="7CF035D7"/>
    <w:rsid w:val="7D4067A2"/>
    <w:rsid w:val="7D667940"/>
    <w:rsid w:val="7D782922"/>
    <w:rsid w:val="7D8A0E59"/>
    <w:rsid w:val="7DEE13E8"/>
    <w:rsid w:val="7DF2548C"/>
    <w:rsid w:val="7E132BFC"/>
    <w:rsid w:val="7E3044F6"/>
    <w:rsid w:val="7E531449"/>
    <w:rsid w:val="7E6D4A02"/>
    <w:rsid w:val="7E755F69"/>
    <w:rsid w:val="7EB048EF"/>
    <w:rsid w:val="7F0B6ADF"/>
    <w:rsid w:val="7F663D79"/>
    <w:rsid w:val="7F6C1665"/>
    <w:rsid w:val="7F736048"/>
    <w:rsid w:val="7F89586C"/>
    <w:rsid w:val="7FC00ADD"/>
    <w:rsid w:val="7FD03A3C"/>
    <w:rsid w:val="7FDE3954"/>
    <w:rsid w:val="7FF16F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name="List"/>
    <w:lsdException w:uiPriority="99" w:name="List Bullet"/>
    <w:lsdException w:qFormat="1" w:uiPriority="99" w:name="List Number"/>
    <w:lsdException w:uiPriority="99" w:name="List 2"/>
    <w:lsdException w:uiPriority="99" w:name="List 3"/>
    <w:lsdException w:uiPriority="99" w:name="List 4"/>
    <w:lsdException w:uiPriority="99" w:name="List 5"/>
    <w:lsdException w:qFormat="1"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qFormat="1"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heme="minorHAnsi" w:hAnsiTheme="minorHAnsi" w:eastAsiaTheme="minorEastAsia" w:cstheme="minorBidi"/>
      <w:kern w:val="2"/>
      <w:sz w:val="24"/>
      <w:szCs w:val="22"/>
      <w:lang w:val="en-US" w:eastAsia="zh-CN" w:bidi="ar-SA"/>
    </w:rPr>
  </w:style>
  <w:style w:type="paragraph" w:styleId="3">
    <w:name w:val="heading 1"/>
    <w:basedOn w:val="1"/>
    <w:next w:val="1"/>
    <w:link w:val="50"/>
    <w:qFormat/>
    <w:uiPriority w:val="9"/>
    <w:pPr>
      <w:keepNext/>
      <w:keepLines/>
      <w:spacing w:line="480" w:lineRule="auto"/>
      <w:outlineLvl w:val="0"/>
    </w:pPr>
    <w:rPr>
      <w:b/>
      <w:bCs/>
      <w:kern w:val="44"/>
      <w:sz w:val="44"/>
      <w:szCs w:val="44"/>
    </w:rPr>
  </w:style>
  <w:style w:type="paragraph" w:styleId="4">
    <w:name w:val="heading 2"/>
    <w:basedOn w:val="5"/>
    <w:next w:val="6"/>
    <w:link w:val="51"/>
    <w:unhideWhenUsed/>
    <w:qFormat/>
    <w:uiPriority w:val="9"/>
    <w:pPr>
      <w:keepNext/>
      <w:keepLines/>
      <w:outlineLvl w:val="1"/>
    </w:pPr>
    <w:rPr>
      <w:sz w:val="32"/>
    </w:rPr>
  </w:style>
  <w:style w:type="paragraph" w:styleId="7">
    <w:name w:val="heading 3"/>
    <w:basedOn w:val="1"/>
    <w:next w:val="1"/>
    <w:link w:val="52"/>
    <w:unhideWhenUsed/>
    <w:qFormat/>
    <w:uiPriority w:val="9"/>
    <w:pPr>
      <w:keepNext/>
      <w:keepLines/>
      <w:outlineLvl w:val="2"/>
    </w:pPr>
    <w:rPr>
      <w:b/>
      <w:bCs/>
      <w:sz w:val="30"/>
      <w:szCs w:val="32"/>
    </w:rPr>
  </w:style>
  <w:style w:type="paragraph" w:styleId="8">
    <w:name w:val="heading 4"/>
    <w:basedOn w:val="1"/>
    <w:next w:val="1"/>
    <w:link w:val="53"/>
    <w:unhideWhenUsed/>
    <w:qFormat/>
    <w:uiPriority w:val="9"/>
    <w:pPr>
      <w:keepNext/>
      <w:keepLines/>
      <w:outlineLvl w:val="3"/>
    </w:pPr>
    <w:rPr>
      <w:rFonts w:asciiTheme="majorHAnsi" w:hAnsiTheme="majorHAnsi" w:eastAsiaTheme="majorEastAsia" w:cstheme="majorBidi"/>
      <w:b/>
      <w:bCs/>
      <w:sz w:val="28"/>
      <w:szCs w:val="28"/>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72"/>
    <w:unhideWhenUsed/>
    <w:qFormat/>
    <w:uiPriority w:val="0"/>
    <w:pPr>
      <w:autoSpaceDE w:val="0"/>
      <w:autoSpaceDN w:val="0"/>
      <w:spacing w:after="120" w:line="240" w:lineRule="auto"/>
      <w:jc w:val="left"/>
    </w:pPr>
    <w:rPr>
      <w:rFonts w:ascii="宋体" w:hAnsi="宋体" w:eastAsia="宋体" w:cs="宋体"/>
      <w:kern w:val="0"/>
      <w:sz w:val="22"/>
      <w:lang w:val="zh-CN" w:bidi="zh-CN"/>
    </w:rPr>
  </w:style>
  <w:style w:type="paragraph" w:styleId="5">
    <w:name w:val="Title"/>
    <w:basedOn w:val="1"/>
    <w:next w:val="1"/>
    <w:link w:val="56"/>
    <w:qFormat/>
    <w:uiPriority w:val="10"/>
    <w:pPr>
      <w:spacing w:after="60"/>
      <w:jc w:val="center"/>
    </w:pPr>
    <w:rPr>
      <w:rFonts w:asciiTheme="majorHAnsi" w:hAnsiTheme="majorHAnsi" w:eastAsiaTheme="majorEastAsia" w:cstheme="majorBidi"/>
      <w:b/>
      <w:bCs/>
      <w:szCs w:val="32"/>
    </w:rPr>
  </w:style>
  <w:style w:type="paragraph" w:styleId="6">
    <w:name w:val="Plain Text"/>
    <w:basedOn w:val="1"/>
    <w:qFormat/>
    <w:uiPriority w:val="0"/>
    <w:pPr>
      <w:spacing w:line="240" w:lineRule="atLeast"/>
    </w:pPr>
    <w:rPr>
      <w:rFonts w:ascii="宋体" w:hAnsi="Courier New"/>
      <w:kern w:val="0"/>
      <w:sz w:val="20"/>
      <w:szCs w:val="28"/>
    </w:rPr>
  </w:style>
  <w:style w:type="paragraph" w:styleId="9">
    <w:name w:val="toc 7"/>
    <w:basedOn w:val="1"/>
    <w:next w:val="1"/>
    <w:unhideWhenUsed/>
    <w:qFormat/>
    <w:uiPriority w:val="39"/>
    <w:pPr>
      <w:ind w:left="1440"/>
      <w:jc w:val="left"/>
    </w:pPr>
    <w:rPr>
      <w:rFonts w:cstheme="minorHAnsi"/>
      <w:sz w:val="18"/>
      <w:szCs w:val="18"/>
    </w:rPr>
  </w:style>
  <w:style w:type="paragraph" w:styleId="10">
    <w:name w:val="List Number"/>
    <w:basedOn w:val="1"/>
    <w:semiHidden/>
    <w:unhideWhenUsed/>
    <w:qFormat/>
    <w:uiPriority w:val="99"/>
    <w:pPr>
      <w:numPr>
        <w:ilvl w:val="0"/>
        <w:numId w:val="1"/>
      </w:numPr>
      <w:contextualSpacing/>
    </w:pPr>
  </w:style>
  <w:style w:type="paragraph" w:styleId="11">
    <w:name w:val="Normal Indent"/>
    <w:basedOn w:val="1"/>
    <w:next w:val="1"/>
    <w:qFormat/>
    <w:uiPriority w:val="0"/>
    <w:pPr>
      <w:ind w:firstLine="420" w:firstLineChars="200"/>
    </w:pPr>
    <w:rPr>
      <w:rFonts w:ascii="Times New Roman" w:hAnsi="Times New Roman"/>
      <w:kern w:val="0"/>
      <w:sz w:val="20"/>
    </w:rPr>
  </w:style>
  <w:style w:type="paragraph" w:styleId="12">
    <w:name w:val="caption"/>
    <w:basedOn w:val="1"/>
    <w:next w:val="13"/>
    <w:qFormat/>
    <w:uiPriority w:val="0"/>
    <w:pPr>
      <w:spacing w:line="240" w:lineRule="auto"/>
    </w:pPr>
    <w:rPr>
      <w:rFonts w:ascii="Cambria" w:hAnsi="Cambria" w:eastAsia="黑体" w:cs="Times New Roman"/>
      <w:sz w:val="20"/>
      <w:szCs w:val="20"/>
    </w:rPr>
  </w:style>
  <w:style w:type="paragraph" w:customStyle="1" w:styleId="13">
    <w:name w:val="报告正文"/>
    <w:qFormat/>
    <w:uiPriority w:val="0"/>
    <w:pPr>
      <w:spacing w:line="360" w:lineRule="auto"/>
      <w:ind w:firstLine="200" w:firstLineChars="200"/>
    </w:pPr>
    <w:rPr>
      <w:rFonts w:ascii="Times New Roman" w:hAnsi="Times New Roman" w:eastAsia="Times New Roman" w:cs="Times New Roman"/>
      <w:kern w:val="44"/>
      <w:sz w:val="24"/>
      <w:lang w:val="en-US" w:eastAsia="zh-CN" w:bidi="ar-SA"/>
    </w:rPr>
  </w:style>
  <w:style w:type="paragraph" w:styleId="14">
    <w:name w:val="annotation text"/>
    <w:basedOn w:val="1"/>
    <w:link w:val="68"/>
    <w:unhideWhenUsed/>
    <w:qFormat/>
    <w:uiPriority w:val="99"/>
    <w:pPr>
      <w:jc w:val="left"/>
    </w:pPr>
  </w:style>
  <w:style w:type="paragraph" w:styleId="15">
    <w:name w:val="Body Text Indent"/>
    <w:basedOn w:val="1"/>
    <w:qFormat/>
    <w:uiPriority w:val="0"/>
    <w:pPr>
      <w:ind w:firstLine="421"/>
    </w:pPr>
    <w:rPr>
      <w:rFonts w:ascii="Times New Roman" w:hAnsi="Times New Roman"/>
      <w:kern w:val="0"/>
      <w:sz w:val="20"/>
      <w:szCs w:val="20"/>
    </w:rPr>
  </w:style>
  <w:style w:type="paragraph" w:styleId="16">
    <w:name w:val="List Bullet 2"/>
    <w:basedOn w:val="1"/>
    <w:next w:val="17"/>
    <w:semiHidden/>
    <w:unhideWhenUsed/>
    <w:qFormat/>
    <w:uiPriority w:val="99"/>
    <w:pPr>
      <w:numPr>
        <w:ilvl w:val="0"/>
        <w:numId w:val="2"/>
      </w:numPr>
    </w:pPr>
  </w:style>
  <w:style w:type="paragraph" w:customStyle="1" w:styleId="17">
    <w:name w:val="xl70"/>
    <w:basedOn w:val="1"/>
    <w:next w:val="18"/>
    <w:qFormat/>
    <w:uiPriority w:val="0"/>
    <w:pPr>
      <w:widowControl/>
      <w:pBdr>
        <w:bottom w:val="single" w:color="auto" w:sz="12" w:space="0"/>
      </w:pBdr>
      <w:spacing w:before="100" w:beforeAutospacing="1" w:after="100" w:afterAutospacing="1"/>
      <w:jc w:val="left"/>
    </w:pPr>
    <w:rPr>
      <w:rFonts w:ascii="Arial Unicode MS" w:hAnsi="Arial Unicode MS"/>
      <w:kern w:val="0"/>
      <w:sz w:val="12"/>
      <w:szCs w:val="12"/>
    </w:rPr>
  </w:style>
  <w:style w:type="paragraph" w:customStyle="1" w:styleId="18">
    <w:name w:val="正文缩进1"/>
    <w:basedOn w:val="1"/>
    <w:qFormat/>
    <w:uiPriority w:val="0"/>
    <w:pPr>
      <w:spacing w:before="50" w:beforeLines="50" w:after="50" w:afterLines="50"/>
      <w:ind w:firstLine="435" w:firstLineChars="435"/>
    </w:pPr>
    <w:rPr>
      <w:rFonts w:ascii="黑体" w:hAnsi="Times New Roman" w:eastAsia="黑体"/>
    </w:rPr>
  </w:style>
  <w:style w:type="paragraph" w:styleId="19">
    <w:name w:val="toc 5"/>
    <w:basedOn w:val="1"/>
    <w:next w:val="1"/>
    <w:unhideWhenUsed/>
    <w:qFormat/>
    <w:uiPriority w:val="39"/>
    <w:pPr>
      <w:ind w:left="960"/>
      <w:jc w:val="left"/>
    </w:pPr>
    <w:rPr>
      <w:rFonts w:cstheme="minorHAnsi"/>
      <w:sz w:val="18"/>
      <w:szCs w:val="18"/>
    </w:rPr>
  </w:style>
  <w:style w:type="paragraph" w:styleId="20">
    <w:name w:val="toc 3"/>
    <w:basedOn w:val="1"/>
    <w:next w:val="1"/>
    <w:unhideWhenUsed/>
    <w:qFormat/>
    <w:uiPriority w:val="39"/>
    <w:pPr>
      <w:ind w:left="480"/>
      <w:jc w:val="left"/>
    </w:pPr>
    <w:rPr>
      <w:rFonts w:cstheme="minorHAnsi"/>
      <w:i/>
      <w:iCs/>
      <w:sz w:val="20"/>
      <w:szCs w:val="20"/>
    </w:rPr>
  </w:style>
  <w:style w:type="paragraph" w:styleId="21">
    <w:name w:val="List Bullet 5"/>
    <w:basedOn w:val="1"/>
    <w:semiHidden/>
    <w:unhideWhenUsed/>
    <w:qFormat/>
    <w:uiPriority w:val="99"/>
    <w:pPr>
      <w:numPr>
        <w:ilvl w:val="0"/>
        <w:numId w:val="3"/>
      </w:numPr>
    </w:pPr>
  </w:style>
  <w:style w:type="paragraph" w:styleId="22">
    <w:name w:val="toc 8"/>
    <w:basedOn w:val="1"/>
    <w:next w:val="1"/>
    <w:unhideWhenUsed/>
    <w:qFormat/>
    <w:uiPriority w:val="39"/>
    <w:pPr>
      <w:ind w:left="1680"/>
      <w:jc w:val="left"/>
    </w:pPr>
    <w:rPr>
      <w:rFonts w:cstheme="minorHAnsi"/>
      <w:sz w:val="18"/>
      <w:szCs w:val="18"/>
    </w:rPr>
  </w:style>
  <w:style w:type="paragraph" w:styleId="23">
    <w:name w:val="Date"/>
    <w:basedOn w:val="1"/>
    <w:next w:val="1"/>
    <w:qFormat/>
    <w:uiPriority w:val="0"/>
    <w:pPr>
      <w:adjustRightInd w:val="0"/>
      <w:spacing w:line="312" w:lineRule="atLeast"/>
      <w:textAlignment w:val="baseline"/>
    </w:pPr>
    <w:rPr>
      <w:rFonts w:ascii="Times New Roman" w:hAnsi="Times New Roman"/>
      <w:kern w:val="0"/>
      <w:szCs w:val="20"/>
    </w:rPr>
  </w:style>
  <w:style w:type="paragraph" w:styleId="24">
    <w:name w:val="Balloon Text"/>
    <w:basedOn w:val="1"/>
    <w:link w:val="71"/>
    <w:semiHidden/>
    <w:unhideWhenUsed/>
    <w:qFormat/>
    <w:uiPriority w:val="99"/>
    <w:pPr>
      <w:spacing w:line="240" w:lineRule="auto"/>
    </w:pPr>
    <w:rPr>
      <w:sz w:val="18"/>
      <w:szCs w:val="18"/>
    </w:rPr>
  </w:style>
  <w:style w:type="paragraph" w:styleId="25">
    <w:name w:val="footer"/>
    <w:basedOn w:val="1"/>
    <w:link w:val="66"/>
    <w:unhideWhenUsed/>
    <w:qFormat/>
    <w:uiPriority w:val="99"/>
    <w:pPr>
      <w:tabs>
        <w:tab w:val="center" w:pos="4153"/>
        <w:tab w:val="right" w:pos="8306"/>
      </w:tabs>
      <w:snapToGrid w:val="0"/>
      <w:spacing w:line="240" w:lineRule="auto"/>
      <w:jc w:val="left"/>
    </w:pPr>
    <w:rPr>
      <w:sz w:val="18"/>
      <w:szCs w:val="18"/>
    </w:rPr>
  </w:style>
  <w:style w:type="paragraph" w:styleId="26">
    <w:name w:val="header"/>
    <w:basedOn w:val="1"/>
    <w:link w:val="6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7">
    <w:name w:val="toc 1"/>
    <w:basedOn w:val="1"/>
    <w:next w:val="1"/>
    <w:unhideWhenUsed/>
    <w:qFormat/>
    <w:uiPriority w:val="39"/>
    <w:pPr>
      <w:tabs>
        <w:tab w:val="right" w:leader="dot" w:pos="8302"/>
      </w:tabs>
      <w:spacing w:before="120" w:after="120" w:line="300" w:lineRule="auto"/>
      <w:jc w:val="left"/>
    </w:pPr>
    <w:rPr>
      <w:rFonts w:cstheme="minorHAnsi"/>
      <w:b/>
      <w:bCs/>
      <w:caps/>
      <w:szCs w:val="24"/>
    </w:rPr>
  </w:style>
  <w:style w:type="paragraph" w:styleId="28">
    <w:name w:val="toc 4"/>
    <w:basedOn w:val="1"/>
    <w:next w:val="1"/>
    <w:unhideWhenUsed/>
    <w:qFormat/>
    <w:uiPriority w:val="39"/>
    <w:pPr>
      <w:ind w:left="720"/>
      <w:jc w:val="left"/>
    </w:pPr>
    <w:rPr>
      <w:rFonts w:cstheme="minorHAnsi"/>
      <w:sz w:val="18"/>
      <w:szCs w:val="18"/>
    </w:rPr>
  </w:style>
  <w:style w:type="paragraph" w:styleId="29">
    <w:name w:val="index heading"/>
    <w:basedOn w:val="1"/>
    <w:next w:val="30"/>
    <w:qFormat/>
    <w:uiPriority w:val="0"/>
    <w:pPr>
      <w:spacing w:line="240" w:lineRule="auto"/>
    </w:pPr>
    <w:rPr>
      <w:rFonts w:eastAsia="宋体" w:cs="Times New Roman"/>
      <w:sz w:val="21"/>
      <w:szCs w:val="20"/>
    </w:rPr>
  </w:style>
  <w:style w:type="paragraph" w:styleId="30">
    <w:name w:val="index 1"/>
    <w:basedOn w:val="1"/>
    <w:next w:val="1"/>
    <w:qFormat/>
    <w:uiPriority w:val="0"/>
    <w:pPr>
      <w:adjustRightInd w:val="0"/>
      <w:snapToGrid w:val="0"/>
      <w:spacing w:line="240" w:lineRule="auto"/>
      <w:jc w:val="center"/>
    </w:pPr>
    <w:rPr>
      <w:rFonts w:ascii="仿宋_GB2312" w:eastAsia="仿宋_GB2312" w:cs="Times New Roman"/>
      <w:szCs w:val="24"/>
    </w:rPr>
  </w:style>
  <w:style w:type="paragraph" w:styleId="31">
    <w:name w:val="Subtitle"/>
    <w:basedOn w:val="1"/>
    <w:next w:val="1"/>
    <w:link w:val="54"/>
    <w:qFormat/>
    <w:uiPriority w:val="11"/>
    <w:pPr>
      <w:spacing w:before="60"/>
      <w:jc w:val="center"/>
    </w:pPr>
    <w:rPr>
      <w:b/>
      <w:bCs/>
      <w:kern w:val="28"/>
      <w:szCs w:val="32"/>
    </w:rPr>
  </w:style>
  <w:style w:type="paragraph" w:styleId="32">
    <w:name w:val="List"/>
    <w:basedOn w:val="1"/>
    <w:next w:val="16"/>
    <w:semiHidden/>
    <w:unhideWhenUsed/>
    <w:qFormat/>
    <w:uiPriority w:val="99"/>
    <w:pPr>
      <w:ind w:left="200" w:hanging="200" w:hangingChars="200"/>
      <w:contextualSpacing/>
    </w:pPr>
  </w:style>
  <w:style w:type="paragraph" w:styleId="33">
    <w:name w:val="toc 6"/>
    <w:basedOn w:val="1"/>
    <w:next w:val="1"/>
    <w:unhideWhenUsed/>
    <w:qFormat/>
    <w:uiPriority w:val="39"/>
    <w:pPr>
      <w:ind w:left="1200"/>
      <w:jc w:val="left"/>
    </w:pPr>
    <w:rPr>
      <w:rFonts w:cstheme="minorHAnsi"/>
      <w:sz w:val="18"/>
      <w:szCs w:val="18"/>
    </w:rPr>
  </w:style>
  <w:style w:type="paragraph" w:styleId="34">
    <w:name w:val="Body Text Indent 3"/>
    <w:basedOn w:val="1"/>
    <w:qFormat/>
    <w:uiPriority w:val="0"/>
    <w:pPr>
      <w:spacing w:after="120"/>
      <w:ind w:left="420" w:leftChars="200"/>
    </w:pPr>
    <w:rPr>
      <w:rFonts w:hAnsi="宋体"/>
      <w:sz w:val="16"/>
      <w:szCs w:val="16"/>
    </w:rPr>
  </w:style>
  <w:style w:type="paragraph" w:styleId="35">
    <w:name w:val="toc 2"/>
    <w:basedOn w:val="1"/>
    <w:next w:val="1"/>
    <w:unhideWhenUsed/>
    <w:qFormat/>
    <w:uiPriority w:val="39"/>
    <w:pPr>
      <w:tabs>
        <w:tab w:val="right" w:leader="dot" w:pos="8302"/>
      </w:tabs>
      <w:spacing w:line="300" w:lineRule="auto"/>
      <w:ind w:left="240"/>
      <w:jc w:val="left"/>
    </w:pPr>
    <w:rPr>
      <w:rFonts w:cstheme="minorHAnsi"/>
      <w:smallCaps/>
      <w:sz w:val="21"/>
      <w:szCs w:val="21"/>
    </w:rPr>
  </w:style>
  <w:style w:type="paragraph" w:styleId="36">
    <w:name w:val="toc 9"/>
    <w:basedOn w:val="1"/>
    <w:next w:val="1"/>
    <w:unhideWhenUsed/>
    <w:qFormat/>
    <w:uiPriority w:val="39"/>
    <w:pPr>
      <w:ind w:left="1920"/>
      <w:jc w:val="left"/>
    </w:pPr>
    <w:rPr>
      <w:rFonts w:cstheme="minorHAnsi"/>
      <w:sz w:val="18"/>
      <w:szCs w:val="18"/>
    </w:rPr>
  </w:style>
  <w:style w:type="paragraph" w:styleId="37">
    <w:name w:val="Body Text 2"/>
    <w:next w:val="1"/>
    <w:link w:val="55"/>
    <w:semiHidden/>
    <w:unhideWhenUsed/>
    <w:qFormat/>
    <w:uiPriority w:val="99"/>
    <w:pPr>
      <w:spacing w:line="360" w:lineRule="auto"/>
      <w:jc w:val="center"/>
    </w:pPr>
    <w:rPr>
      <w:rFonts w:ascii="Times New Roman" w:hAnsi="Times New Roman" w:cs="Times New Roman" w:eastAsiaTheme="minorEastAsia"/>
      <w:b/>
      <w:kern w:val="2"/>
      <w:sz w:val="24"/>
      <w:szCs w:val="22"/>
      <w:lang w:val="en-US" w:eastAsia="zh-CN" w:bidi="ar-SA"/>
    </w:rPr>
  </w:style>
  <w:style w:type="paragraph" w:styleId="38">
    <w:name w:val="Normal (Web)"/>
    <w:basedOn w:val="1"/>
    <w:semiHidden/>
    <w:unhideWhenUsed/>
    <w:qFormat/>
    <w:uiPriority w:val="99"/>
    <w:pPr>
      <w:widowControl/>
      <w:spacing w:before="100" w:beforeAutospacing="1" w:after="100" w:afterAutospacing="1" w:line="240" w:lineRule="auto"/>
      <w:jc w:val="left"/>
    </w:pPr>
    <w:rPr>
      <w:rFonts w:ascii="宋体" w:hAnsi="宋体" w:eastAsia="宋体" w:cs="宋体"/>
      <w:kern w:val="0"/>
      <w:szCs w:val="24"/>
    </w:rPr>
  </w:style>
  <w:style w:type="paragraph" w:styleId="39">
    <w:name w:val="annotation subject"/>
    <w:basedOn w:val="14"/>
    <w:next w:val="14"/>
    <w:link w:val="69"/>
    <w:semiHidden/>
    <w:unhideWhenUsed/>
    <w:qFormat/>
    <w:uiPriority w:val="99"/>
    <w:rPr>
      <w:b/>
      <w:bCs/>
    </w:rPr>
  </w:style>
  <w:style w:type="paragraph" w:styleId="40">
    <w:name w:val="Body Text First Indent 2"/>
    <w:basedOn w:val="15"/>
    <w:next w:val="1"/>
    <w:qFormat/>
    <w:uiPriority w:val="0"/>
    <w:pPr>
      <w:tabs>
        <w:tab w:val="left" w:pos="360"/>
      </w:tabs>
      <w:spacing w:line="240" w:lineRule="atLeast"/>
      <w:ind w:firstLine="630"/>
    </w:pPr>
    <w:rPr>
      <w:rFonts w:ascii="宋体"/>
      <w:sz w:val="28"/>
    </w:rPr>
  </w:style>
  <w:style w:type="table" w:styleId="42">
    <w:name w:val="Table Grid"/>
    <w:basedOn w:val="4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basedOn w:val="43"/>
    <w:qFormat/>
    <w:uiPriority w:val="22"/>
    <w:rPr>
      <w:b/>
      <w:bCs/>
    </w:rPr>
  </w:style>
  <w:style w:type="character" w:styleId="45">
    <w:name w:val="Emphasis"/>
    <w:qFormat/>
    <w:uiPriority w:val="20"/>
    <w:rPr>
      <w:color w:val="CC0033"/>
    </w:rPr>
  </w:style>
  <w:style w:type="character" w:styleId="46">
    <w:name w:val="Hyperlink"/>
    <w:basedOn w:val="43"/>
    <w:unhideWhenUsed/>
    <w:qFormat/>
    <w:uiPriority w:val="99"/>
    <w:rPr>
      <w:color w:val="0563C1" w:themeColor="hyperlink"/>
      <w:u w:val="single"/>
      <w14:textFill>
        <w14:solidFill>
          <w14:schemeClr w14:val="hlink"/>
        </w14:solidFill>
      </w14:textFill>
    </w:rPr>
  </w:style>
  <w:style w:type="character" w:styleId="47">
    <w:name w:val="annotation reference"/>
    <w:basedOn w:val="43"/>
    <w:semiHidden/>
    <w:unhideWhenUsed/>
    <w:qFormat/>
    <w:uiPriority w:val="99"/>
    <w:rPr>
      <w:sz w:val="21"/>
      <w:szCs w:val="21"/>
    </w:rPr>
  </w:style>
  <w:style w:type="paragraph" w:customStyle="1" w:styleId="48">
    <w:name w:val="0正文"/>
    <w:basedOn w:val="49"/>
    <w:qFormat/>
    <w:uiPriority w:val="0"/>
    <w:pPr>
      <w:ind w:firstLine="480"/>
    </w:pPr>
  </w:style>
  <w:style w:type="paragraph" w:customStyle="1" w:styleId="49">
    <w:name w:val="正文格式"/>
    <w:basedOn w:val="1"/>
    <w:link w:val="96"/>
    <w:qFormat/>
    <w:uiPriority w:val="0"/>
    <w:pPr>
      <w:adjustRightInd w:val="0"/>
      <w:snapToGrid w:val="0"/>
      <w:ind w:firstLine="200" w:firstLineChars="200"/>
    </w:pPr>
    <w:rPr>
      <w:rFonts w:ascii="Times New Roman" w:hAnsi="Times New Roman"/>
      <w:kern w:val="0"/>
      <w:szCs w:val="20"/>
    </w:rPr>
  </w:style>
  <w:style w:type="character" w:customStyle="1" w:styleId="50">
    <w:name w:val="标题 1 Char"/>
    <w:basedOn w:val="43"/>
    <w:link w:val="3"/>
    <w:qFormat/>
    <w:uiPriority w:val="9"/>
    <w:rPr>
      <w:b/>
      <w:bCs/>
      <w:kern w:val="44"/>
      <w:sz w:val="44"/>
      <w:szCs w:val="44"/>
    </w:rPr>
  </w:style>
  <w:style w:type="character" w:customStyle="1" w:styleId="51">
    <w:name w:val="标题 2 Char"/>
    <w:basedOn w:val="43"/>
    <w:link w:val="4"/>
    <w:qFormat/>
    <w:uiPriority w:val="9"/>
    <w:rPr>
      <w:rFonts w:asciiTheme="majorHAnsi" w:hAnsiTheme="majorHAnsi" w:eastAsiaTheme="majorEastAsia" w:cstheme="majorBidi"/>
      <w:b/>
      <w:bCs/>
      <w:sz w:val="32"/>
      <w:szCs w:val="32"/>
    </w:rPr>
  </w:style>
  <w:style w:type="character" w:customStyle="1" w:styleId="52">
    <w:name w:val="标题 3 Char"/>
    <w:basedOn w:val="43"/>
    <w:link w:val="7"/>
    <w:qFormat/>
    <w:uiPriority w:val="9"/>
    <w:rPr>
      <w:b/>
      <w:bCs/>
      <w:sz w:val="30"/>
      <w:szCs w:val="32"/>
    </w:rPr>
  </w:style>
  <w:style w:type="character" w:customStyle="1" w:styleId="53">
    <w:name w:val="标题 4 Char"/>
    <w:basedOn w:val="43"/>
    <w:link w:val="8"/>
    <w:qFormat/>
    <w:uiPriority w:val="9"/>
    <w:rPr>
      <w:rFonts w:asciiTheme="majorHAnsi" w:hAnsiTheme="majorHAnsi" w:eastAsiaTheme="majorEastAsia" w:cstheme="majorBidi"/>
      <w:b/>
      <w:bCs/>
      <w:sz w:val="28"/>
      <w:szCs w:val="28"/>
    </w:rPr>
  </w:style>
  <w:style w:type="character" w:customStyle="1" w:styleId="54">
    <w:name w:val="副标题 Char"/>
    <w:basedOn w:val="43"/>
    <w:link w:val="31"/>
    <w:qFormat/>
    <w:uiPriority w:val="11"/>
    <w:rPr>
      <w:b/>
      <w:bCs/>
      <w:kern w:val="28"/>
      <w:sz w:val="24"/>
      <w:szCs w:val="32"/>
    </w:rPr>
  </w:style>
  <w:style w:type="character" w:customStyle="1" w:styleId="55">
    <w:name w:val="正文文本 2 Char"/>
    <w:basedOn w:val="43"/>
    <w:link w:val="37"/>
    <w:semiHidden/>
    <w:qFormat/>
    <w:locked/>
    <w:uiPriority w:val="99"/>
    <w:rPr>
      <w:rFonts w:ascii="Times New Roman" w:hAnsi="Times New Roman" w:cs="Times New Roman"/>
      <w:b/>
      <w:sz w:val="24"/>
    </w:rPr>
  </w:style>
  <w:style w:type="character" w:customStyle="1" w:styleId="56">
    <w:name w:val="标题 Char"/>
    <w:basedOn w:val="43"/>
    <w:link w:val="5"/>
    <w:qFormat/>
    <w:uiPriority w:val="10"/>
    <w:rPr>
      <w:rFonts w:asciiTheme="majorHAnsi" w:hAnsiTheme="majorHAnsi" w:eastAsiaTheme="majorEastAsia" w:cstheme="majorBidi"/>
      <w:b/>
      <w:bCs/>
      <w:sz w:val="24"/>
      <w:szCs w:val="32"/>
    </w:rPr>
  </w:style>
  <w:style w:type="paragraph" w:styleId="57">
    <w:name w:val="List Paragraph"/>
    <w:basedOn w:val="1"/>
    <w:qFormat/>
    <w:uiPriority w:val="99"/>
    <w:pPr>
      <w:spacing w:line="240" w:lineRule="auto"/>
      <w:jc w:val="center"/>
    </w:pPr>
    <w:rPr>
      <w:sz w:val="21"/>
    </w:rPr>
  </w:style>
  <w:style w:type="paragraph" w:customStyle="1" w:styleId="58">
    <w:name w:val="0表格格式"/>
    <w:basedOn w:val="32"/>
    <w:qFormat/>
    <w:uiPriority w:val="0"/>
    <w:pPr>
      <w:adjustRightInd w:val="0"/>
      <w:snapToGrid w:val="0"/>
      <w:spacing w:line="240" w:lineRule="auto"/>
      <w:ind w:left="0" w:firstLine="0" w:firstLineChars="0"/>
      <w:contextualSpacing w:val="0"/>
      <w:jc w:val="center"/>
    </w:pPr>
    <w:rPr>
      <w:rFonts w:ascii="Times New Roman" w:hAnsi="Times New Roman" w:eastAsia="宋体" w:cs="Times New Roman"/>
      <w:sz w:val="21"/>
      <w:szCs w:val="21"/>
    </w:rPr>
  </w:style>
  <w:style w:type="character" w:styleId="59">
    <w:name w:val="Placeholder Text"/>
    <w:basedOn w:val="43"/>
    <w:semiHidden/>
    <w:qFormat/>
    <w:uiPriority w:val="99"/>
    <w:rPr>
      <w:color w:val="808080"/>
    </w:rPr>
  </w:style>
  <w:style w:type="character" w:customStyle="1" w:styleId="60">
    <w:name w:val="正文文本 2 字符1"/>
    <w:basedOn w:val="43"/>
    <w:semiHidden/>
    <w:qFormat/>
    <w:uiPriority w:val="99"/>
    <w:rPr>
      <w:sz w:val="24"/>
    </w:rPr>
  </w:style>
  <w:style w:type="paragraph" w:customStyle="1" w:styleId="61">
    <w:name w:val="表格"/>
    <w:basedOn w:val="1"/>
    <w:qFormat/>
    <w:uiPriority w:val="0"/>
    <w:pPr>
      <w:widowControl/>
      <w:spacing w:line="240" w:lineRule="auto"/>
      <w:jc w:val="center"/>
    </w:pPr>
    <w:rPr>
      <w:rFonts w:ascii="Times New Roman" w:hAnsi="Times New Roman" w:eastAsia="宋体" w:cs="Times New Roman"/>
      <w:kern w:val="0"/>
      <w:sz w:val="21"/>
      <w:szCs w:val="24"/>
    </w:rPr>
  </w:style>
  <w:style w:type="paragraph" w:customStyle="1" w:styleId="62">
    <w:name w:val="YY正文"/>
    <w:basedOn w:val="1"/>
    <w:qFormat/>
    <w:uiPriority w:val="0"/>
    <w:pPr>
      <w:adjustRightInd w:val="0"/>
      <w:snapToGrid w:val="0"/>
      <w:ind w:firstLine="200" w:firstLineChars="200"/>
    </w:pPr>
    <w:rPr>
      <w:rFonts w:ascii="Times New Roman" w:hAnsi="Times New Roman" w:eastAsia="仿宋_GB2312" w:cs="Times New Roman"/>
      <w:szCs w:val="24"/>
    </w:rPr>
  </w:style>
  <w:style w:type="paragraph" w:customStyle="1" w:styleId="63">
    <w:name w:val="YY表格正文"/>
    <w:basedOn w:val="1"/>
    <w:qFormat/>
    <w:uiPriority w:val="0"/>
    <w:pPr>
      <w:adjustRightInd w:val="0"/>
      <w:snapToGrid w:val="0"/>
      <w:spacing w:line="240" w:lineRule="auto"/>
      <w:jc w:val="center"/>
    </w:pPr>
    <w:rPr>
      <w:rFonts w:ascii="Times New Roman" w:hAnsi="Times New Roman" w:eastAsia="仿宋_GB2312" w:cs="Times New Roman"/>
      <w:color w:val="000000"/>
      <w:sz w:val="21"/>
      <w:szCs w:val="21"/>
    </w:rPr>
  </w:style>
  <w:style w:type="character" w:customStyle="1" w:styleId="64">
    <w:name w:val="15"/>
    <w:basedOn w:val="43"/>
    <w:qFormat/>
    <w:uiPriority w:val="0"/>
    <w:rPr>
      <w:rFonts w:hint="default" w:ascii="Times New Roman" w:hAnsi="Times New Roman" w:eastAsia="仿宋_GB2312" w:cs="Times New Roman"/>
      <w:color w:val="000000"/>
      <w:kern w:val="2"/>
      <w:sz w:val="21"/>
      <w:szCs w:val="21"/>
    </w:rPr>
  </w:style>
  <w:style w:type="character" w:customStyle="1" w:styleId="65">
    <w:name w:val="页眉 Char"/>
    <w:basedOn w:val="43"/>
    <w:link w:val="26"/>
    <w:qFormat/>
    <w:uiPriority w:val="99"/>
    <w:rPr>
      <w:kern w:val="2"/>
      <w:sz w:val="18"/>
      <w:szCs w:val="18"/>
    </w:rPr>
  </w:style>
  <w:style w:type="character" w:customStyle="1" w:styleId="66">
    <w:name w:val="页脚 Char"/>
    <w:basedOn w:val="43"/>
    <w:link w:val="25"/>
    <w:qFormat/>
    <w:uiPriority w:val="99"/>
    <w:rPr>
      <w:kern w:val="2"/>
      <w:sz w:val="18"/>
      <w:szCs w:val="18"/>
    </w:rPr>
  </w:style>
  <w:style w:type="paragraph" w:customStyle="1" w:styleId="67">
    <w:name w:val="TOC 标题1"/>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68">
    <w:name w:val="批注文字 Char"/>
    <w:basedOn w:val="43"/>
    <w:link w:val="14"/>
    <w:qFormat/>
    <w:uiPriority w:val="99"/>
    <w:rPr>
      <w:kern w:val="2"/>
      <w:sz w:val="24"/>
      <w:szCs w:val="22"/>
    </w:rPr>
  </w:style>
  <w:style w:type="character" w:customStyle="1" w:styleId="69">
    <w:name w:val="批注主题 Char"/>
    <w:basedOn w:val="68"/>
    <w:link w:val="39"/>
    <w:semiHidden/>
    <w:qFormat/>
    <w:uiPriority w:val="99"/>
    <w:rPr>
      <w:b/>
      <w:bCs/>
      <w:kern w:val="2"/>
      <w:sz w:val="24"/>
      <w:szCs w:val="22"/>
    </w:rPr>
  </w:style>
  <w:style w:type="paragraph" w:customStyle="1" w:styleId="70">
    <w:name w:val="修订1"/>
    <w:hidden/>
    <w:semiHidden/>
    <w:qFormat/>
    <w:uiPriority w:val="99"/>
    <w:rPr>
      <w:rFonts w:asciiTheme="minorHAnsi" w:hAnsiTheme="minorHAnsi" w:eastAsiaTheme="minorEastAsia" w:cstheme="minorBidi"/>
      <w:kern w:val="2"/>
      <w:sz w:val="24"/>
      <w:szCs w:val="22"/>
      <w:lang w:val="en-US" w:eastAsia="zh-CN" w:bidi="ar-SA"/>
    </w:rPr>
  </w:style>
  <w:style w:type="character" w:customStyle="1" w:styleId="71">
    <w:name w:val="批注框文本 Char"/>
    <w:basedOn w:val="43"/>
    <w:link w:val="24"/>
    <w:semiHidden/>
    <w:qFormat/>
    <w:uiPriority w:val="99"/>
    <w:rPr>
      <w:kern w:val="2"/>
      <w:sz w:val="18"/>
      <w:szCs w:val="18"/>
    </w:rPr>
  </w:style>
  <w:style w:type="character" w:customStyle="1" w:styleId="72">
    <w:name w:val="正文文本 Char"/>
    <w:basedOn w:val="43"/>
    <w:link w:val="2"/>
    <w:qFormat/>
    <w:uiPriority w:val="0"/>
    <w:rPr>
      <w:rFonts w:ascii="宋体" w:hAnsi="宋体" w:eastAsia="宋体" w:cs="宋体"/>
      <w:sz w:val="22"/>
      <w:szCs w:val="22"/>
      <w:lang w:val="zh-CN" w:bidi="zh-CN"/>
    </w:rPr>
  </w:style>
  <w:style w:type="paragraph" w:customStyle="1" w:styleId="73">
    <w:name w:val="修订2"/>
    <w:hidden/>
    <w:unhideWhenUsed/>
    <w:qFormat/>
    <w:uiPriority w:val="99"/>
    <w:rPr>
      <w:rFonts w:asciiTheme="minorHAnsi" w:hAnsiTheme="minorHAnsi" w:eastAsiaTheme="minorEastAsia" w:cstheme="minorBidi"/>
      <w:kern w:val="2"/>
      <w:sz w:val="24"/>
      <w:szCs w:val="22"/>
      <w:lang w:val="en-US" w:eastAsia="zh-CN" w:bidi="ar-SA"/>
    </w:rPr>
  </w:style>
  <w:style w:type="paragraph" w:customStyle="1" w:styleId="74">
    <w:name w:val="正文01"/>
    <w:basedOn w:val="1"/>
    <w:qFormat/>
    <w:uiPriority w:val="0"/>
    <w:pPr>
      <w:spacing w:before="40" w:line="420" w:lineRule="exact"/>
      <w:ind w:firstLine="200" w:firstLineChars="200"/>
    </w:pPr>
    <w:rPr>
      <w:rFonts w:ascii="Times New Roman" w:hAnsi="Times New Roman" w:eastAsia="宋体" w:cs="Times New Roman"/>
      <w:bCs/>
      <w:szCs w:val="24"/>
    </w:rPr>
  </w:style>
  <w:style w:type="character" w:customStyle="1" w:styleId="75">
    <w:name w:val="font41"/>
    <w:basedOn w:val="43"/>
    <w:qFormat/>
    <w:uiPriority w:val="0"/>
    <w:rPr>
      <w:rFonts w:ascii="Times New Roman" w:hAnsi="Times New Roman" w:cs="Times New Roman"/>
      <w:color w:val="000000"/>
      <w:sz w:val="21"/>
      <w:szCs w:val="21"/>
      <w:u w:val="none"/>
      <w:lang w:bidi="ar-SA"/>
    </w:rPr>
  </w:style>
  <w:style w:type="paragraph" w:customStyle="1" w:styleId="76">
    <w:name w:val="清除格式2"/>
    <w:basedOn w:val="1"/>
    <w:qFormat/>
    <w:uiPriority w:val="0"/>
    <w:pPr>
      <w:spacing w:line="240" w:lineRule="auto"/>
    </w:pPr>
    <w:rPr>
      <w:rFonts w:ascii="Times New Roman" w:hAnsi="Times New Roman" w:eastAsia="宋体" w:cs="Times New Roman"/>
      <w:sz w:val="21"/>
      <w:szCs w:val="20"/>
    </w:rPr>
  </w:style>
  <w:style w:type="paragraph" w:customStyle="1" w:styleId="77">
    <w:name w:val="Char Char Char1 Char Char Char Char Char Char Char Char Char Char"/>
    <w:basedOn w:val="1"/>
    <w:qFormat/>
    <w:uiPriority w:val="0"/>
    <w:pPr>
      <w:ind w:firstLine="200" w:firstLineChars="200"/>
    </w:pPr>
    <w:rPr>
      <w:rFonts w:ascii="宋体" w:hAnsi="宋体" w:eastAsia="黑体" w:cs="宋体"/>
    </w:rPr>
  </w:style>
  <w:style w:type="paragraph" w:customStyle="1" w:styleId="78">
    <w:name w:val="报告书表格"/>
    <w:basedOn w:val="1"/>
    <w:qFormat/>
    <w:uiPriority w:val="0"/>
    <w:pPr>
      <w:adjustRightInd w:val="0"/>
      <w:spacing w:before="60" w:after="60" w:line="240" w:lineRule="atLeast"/>
      <w:jc w:val="center"/>
      <w:textAlignment w:val="baseline"/>
    </w:pPr>
    <w:rPr>
      <w:rFonts w:ascii="Times New Roman" w:hAnsi="Times New Roman" w:eastAsia="宋体" w:cs="Times New Roman"/>
      <w:sz w:val="21"/>
      <w:szCs w:val="20"/>
    </w:rPr>
  </w:style>
  <w:style w:type="paragraph" w:customStyle="1" w:styleId="79">
    <w:name w:val="Default"/>
    <w:basedOn w:val="80"/>
    <w:qFormat/>
    <w:uiPriority w:val="0"/>
    <w:pPr>
      <w:autoSpaceDE w:val="0"/>
      <w:autoSpaceDN w:val="0"/>
    </w:pPr>
    <w:rPr>
      <w:rFonts w:ascii="仿宋_GB2312" w:eastAsia="仿宋_GB2312"/>
      <w:color w:val="000000"/>
    </w:rPr>
  </w:style>
  <w:style w:type="paragraph" w:customStyle="1" w:styleId="80">
    <w:name w:val="纯文本1"/>
    <w:basedOn w:val="1"/>
    <w:qFormat/>
    <w:uiPriority w:val="0"/>
    <w:pPr>
      <w:adjustRightInd w:val="0"/>
    </w:pPr>
    <w:rPr>
      <w:rFonts w:ascii="宋体" w:hAnsi="Courier New"/>
      <w:szCs w:val="20"/>
    </w:rPr>
  </w:style>
  <w:style w:type="paragraph" w:customStyle="1" w:styleId="81">
    <w:name w:val="QZ-四级标题"/>
    <w:basedOn w:val="1"/>
    <w:qFormat/>
    <w:uiPriority w:val="0"/>
    <w:pPr>
      <w:adjustRightInd w:val="0"/>
      <w:snapToGrid w:val="0"/>
      <w:outlineLvl w:val="3"/>
    </w:pPr>
    <w:rPr>
      <w:rFonts w:ascii="Times New Roman" w:hAnsi="Times New Roman" w:eastAsia="宋体"/>
      <w:b/>
      <w:bCs/>
      <w:color w:val="00B050"/>
      <w:szCs w:val="24"/>
    </w:rPr>
  </w:style>
  <w:style w:type="paragraph" w:customStyle="1" w:styleId="82">
    <w:name w:val="QZ-正文"/>
    <w:basedOn w:val="1"/>
    <w:qFormat/>
    <w:uiPriority w:val="0"/>
    <w:pPr>
      <w:adjustRightInd w:val="0"/>
      <w:snapToGrid w:val="0"/>
      <w:ind w:firstLine="480" w:firstLineChars="200"/>
    </w:pPr>
    <w:rPr>
      <w:rFonts w:ascii="Times New Roman" w:hAnsi="Times New Roman" w:eastAsia="宋体"/>
      <w:color w:val="00B050"/>
      <w:szCs w:val="24"/>
    </w:rPr>
  </w:style>
  <w:style w:type="paragraph" w:customStyle="1" w:styleId="83">
    <w:name w:val="QZ-表/图头"/>
    <w:basedOn w:val="1"/>
    <w:qFormat/>
    <w:uiPriority w:val="0"/>
    <w:pPr>
      <w:adjustRightInd w:val="0"/>
      <w:snapToGrid w:val="0"/>
      <w:jc w:val="center"/>
    </w:pPr>
    <w:rPr>
      <w:rFonts w:hint="eastAsia" w:ascii="Times New Roman" w:hAnsi="Times New Roman" w:eastAsia="宋体"/>
      <w:b/>
      <w:bCs/>
    </w:rPr>
  </w:style>
  <w:style w:type="paragraph" w:customStyle="1" w:styleId="84">
    <w:name w:val="QZ-表头"/>
    <w:basedOn w:val="1"/>
    <w:qFormat/>
    <w:uiPriority w:val="0"/>
    <w:pPr>
      <w:adjustRightInd w:val="0"/>
      <w:snapToGrid w:val="0"/>
      <w:jc w:val="center"/>
    </w:pPr>
    <w:rPr>
      <w:rFonts w:ascii="Times New Roman" w:hAnsi="Times New Roman" w:eastAsia="宋体"/>
      <w:b/>
      <w:bCs/>
      <w:color w:val="00B050"/>
      <w:sz w:val="21"/>
      <w:szCs w:val="21"/>
    </w:rPr>
  </w:style>
  <w:style w:type="paragraph" w:customStyle="1" w:styleId="85">
    <w:name w:val="QZ-表体"/>
    <w:basedOn w:val="1"/>
    <w:qFormat/>
    <w:uiPriority w:val="0"/>
    <w:pPr>
      <w:adjustRightInd w:val="0"/>
      <w:snapToGrid w:val="0"/>
      <w:jc w:val="center"/>
    </w:pPr>
    <w:rPr>
      <w:rFonts w:hint="eastAsia" w:ascii="Times New Roman" w:hAnsi="Times New Roman" w:eastAsia="宋体"/>
      <w:color w:val="00B050"/>
      <w:sz w:val="21"/>
      <w:szCs w:val="21"/>
    </w:rPr>
  </w:style>
  <w:style w:type="paragraph" w:customStyle="1" w:styleId="86">
    <w:name w:val="zl正文"/>
    <w:basedOn w:val="1"/>
    <w:qFormat/>
    <w:uiPriority w:val="0"/>
    <w:pPr>
      <w:ind w:firstLine="480" w:firstLineChars="200"/>
    </w:pPr>
    <w:rPr>
      <w:kern w:val="0"/>
    </w:rPr>
  </w:style>
  <w:style w:type="paragraph" w:customStyle="1" w:styleId="87">
    <w:name w:val="h"/>
    <w:basedOn w:val="1"/>
    <w:qFormat/>
    <w:uiPriority w:val="0"/>
    <w:pPr>
      <w:adjustRightInd w:val="0"/>
      <w:spacing w:before="60"/>
      <w:ind w:firstLine="482"/>
      <w:textAlignment w:val="baseline"/>
    </w:pPr>
    <w:rPr>
      <w:rFonts w:ascii="Arial" w:hAnsi="Arial" w:eastAsia="仿宋_GB2312"/>
      <w:szCs w:val="20"/>
    </w:rPr>
  </w:style>
  <w:style w:type="paragraph" w:customStyle="1" w:styleId="88">
    <w:name w:val="表体"/>
    <w:basedOn w:val="1"/>
    <w:qFormat/>
    <w:uiPriority w:val="0"/>
    <w:pPr>
      <w:spacing w:before="40" w:after="40"/>
      <w:jc w:val="center"/>
    </w:pPr>
  </w:style>
  <w:style w:type="paragraph" w:customStyle="1" w:styleId="89">
    <w:name w:val="图表文字"/>
    <w:basedOn w:val="1"/>
    <w:qFormat/>
    <w:uiPriority w:val="0"/>
    <w:pPr>
      <w:spacing w:line="300" w:lineRule="exact"/>
      <w:jc w:val="center"/>
    </w:pPr>
    <w:rPr>
      <w:rFonts w:ascii="仿宋_GB2312" w:eastAsia="仿宋_GB2312"/>
      <w:bCs/>
      <w:szCs w:val="20"/>
    </w:rPr>
  </w:style>
  <w:style w:type="paragraph" w:customStyle="1" w:styleId="90">
    <w:name w:val="首行缩进"/>
    <w:basedOn w:val="1"/>
    <w:qFormat/>
    <w:uiPriority w:val="0"/>
    <w:pPr>
      <w:spacing w:line="480" w:lineRule="exact"/>
      <w:ind w:firstLine="420"/>
    </w:pPr>
    <w:rPr>
      <w:szCs w:val="20"/>
    </w:rPr>
  </w:style>
  <w:style w:type="paragraph" w:customStyle="1" w:styleId="91">
    <w:name w:val="样式 环评正文 Char Char + 首行缩进:  2 字符"/>
    <w:basedOn w:val="92"/>
    <w:semiHidden/>
    <w:qFormat/>
    <w:uiPriority w:val="0"/>
    <w:pPr>
      <w:spacing w:line="440" w:lineRule="exact"/>
      <w:jc w:val="both"/>
    </w:pPr>
    <w:rPr>
      <w:rFonts w:cs="宋体"/>
      <w:snapToGrid/>
      <w:szCs w:val="20"/>
    </w:rPr>
  </w:style>
  <w:style w:type="paragraph" w:customStyle="1" w:styleId="92">
    <w:name w:val="环评正文 Char Char"/>
    <w:semiHidden/>
    <w:qFormat/>
    <w:uiPriority w:val="0"/>
    <w:pPr>
      <w:spacing w:line="360" w:lineRule="exact"/>
      <w:ind w:firstLine="200" w:firstLineChars="200"/>
    </w:pPr>
    <w:rPr>
      <w:rFonts w:ascii="Times New Roman" w:hAnsi="Times New Roman" w:eastAsia="宋体" w:cs="Times New Roman"/>
      <w:snapToGrid w:val="0"/>
      <w:color w:val="000000"/>
      <w:kern w:val="21"/>
      <w:sz w:val="24"/>
      <w:szCs w:val="24"/>
      <w:lang w:val="en-US" w:eastAsia="zh-CN" w:bidi="ar-SA"/>
    </w:rPr>
  </w:style>
  <w:style w:type="paragraph" w:customStyle="1" w:styleId="93">
    <w:name w:val="Table Paragraph"/>
    <w:basedOn w:val="1"/>
    <w:qFormat/>
    <w:uiPriority w:val="1"/>
    <w:pPr>
      <w:autoSpaceDE w:val="0"/>
      <w:autoSpaceDN w:val="0"/>
      <w:jc w:val="center"/>
    </w:pPr>
    <w:rPr>
      <w:rFonts w:ascii="仿宋_GB2312" w:hAnsi="仿宋_GB2312" w:eastAsia="仿宋_GB2312" w:cs="仿宋_GB2312"/>
      <w:sz w:val="22"/>
      <w:lang w:eastAsia="en-US"/>
    </w:rPr>
  </w:style>
  <w:style w:type="paragraph" w:customStyle="1" w:styleId="94">
    <w:name w:val="图表标题"/>
    <w:basedOn w:val="49"/>
    <w:next w:val="1"/>
    <w:qFormat/>
    <w:uiPriority w:val="0"/>
    <w:pPr>
      <w:ind w:firstLine="0" w:firstLineChars="0"/>
      <w:jc w:val="center"/>
    </w:pPr>
    <w:rPr>
      <w:b/>
    </w:rPr>
  </w:style>
  <w:style w:type="paragraph" w:customStyle="1" w:styleId="95">
    <w:name w:val="1-正文"/>
    <w:basedOn w:val="1"/>
    <w:qFormat/>
    <w:uiPriority w:val="0"/>
    <w:pPr>
      <w:ind w:firstLine="480" w:firstLineChars="200"/>
    </w:pPr>
    <w:rPr>
      <w:rFonts w:ascii="宋体" w:hAnsi="宋体"/>
      <w:kern w:val="0"/>
    </w:rPr>
  </w:style>
  <w:style w:type="character" w:customStyle="1" w:styleId="96">
    <w:name w:val="正文格式 Char"/>
    <w:link w:val="49"/>
    <w:qFormat/>
    <w:uiPriority w:val="0"/>
    <w:rPr>
      <w:rFonts w:ascii="Times New Roman" w:hAnsi="Times New Roman"/>
      <w:kern w:val="0"/>
      <w:sz w:val="24"/>
      <w:szCs w:val="20"/>
    </w:rPr>
  </w:style>
  <w:style w:type="paragraph" w:customStyle="1" w:styleId="97">
    <w:name w:val="图表"/>
    <w:qFormat/>
    <w:uiPriority w:val="0"/>
    <w:pPr>
      <w:jc w:val="center"/>
    </w:pPr>
    <w:rPr>
      <w:rFonts w:ascii="Times New Roman" w:hAnsi="Times New Roman" w:eastAsia="仿宋_GB2312" w:cs="Times New Roman"/>
      <w:b/>
      <w:sz w:val="24"/>
      <w:szCs w:val="24"/>
      <w:lang w:val="en-US" w:eastAsia="zh-CN" w:bidi="ar-SA"/>
    </w:rPr>
  </w:style>
  <w:style w:type="paragraph" w:customStyle="1" w:styleId="98">
    <w:name w:val="环评正文"/>
    <w:basedOn w:val="23"/>
    <w:qFormat/>
    <w:uiPriority w:val="0"/>
    <w:pPr>
      <w:spacing w:line="400" w:lineRule="exact"/>
      <w:ind w:firstLine="200" w:firstLineChars="200"/>
    </w:pPr>
    <w:rPr>
      <w:bCs/>
      <w:szCs w:val="24"/>
    </w:rPr>
  </w:style>
  <w:style w:type="paragraph" w:customStyle="1" w:styleId="99">
    <w:name w:val="正文(首行缩进)"/>
    <w:basedOn w:val="1"/>
    <w:qFormat/>
    <w:uiPriority w:val="0"/>
    <w:pPr>
      <w:adjustRightInd w:val="0"/>
      <w:snapToGrid w:val="0"/>
      <w:ind w:firstLine="480" w:firstLineChars="200"/>
    </w:pPr>
    <w:rPr>
      <w:rFonts w:ascii="Times New Roman" w:hAnsi="Times New Roman"/>
      <w:color w:val="000000"/>
      <w:kern w:val="0"/>
    </w:rPr>
  </w:style>
  <w:style w:type="paragraph" w:customStyle="1" w:styleId="100">
    <w:name w:val="表头文字"/>
    <w:basedOn w:val="1"/>
    <w:qFormat/>
    <w:uiPriority w:val="0"/>
    <w:pPr>
      <w:ind w:firstLine="200" w:firstLineChars="200"/>
      <w:jc w:val="center"/>
    </w:pPr>
    <w:rPr>
      <w:rFonts w:ascii="Times New Roman" w:eastAsia="华文中宋"/>
      <w:b/>
      <w:sz w:val="28"/>
    </w:rPr>
  </w:style>
  <w:style w:type="paragraph" w:customStyle="1" w:styleId="101">
    <w:name w:val="表格文字"/>
    <w:basedOn w:val="1"/>
    <w:qFormat/>
    <w:uiPriority w:val="0"/>
    <w:pPr>
      <w:spacing w:line="360" w:lineRule="exact"/>
      <w:jc w:val="center"/>
    </w:pPr>
    <w:rPr>
      <w:rFonts w:ascii="Times New Roman"/>
      <w:szCs w:val="24"/>
    </w:rPr>
  </w:style>
  <w:style w:type="paragraph" w:customStyle="1" w:styleId="102">
    <w:name w:val="图标"/>
    <w:basedOn w:val="12"/>
    <w:qFormat/>
    <w:uiPriority w:val="0"/>
    <w:pPr>
      <w:adjustRightInd w:val="0"/>
      <w:spacing w:beforeLines="50" w:line="400" w:lineRule="exact"/>
      <w:jc w:val="center"/>
    </w:pPr>
    <w:rPr>
      <w:rFonts w:ascii="Times New Roman" w:hAnsi="Times New Roman" w:eastAsia="仿宋"/>
      <w:sz w:val="28"/>
      <w:szCs w:val="28"/>
    </w:rPr>
  </w:style>
  <w:style w:type="paragraph" w:customStyle="1" w:styleId="103">
    <w:name w:val="QZ-公式"/>
    <w:basedOn w:val="1"/>
    <w:qFormat/>
    <w:uiPriority w:val="0"/>
    <w:pPr>
      <w:adjustRightInd w:val="0"/>
      <w:snapToGrid w:val="0"/>
      <w:jc w:val="center"/>
    </w:pPr>
    <w:rPr>
      <w:rFonts w:ascii="Times New Roman" w:hAnsi="Times New Roman" w:eastAsia="宋体"/>
      <w:position w:val="-10"/>
      <w:szCs w:val="24"/>
    </w:rPr>
  </w:style>
  <w:style w:type="paragraph" w:customStyle="1" w:styleId="104">
    <w:name w:val="(文字) (文字)"/>
    <w:basedOn w:val="1"/>
    <w:semiHidden/>
    <w:qFormat/>
    <w:uiPriority w:val="0"/>
  </w:style>
  <w:style w:type="paragraph" w:customStyle="1" w:styleId="105">
    <w:name w:val="环正文"/>
    <w:basedOn w:val="1"/>
    <w:qFormat/>
    <w:uiPriority w:val="0"/>
    <w:pPr>
      <w:tabs>
        <w:tab w:val="left" w:pos="5094"/>
      </w:tabs>
      <w:adjustRightInd w:val="0"/>
      <w:snapToGrid w:val="0"/>
      <w:spacing w:line="500" w:lineRule="exact"/>
      <w:ind w:firstLine="560" w:firstLineChars="200"/>
      <w:textAlignment w:val="baseline"/>
    </w:pPr>
    <w:rPr>
      <w:rFonts w:ascii="Times New Roman"/>
      <w:sz w:val="28"/>
      <w:szCs w:val="28"/>
    </w:rPr>
  </w:style>
  <w:style w:type="character" w:customStyle="1" w:styleId="106">
    <w:name w:val="A表头"/>
    <w:qFormat/>
    <w:uiPriority w:val="0"/>
    <w:rPr>
      <w:rFonts w:ascii="Times New Roman" w:hAnsi="Times New Roman" w:eastAsia="仿宋"/>
      <w:b/>
      <w:kern w:val="0"/>
      <w:sz w:val="24"/>
      <w:szCs w:val="24"/>
    </w:rPr>
  </w:style>
  <w:style w:type="character" w:customStyle="1" w:styleId="107">
    <w:name w:val="标题 2 Char Char"/>
    <w:qFormat/>
    <w:uiPriority w:val="0"/>
    <w:rPr>
      <w:rFonts w:ascii="Arial" w:hAnsi="Arial" w:eastAsia="黑体"/>
      <w:b/>
      <w:bCs/>
      <w:kern w:val="2"/>
      <w:sz w:val="32"/>
      <w:szCs w:val="32"/>
      <w:lang w:val="en-US" w:eastAsia="zh-CN" w:bidi="ar-SA"/>
    </w:rPr>
  </w:style>
  <w:style w:type="paragraph" w:customStyle="1" w:styleId="108">
    <w:name w:val="文字"/>
    <w:basedOn w:val="1"/>
    <w:qFormat/>
    <w:uiPriority w:val="0"/>
    <w:pPr>
      <w:ind w:firstLine="200" w:firstLineChars="200"/>
    </w:pPr>
    <w:rPr>
      <w:szCs w:val="24"/>
    </w:rPr>
  </w:style>
  <w:style w:type="paragraph" w:customStyle="1" w:styleId="109">
    <w:name w:val="索引标题3"/>
    <w:basedOn w:val="1"/>
    <w:next w:val="110"/>
    <w:qFormat/>
    <w:uiPriority w:val="30"/>
  </w:style>
  <w:style w:type="paragraph" w:customStyle="1" w:styleId="110">
    <w:name w:val="索引 13"/>
    <w:basedOn w:val="1"/>
    <w:next w:val="1"/>
    <w:qFormat/>
    <w:uiPriority w:val="30"/>
    <w:pPr>
      <w:tabs>
        <w:tab w:val="left" w:pos="5654"/>
      </w:tabs>
      <w:jc w:val="center"/>
    </w:pPr>
    <w:rPr>
      <w:rFonts w:ascii="仿宋_GB2312" w:hAnsi="宋体" w:eastAsia="仿宋_GB2312"/>
      <w:kern w:val="24"/>
      <w:szCs w:val="21"/>
    </w:rPr>
  </w:style>
  <w:style w:type="character" w:customStyle="1" w:styleId="111">
    <w:name w:val="flname"/>
    <w:basedOn w:val="43"/>
    <w:semiHidden/>
    <w:qFormat/>
    <w:uiPriority w:val="0"/>
  </w:style>
  <w:style w:type="paragraph" w:customStyle="1" w:styleId="112">
    <w:name w:val="xl30"/>
    <w:basedOn w:val="1"/>
    <w:qFormat/>
    <w:uiPriority w:val="0"/>
    <w:pPr>
      <w:widowControl/>
      <w:spacing w:before="100" w:after="100"/>
      <w:jc w:val="center"/>
      <w:textAlignment w:val="center"/>
    </w:pPr>
    <w:rPr>
      <w:rFonts w:ascii="宋体" w:hAnsi="宋体"/>
      <w:kern w:val="0"/>
    </w:rPr>
  </w:style>
  <w:style w:type="paragraph" w:customStyle="1" w:styleId="113">
    <w:name w:val="*正文"/>
    <w:basedOn w:val="58"/>
    <w:qFormat/>
    <w:uiPriority w:val="0"/>
    <w:pPr>
      <w:spacing w:line="360" w:lineRule="auto"/>
      <w:ind w:firstLine="200" w:firstLineChars="200"/>
      <w:jc w:val="both"/>
      <w:textAlignment w:val="baseline"/>
    </w:pPr>
    <w:rPr>
      <w:color w:val="000000"/>
      <w:sz w:val="24"/>
    </w:rPr>
  </w:style>
  <w:style w:type="paragraph" w:customStyle="1" w:styleId="114">
    <w:name w:val="新正文"/>
    <w:basedOn w:val="1"/>
    <w:qFormat/>
    <w:uiPriority w:val="0"/>
    <w:pPr>
      <w:spacing w:line="500" w:lineRule="exact"/>
      <w:ind w:firstLine="482"/>
    </w:pPr>
    <w:rPr>
      <w:rFonts w:ascii="仿宋_GB2312" w:eastAsia="仿宋_GB2312"/>
      <w:bCs/>
      <w:kern w:val="0"/>
      <w:sz w:val="28"/>
      <w:szCs w:val="20"/>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header" Target="header3.xml"/><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46.emf"/><Relationship Id="rId86" Type="http://schemas.openxmlformats.org/officeDocument/2006/relationships/oleObject" Target="embeddings/oleObject30.bin"/><Relationship Id="rId85" Type="http://schemas.openxmlformats.org/officeDocument/2006/relationships/image" Target="media/image45.png"/><Relationship Id="rId84" Type="http://schemas.openxmlformats.org/officeDocument/2006/relationships/image" Target="media/image44.png"/><Relationship Id="rId83" Type="http://schemas.openxmlformats.org/officeDocument/2006/relationships/image" Target="media/image43.png"/><Relationship Id="rId82" Type="http://schemas.openxmlformats.org/officeDocument/2006/relationships/image" Target="media/image42.png"/><Relationship Id="rId81" Type="http://schemas.openxmlformats.org/officeDocument/2006/relationships/image" Target="media/image41.png"/><Relationship Id="rId80" Type="http://schemas.openxmlformats.org/officeDocument/2006/relationships/image" Target="media/image40.png"/><Relationship Id="rId8" Type="http://schemas.openxmlformats.org/officeDocument/2006/relationships/footer" Target="footer2.xml"/><Relationship Id="rId79" Type="http://schemas.openxmlformats.org/officeDocument/2006/relationships/image" Target="media/image39.jpeg"/><Relationship Id="rId78" Type="http://schemas.openxmlformats.org/officeDocument/2006/relationships/image" Target="media/image38.jpeg"/><Relationship Id="rId77" Type="http://schemas.openxmlformats.org/officeDocument/2006/relationships/image" Target="media/image37.png"/><Relationship Id="rId76" Type="http://schemas.openxmlformats.org/officeDocument/2006/relationships/image" Target="media/image36.png"/><Relationship Id="rId75" Type="http://schemas.openxmlformats.org/officeDocument/2006/relationships/image" Target="media/image35.wmf"/><Relationship Id="rId74" Type="http://schemas.openxmlformats.org/officeDocument/2006/relationships/oleObject" Target="embeddings/oleObject29.bin"/><Relationship Id="rId73" Type="http://schemas.openxmlformats.org/officeDocument/2006/relationships/image" Target="media/image34.wmf"/><Relationship Id="rId72" Type="http://schemas.openxmlformats.org/officeDocument/2006/relationships/oleObject" Target="embeddings/oleObject28.bin"/><Relationship Id="rId71" Type="http://schemas.openxmlformats.org/officeDocument/2006/relationships/image" Target="media/image33.wmf"/><Relationship Id="rId70" Type="http://schemas.openxmlformats.org/officeDocument/2006/relationships/oleObject" Target="embeddings/oleObject27.bin"/><Relationship Id="rId7" Type="http://schemas.openxmlformats.org/officeDocument/2006/relationships/footer" Target="footer1.xml"/><Relationship Id="rId69" Type="http://schemas.openxmlformats.org/officeDocument/2006/relationships/image" Target="media/image32.wmf"/><Relationship Id="rId68" Type="http://schemas.openxmlformats.org/officeDocument/2006/relationships/oleObject" Target="embeddings/oleObject26.bin"/><Relationship Id="rId67" Type="http://schemas.openxmlformats.org/officeDocument/2006/relationships/image" Target="media/image31.wmf"/><Relationship Id="rId66" Type="http://schemas.openxmlformats.org/officeDocument/2006/relationships/oleObject" Target="embeddings/oleObject25.bin"/><Relationship Id="rId65" Type="http://schemas.openxmlformats.org/officeDocument/2006/relationships/image" Target="media/image30.wmf"/><Relationship Id="rId64" Type="http://schemas.openxmlformats.org/officeDocument/2006/relationships/oleObject" Target="embeddings/oleObject24.bin"/><Relationship Id="rId63" Type="http://schemas.openxmlformats.org/officeDocument/2006/relationships/image" Target="media/image29.wmf"/><Relationship Id="rId62" Type="http://schemas.openxmlformats.org/officeDocument/2006/relationships/oleObject" Target="embeddings/oleObject23.bin"/><Relationship Id="rId61" Type="http://schemas.openxmlformats.org/officeDocument/2006/relationships/image" Target="media/image28.wmf"/><Relationship Id="rId60" Type="http://schemas.openxmlformats.org/officeDocument/2006/relationships/oleObject" Target="embeddings/oleObject22.bin"/><Relationship Id="rId6" Type="http://schemas.openxmlformats.org/officeDocument/2006/relationships/header" Target="header2.xml"/><Relationship Id="rId59" Type="http://schemas.openxmlformats.org/officeDocument/2006/relationships/image" Target="media/image27.wmf"/><Relationship Id="rId58" Type="http://schemas.openxmlformats.org/officeDocument/2006/relationships/oleObject" Target="embeddings/oleObject21.bin"/><Relationship Id="rId57" Type="http://schemas.openxmlformats.org/officeDocument/2006/relationships/image" Target="media/image26.wmf"/><Relationship Id="rId56" Type="http://schemas.openxmlformats.org/officeDocument/2006/relationships/oleObject" Target="embeddings/oleObject20.bin"/><Relationship Id="rId55" Type="http://schemas.openxmlformats.org/officeDocument/2006/relationships/image" Target="media/image25.wmf"/><Relationship Id="rId54" Type="http://schemas.openxmlformats.org/officeDocument/2006/relationships/oleObject" Target="embeddings/oleObject19.bin"/><Relationship Id="rId53" Type="http://schemas.openxmlformats.org/officeDocument/2006/relationships/image" Target="media/image24.wmf"/><Relationship Id="rId52" Type="http://schemas.openxmlformats.org/officeDocument/2006/relationships/oleObject" Target="embeddings/oleObject18.bin"/><Relationship Id="rId51" Type="http://schemas.openxmlformats.org/officeDocument/2006/relationships/image" Target="media/image23.wmf"/><Relationship Id="rId50" Type="http://schemas.openxmlformats.org/officeDocument/2006/relationships/oleObject" Target="embeddings/oleObject17.bin"/><Relationship Id="rId5" Type="http://schemas.openxmlformats.org/officeDocument/2006/relationships/header" Target="header1.xml"/><Relationship Id="rId49" Type="http://schemas.openxmlformats.org/officeDocument/2006/relationships/image" Target="media/image22.wmf"/><Relationship Id="rId48" Type="http://schemas.openxmlformats.org/officeDocument/2006/relationships/oleObject" Target="embeddings/oleObject16.bin"/><Relationship Id="rId47" Type="http://schemas.openxmlformats.org/officeDocument/2006/relationships/image" Target="media/image21.wmf"/><Relationship Id="rId46" Type="http://schemas.openxmlformats.org/officeDocument/2006/relationships/oleObject" Target="embeddings/oleObject15.bin"/><Relationship Id="rId45" Type="http://schemas.openxmlformats.org/officeDocument/2006/relationships/image" Target="media/image20.wmf"/><Relationship Id="rId44" Type="http://schemas.openxmlformats.org/officeDocument/2006/relationships/oleObject" Target="embeddings/oleObject14.bin"/><Relationship Id="rId43" Type="http://schemas.openxmlformats.org/officeDocument/2006/relationships/image" Target="media/image19.wmf"/><Relationship Id="rId42" Type="http://schemas.openxmlformats.org/officeDocument/2006/relationships/oleObject" Target="embeddings/oleObject13.bin"/><Relationship Id="rId41" Type="http://schemas.openxmlformats.org/officeDocument/2006/relationships/image" Target="media/image18.wmf"/><Relationship Id="rId40" Type="http://schemas.openxmlformats.org/officeDocument/2006/relationships/image" Target="media/image17.emf"/><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oleObject" Target="embeddings/oleObject12.bin"/><Relationship Id="rId37" Type="http://schemas.openxmlformats.org/officeDocument/2006/relationships/image" Target="media/image15.wmf"/><Relationship Id="rId36" Type="http://schemas.openxmlformats.org/officeDocument/2006/relationships/oleObject" Target="embeddings/oleObject11.bin"/><Relationship Id="rId35" Type="http://schemas.openxmlformats.org/officeDocument/2006/relationships/image" Target="media/image14.wmf"/><Relationship Id="rId34" Type="http://schemas.openxmlformats.org/officeDocument/2006/relationships/oleObject" Target="embeddings/oleObject10.bin"/><Relationship Id="rId33" Type="http://schemas.openxmlformats.org/officeDocument/2006/relationships/image" Target="media/image13.wmf"/><Relationship Id="rId32" Type="http://schemas.openxmlformats.org/officeDocument/2006/relationships/oleObject" Target="embeddings/oleObject9.bin"/><Relationship Id="rId31" Type="http://schemas.openxmlformats.org/officeDocument/2006/relationships/image" Target="media/image12.wmf"/><Relationship Id="rId30" Type="http://schemas.openxmlformats.org/officeDocument/2006/relationships/oleObject" Target="embeddings/oleObject8.bin"/><Relationship Id="rId3" Type="http://schemas.openxmlformats.org/officeDocument/2006/relationships/footnotes" Target="footnotes.xml"/><Relationship Id="rId29" Type="http://schemas.openxmlformats.org/officeDocument/2006/relationships/image" Target="media/image11.wmf"/><Relationship Id="rId28" Type="http://schemas.openxmlformats.org/officeDocument/2006/relationships/oleObject" Target="embeddings/oleObject7.bin"/><Relationship Id="rId27" Type="http://schemas.openxmlformats.org/officeDocument/2006/relationships/image" Target="media/image10.wmf"/><Relationship Id="rId26" Type="http://schemas.openxmlformats.org/officeDocument/2006/relationships/oleObject" Target="embeddings/oleObject6.bin"/><Relationship Id="rId25" Type="http://schemas.openxmlformats.org/officeDocument/2006/relationships/image" Target="media/image9.wmf"/><Relationship Id="rId24" Type="http://schemas.openxmlformats.org/officeDocument/2006/relationships/oleObject" Target="embeddings/oleObject5.bin"/><Relationship Id="rId23" Type="http://schemas.openxmlformats.org/officeDocument/2006/relationships/image" Target="media/image8.wmf"/><Relationship Id="rId22" Type="http://schemas.openxmlformats.org/officeDocument/2006/relationships/oleObject" Target="embeddings/oleObject4.bin"/><Relationship Id="rId21" Type="http://schemas.openxmlformats.org/officeDocument/2006/relationships/image" Target="media/image7.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2.bin"/><Relationship Id="rId17" Type="http://schemas.openxmlformats.org/officeDocument/2006/relationships/image" Target="media/image5.wmf"/><Relationship Id="rId16" Type="http://schemas.openxmlformats.org/officeDocument/2006/relationships/image" Target="media/image4.wmf"/><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宋&amp;新罗马">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lIns="0" tIns="0" rIns="0" bIns="0" rtlCol="0" anchor="ctr"/>
      <a:lstStyle/>
      <a:style>
        <a:lnRef idx="2">
          <a:schemeClr val="dk1"/>
        </a:lnRef>
        <a:fillRef idx="1">
          <a:schemeClr val="lt1"/>
        </a:fillRef>
        <a:effectRef idx="0">
          <a:schemeClr val="dk1"/>
        </a:effectRef>
        <a:fontRef idx="minor">
          <a:schemeClr val="dk1"/>
        </a:fontRef>
      </a:style>
    </a:spDef>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218</Pages>
  <Words>8389</Words>
  <Characters>9160</Characters>
  <Lines>1291</Lines>
  <Paragraphs>363</Paragraphs>
  <TotalTime>20</TotalTime>
  <ScaleCrop>false</ScaleCrop>
  <LinksUpToDate>false</LinksUpToDate>
  <CharactersWithSpaces>9409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2023-03-18T13:52:00Z</dcterms:created>
  <dc:creator>Amy</dc:creator>
  <cp:lastModifiedBy>顺子</cp:lastModifiedBy>
  <cp:lastPrinted>2024-11-18T01:59:00Z</cp:lastPrinted>
  <dcterms:modified xsi:type="dcterms:W3CDTF">2025-01-02T03:05:25Z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035DDF4AB5B34C838DDF3944B97B8769_13</vt:lpwstr>
  </property>
  <property fmtid="{D5CDD505-2E9C-101B-9397-08002B2CF9AE}" pid="4" name="KSOTemplateDocerSaveRecord">
    <vt:lpwstr>eyJoZGlkIjoiMGVmMTg5YjA3ZTMxNWNlMGJiNzY2ZTc5MzZlY2ExNWQiLCJ1c2VySWQiOiI0NTEyMTEyMDkifQ==</vt:lpwstr>
  </property>
</Properties>
</file>